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4FB893" w14:textId="5BF060DE" w:rsidR="009D29CC" w:rsidRPr="00CA2166" w:rsidRDefault="009D29CC" w:rsidP="009D29CC">
      <w:pPr>
        <w:jc w:val="both"/>
        <w:rPr>
          <w:b/>
          <w:sz w:val="24"/>
          <w:szCs w:val="24"/>
          <w:lang w:val="en-US"/>
        </w:rPr>
      </w:pPr>
      <w:r w:rsidRPr="00CA2166">
        <w:rPr>
          <w:b/>
          <w:sz w:val="24"/>
          <w:szCs w:val="24"/>
          <w:lang w:val="en-US"/>
        </w:rPr>
        <w:t xml:space="preserve">Borylation and rearrangement reactions of </w:t>
      </w:r>
      <w:proofErr w:type="spellStart"/>
      <w:r w:rsidRPr="00CA2166">
        <w:rPr>
          <w:b/>
          <w:sz w:val="24"/>
          <w:szCs w:val="24"/>
          <w:lang w:val="en-US"/>
        </w:rPr>
        <w:t>azasilaanthracenes</w:t>
      </w:r>
      <w:proofErr w:type="spellEnd"/>
      <w:r w:rsidRPr="00CA2166">
        <w:rPr>
          <w:b/>
          <w:sz w:val="24"/>
          <w:szCs w:val="24"/>
          <w:lang w:val="en-US"/>
        </w:rPr>
        <w:t xml:space="preserve"> </w:t>
      </w:r>
      <w:r w:rsidR="00487BF7" w:rsidRPr="00CA2166">
        <w:rPr>
          <w:b/>
          <w:sz w:val="24"/>
          <w:szCs w:val="24"/>
          <w:lang w:val="en-US"/>
        </w:rPr>
        <w:t>to afford</w:t>
      </w:r>
      <w:r w:rsidRPr="00CA2166">
        <w:rPr>
          <w:b/>
          <w:sz w:val="24"/>
          <w:szCs w:val="24"/>
          <w:lang w:val="en-US"/>
        </w:rPr>
        <w:t xml:space="preserve"> B,N-doped </w:t>
      </w:r>
      <w:proofErr w:type="spellStart"/>
      <w:r w:rsidRPr="00CA2166">
        <w:rPr>
          <w:b/>
          <w:sz w:val="24"/>
          <w:szCs w:val="24"/>
          <w:lang w:val="en-US"/>
        </w:rPr>
        <w:t>nanographenes</w:t>
      </w:r>
      <w:proofErr w:type="spellEnd"/>
    </w:p>
    <w:p w14:paraId="1679F440" w14:textId="08BB0FE2" w:rsidR="00E17640" w:rsidRPr="007A1213" w:rsidRDefault="00E17640" w:rsidP="009D29CC">
      <w:pPr>
        <w:jc w:val="both"/>
        <w:rPr>
          <w:vertAlign w:val="superscript"/>
          <w:lang w:val="en-US"/>
        </w:rPr>
      </w:pPr>
      <w:r w:rsidRPr="00E51770">
        <w:rPr>
          <w:lang w:val="en-US"/>
        </w:rPr>
        <w:t xml:space="preserve">Elena </w:t>
      </w:r>
      <w:proofErr w:type="spellStart"/>
      <w:r w:rsidRPr="00E51770">
        <w:rPr>
          <w:lang w:val="en-US"/>
        </w:rPr>
        <w:t>Zender</w:t>
      </w:r>
      <w:r w:rsidR="007A1213" w:rsidRPr="00E51770">
        <w:rPr>
          <w:vertAlign w:val="superscript"/>
          <w:lang w:val="en-US"/>
        </w:rPr>
        <w:t>a</w:t>
      </w:r>
      <w:proofErr w:type="spellEnd"/>
      <w:r w:rsidRPr="00E51770">
        <w:rPr>
          <w:lang w:val="en-US"/>
        </w:rPr>
        <w:t xml:space="preserve">, </w:t>
      </w:r>
      <w:r w:rsidR="00487BF7" w:rsidRPr="00E51770">
        <w:rPr>
          <w:iCs/>
          <w:lang w:val="en-US"/>
        </w:rPr>
        <w:t xml:space="preserve">Danillo </w:t>
      </w:r>
      <w:proofErr w:type="spellStart"/>
      <w:r w:rsidR="00487BF7" w:rsidRPr="00E51770">
        <w:rPr>
          <w:iCs/>
          <w:lang w:val="en-US"/>
        </w:rPr>
        <w:t>Valverde</w:t>
      </w:r>
      <w:r w:rsidR="007A1213" w:rsidRPr="00E51770">
        <w:rPr>
          <w:iCs/>
          <w:vertAlign w:val="superscript"/>
          <w:lang w:val="en-US"/>
        </w:rPr>
        <w:t>b</w:t>
      </w:r>
      <w:proofErr w:type="spellEnd"/>
      <w:r w:rsidR="00487BF7" w:rsidRPr="00E51770">
        <w:rPr>
          <w:iCs/>
          <w:lang w:val="en-US"/>
        </w:rPr>
        <w:t>,</w:t>
      </w:r>
      <w:r w:rsidR="00487BF7" w:rsidRPr="00E51770">
        <w:rPr>
          <w:lang w:val="en-US"/>
        </w:rPr>
        <w:t xml:space="preserve"> </w:t>
      </w:r>
      <w:r w:rsidRPr="00E51770">
        <w:rPr>
          <w:lang w:val="en-US"/>
        </w:rPr>
        <w:t xml:space="preserve">Robert </w:t>
      </w:r>
      <w:proofErr w:type="spellStart"/>
      <w:r w:rsidRPr="00E51770">
        <w:rPr>
          <w:lang w:val="en-US"/>
        </w:rPr>
        <w:t>Neubaur</w:t>
      </w:r>
      <w:r w:rsidR="007A1213" w:rsidRPr="00E51770">
        <w:rPr>
          <w:vertAlign w:val="superscript"/>
          <w:lang w:val="en-US"/>
        </w:rPr>
        <w:t>a</w:t>
      </w:r>
      <w:proofErr w:type="spellEnd"/>
      <w:r w:rsidRPr="00E51770">
        <w:rPr>
          <w:lang w:val="en-US"/>
        </w:rPr>
        <w:t>, Sebastian Karger</w:t>
      </w:r>
      <w:r w:rsidR="007A1213" w:rsidRPr="00E51770">
        <w:rPr>
          <w:vertAlign w:val="superscript"/>
          <w:lang w:val="en-US"/>
        </w:rPr>
        <w:t>a</w:t>
      </w:r>
      <w:r w:rsidRPr="00E51770">
        <w:rPr>
          <w:lang w:val="en-US"/>
        </w:rPr>
        <w:t xml:space="preserve">, Alexander </w:t>
      </w:r>
      <w:proofErr w:type="spellStart"/>
      <w:r w:rsidRPr="00E51770">
        <w:rPr>
          <w:lang w:val="en-US"/>
        </w:rPr>
        <w:t>Virovets</w:t>
      </w:r>
      <w:r w:rsidR="007A1213" w:rsidRPr="00E51770">
        <w:rPr>
          <w:vertAlign w:val="superscript"/>
          <w:lang w:val="en-US"/>
        </w:rPr>
        <w:t>a</w:t>
      </w:r>
      <w:proofErr w:type="spellEnd"/>
      <w:r w:rsidRPr="00E51770">
        <w:rPr>
          <w:lang w:val="en-US"/>
        </w:rPr>
        <w:t xml:space="preserve">, Michael </w:t>
      </w:r>
      <w:proofErr w:type="spellStart"/>
      <w:r w:rsidRPr="00E51770">
        <w:rPr>
          <w:lang w:val="en-US"/>
        </w:rPr>
        <w:t>Bolte</w:t>
      </w:r>
      <w:r w:rsidR="007A1213" w:rsidRPr="00E51770">
        <w:rPr>
          <w:vertAlign w:val="superscript"/>
          <w:lang w:val="en-US"/>
        </w:rPr>
        <w:t>a</w:t>
      </w:r>
      <w:proofErr w:type="spellEnd"/>
      <w:r w:rsidRPr="00E51770">
        <w:rPr>
          <w:lang w:val="en-US"/>
        </w:rPr>
        <w:t xml:space="preserve">, Hans-Wolfram </w:t>
      </w:r>
      <w:proofErr w:type="spellStart"/>
      <w:r w:rsidRPr="00E51770">
        <w:rPr>
          <w:lang w:val="en-US"/>
        </w:rPr>
        <w:t>Lerner</w:t>
      </w:r>
      <w:r w:rsidR="007A1213" w:rsidRPr="00E51770">
        <w:rPr>
          <w:vertAlign w:val="superscript"/>
          <w:lang w:val="en-US"/>
        </w:rPr>
        <w:t>a</w:t>
      </w:r>
      <w:proofErr w:type="spellEnd"/>
      <w:r w:rsidRPr="00E51770">
        <w:rPr>
          <w:lang w:val="en-US"/>
        </w:rPr>
        <w:t xml:space="preserve">, </w:t>
      </w:r>
      <w:r w:rsidR="00487BF7" w:rsidRPr="00E51770">
        <w:rPr>
          <w:iCs/>
          <w:lang w:val="en-US"/>
        </w:rPr>
        <w:t>Yoann Olivier</w:t>
      </w:r>
      <w:r w:rsidR="00E51770" w:rsidRPr="00E51770">
        <w:rPr>
          <w:iCs/>
          <w:lang w:val="en-US"/>
        </w:rPr>
        <w:t>*</w:t>
      </w:r>
      <w:r w:rsidR="007A1213" w:rsidRPr="00E51770">
        <w:rPr>
          <w:iCs/>
          <w:vertAlign w:val="superscript"/>
          <w:lang w:val="en-US"/>
        </w:rPr>
        <w:t>b</w:t>
      </w:r>
      <w:r w:rsidR="00487BF7" w:rsidRPr="00E51770">
        <w:rPr>
          <w:iCs/>
          <w:lang w:val="en-US"/>
        </w:rPr>
        <w:t>,</w:t>
      </w:r>
      <w:r w:rsidR="00487BF7" w:rsidRPr="00E51770">
        <w:rPr>
          <w:lang w:val="en-US"/>
        </w:rPr>
        <w:t xml:space="preserve"> </w:t>
      </w:r>
      <w:r w:rsidRPr="00E51770">
        <w:rPr>
          <w:lang w:val="en-US"/>
        </w:rPr>
        <w:t>and Matthias Wagner*</w:t>
      </w:r>
      <w:r w:rsidR="007A1213" w:rsidRPr="00E51770">
        <w:rPr>
          <w:vertAlign w:val="superscript"/>
          <w:lang w:val="en-US"/>
        </w:rPr>
        <w:t>a</w:t>
      </w:r>
    </w:p>
    <w:p w14:paraId="6F302E94" w14:textId="470CC799" w:rsidR="00E17640" w:rsidRDefault="007A1213" w:rsidP="00B42021">
      <w:pPr>
        <w:jc w:val="both"/>
        <w:rPr>
          <w:i/>
        </w:rPr>
      </w:pPr>
      <w:r>
        <w:rPr>
          <w:i/>
          <w:vertAlign w:val="superscript"/>
        </w:rPr>
        <w:t>a</w:t>
      </w:r>
      <w:r w:rsidR="00E17640" w:rsidRPr="00E17640">
        <w:rPr>
          <w:i/>
        </w:rPr>
        <w:t>Institut für Anorganische und Analytische Chemie, Goethe-Universität Frankfurt, Max-von-Laue-Straße 7, D-60438 Frankfurt (Main), Germany</w:t>
      </w:r>
    </w:p>
    <w:p w14:paraId="4A5D0D4A" w14:textId="505211F9" w:rsidR="0017313F" w:rsidRPr="0017313F" w:rsidRDefault="007A1213" w:rsidP="00B42021">
      <w:pPr>
        <w:jc w:val="both"/>
        <w:rPr>
          <w:i/>
          <w:lang w:val="en-US"/>
        </w:rPr>
      </w:pPr>
      <w:bookmarkStart w:id="0" w:name="_Hlk161970426"/>
      <w:proofErr w:type="spellStart"/>
      <w:r w:rsidRPr="007A1213">
        <w:rPr>
          <w:i/>
          <w:vertAlign w:val="superscript"/>
          <w:lang w:val="en-US"/>
        </w:rPr>
        <w:t>b</w:t>
      </w:r>
      <w:r w:rsidR="0017313F" w:rsidRPr="0017313F">
        <w:rPr>
          <w:i/>
          <w:lang w:val="en-US"/>
        </w:rPr>
        <w:t>Laboratory</w:t>
      </w:r>
      <w:proofErr w:type="spellEnd"/>
      <w:r w:rsidR="0017313F" w:rsidRPr="0017313F">
        <w:rPr>
          <w:i/>
          <w:lang w:val="en-US"/>
        </w:rPr>
        <w:t xml:space="preserve"> for Computational Modeling of Functional Materials, Namur Institute of Structured Matter, University of Namur, Rue de </w:t>
      </w:r>
      <w:proofErr w:type="spellStart"/>
      <w:r w:rsidR="0017313F" w:rsidRPr="0017313F">
        <w:rPr>
          <w:i/>
          <w:lang w:val="en-US"/>
        </w:rPr>
        <w:t>Bruxelles</w:t>
      </w:r>
      <w:proofErr w:type="spellEnd"/>
      <w:r w:rsidR="0017313F" w:rsidRPr="0017313F">
        <w:rPr>
          <w:i/>
          <w:lang w:val="en-US"/>
        </w:rPr>
        <w:t>, 61, 5000 Namur, Belgium</w:t>
      </w:r>
      <w:bookmarkEnd w:id="0"/>
    </w:p>
    <w:p w14:paraId="0D0BEDE3" w14:textId="77777777" w:rsidR="00E17640" w:rsidRDefault="00E17640" w:rsidP="00B42021">
      <w:pPr>
        <w:jc w:val="both"/>
        <w:rPr>
          <w:lang w:val="en-US"/>
        </w:rPr>
      </w:pPr>
    </w:p>
    <w:p w14:paraId="7C817DCD" w14:textId="526C33CE" w:rsidR="008B0F60" w:rsidRDefault="008B0F60" w:rsidP="00B42021">
      <w:pPr>
        <w:jc w:val="both"/>
        <w:rPr>
          <w:lang w:val="en-US"/>
        </w:rPr>
      </w:pPr>
      <w:r>
        <w:rPr>
          <w:lang w:val="en-US"/>
        </w:rPr>
        <w:t>TOC:</w:t>
      </w:r>
    </w:p>
    <w:p w14:paraId="0F750AE4" w14:textId="16AF0874" w:rsidR="00FD4C9A" w:rsidRDefault="0028663F" w:rsidP="00B42021">
      <w:pPr>
        <w:jc w:val="both"/>
        <w:rPr>
          <w:lang w:val="en-US"/>
        </w:rPr>
      </w:pPr>
      <w:r>
        <w:rPr>
          <w:noProof/>
          <w:lang w:val="en-US"/>
        </w:rPr>
        <w:drawing>
          <wp:inline distT="0" distB="0" distL="0" distR="0" wp14:anchorId="159731C8" wp14:editId="2180F114">
            <wp:extent cx="2887980" cy="1171339"/>
            <wp:effectExtent l="0" t="0" r="0" b="0"/>
            <wp:docPr id="40077151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771516" name="Grafik 400771516"/>
                    <pic:cNvPicPr/>
                  </pic:nvPicPr>
                  <pic:blipFill rotWithShape="1">
                    <a:blip r:embed="rId6">
                      <a:extLst>
                        <a:ext uri="{28A0092B-C50C-407E-A947-70E740481C1C}">
                          <a14:useLocalDpi xmlns:a14="http://schemas.microsoft.com/office/drawing/2010/main" val="0"/>
                        </a:ext>
                      </a:extLst>
                    </a:blip>
                    <a:srcRect b="19095"/>
                    <a:stretch/>
                  </pic:blipFill>
                  <pic:spPr bwMode="auto">
                    <a:xfrm>
                      <a:off x="0" y="0"/>
                      <a:ext cx="2887980" cy="1171339"/>
                    </a:xfrm>
                    <a:prstGeom prst="rect">
                      <a:avLst/>
                    </a:prstGeom>
                    <a:ln>
                      <a:noFill/>
                    </a:ln>
                    <a:extLst>
                      <a:ext uri="{53640926-AAD7-44D8-BBD7-CCE9431645EC}">
                        <a14:shadowObscured xmlns:a14="http://schemas.microsoft.com/office/drawing/2010/main"/>
                      </a:ext>
                    </a:extLst>
                  </pic:spPr>
                </pic:pic>
              </a:graphicData>
            </a:graphic>
          </wp:inline>
        </w:drawing>
      </w:r>
    </w:p>
    <w:p w14:paraId="1677AE26" w14:textId="1E20FD3C" w:rsidR="008B0F60" w:rsidRDefault="00257278" w:rsidP="00B42021">
      <w:pPr>
        <w:jc w:val="both"/>
        <w:rPr>
          <w:lang w:val="en-US"/>
        </w:rPr>
      </w:pPr>
      <w:r w:rsidRPr="00CA2166">
        <w:rPr>
          <w:lang w:val="en-US"/>
        </w:rPr>
        <w:t>Si/B exchange, skeletal rearrangement</w:t>
      </w:r>
      <w:r w:rsidR="0022061A" w:rsidRPr="00CA2166">
        <w:rPr>
          <w:lang w:val="en-US"/>
        </w:rPr>
        <w:t>,</w:t>
      </w:r>
      <w:r w:rsidRPr="00CA2166">
        <w:rPr>
          <w:lang w:val="en-US"/>
        </w:rPr>
        <w:t xml:space="preserve"> and electrophilic borylation</w:t>
      </w:r>
      <w:r w:rsidR="00CA2166" w:rsidRPr="00CA2166">
        <w:rPr>
          <w:lang w:val="en-US"/>
        </w:rPr>
        <w:t xml:space="preserve"> reactions</w:t>
      </w:r>
      <w:r w:rsidRPr="00CA2166">
        <w:rPr>
          <w:lang w:val="en-US"/>
        </w:rPr>
        <w:t xml:space="preserve"> convert a</w:t>
      </w:r>
      <w:r w:rsidR="0022061A" w:rsidRPr="00CA2166">
        <w:rPr>
          <w:lang w:val="en-US"/>
        </w:rPr>
        <w:t>n</w:t>
      </w:r>
      <w:r w:rsidRPr="00CA2166">
        <w:rPr>
          <w:lang w:val="en-US"/>
        </w:rPr>
        <w:t xml:space="preserve"> </w:t>
      </w:r>
      <w:proofErr w:type="spellStart"/>
      <w:r w:rsidRPr="00CA2166">
        <w:rPr>
          <w:lang w:val="en-US"/>
        </w:rPr>
        <w:t>azasilaanthracene</w:t>
      </w:r>
      <w:proofErr w:type="spellEnd"/>
      <w:r w:rsidRPr="00CA2166">
        <w:rPr>
          <w:lang w:val="en-US"/>
        </w:rPr>
        <w:t xml:space="preserve"> precursor into a B</w:t>
      </w:r>
      <w:r w:rsidRPr="00CA2166">
        <w:rPr>
          <w:vertAlign w:val="subscript"/>
          <w:lang w:val="en-US"/>
        </w:rPr>
        <w:t>3</w:t>
      </w:r>
      <w:r w:rsidRPr="00CA2166">
        <w:rPr>
          <w:lang w:val="en-US"/>
        </w:rPr>
        <w:t>,N</w:t>
      </w:r>
      <w:r w:rsidRPr="00CA2166">
        <w:rPr>
          <w:vertAlign w:val="subscript"/>
          <w:lang w:val="en-US"/>
        </w:rPr>
        <w:t>3</w:t>
      </w:r>
      <w:r w:rsidRPr="00CA2166">
        <w:rPr>
          <w:lang w:val="en-US"/>
        </w:rPr>
        <w:t xml:space="preserve">-doped polycyclic aromatic hydrocarbon. Theory predicts </w:t>
      </w:r>
      <w:r w:rsidR="0022061A" w:rsidRPr="00CA2166">
        <w:rPr>
          <w:lang w:val="en-US"/>
        </w:rPr>
        <w:t xml:space="preserve">that </w:t>
      </w:r>
      <w:r w:rsidRPr="00CA2166">
        <w:rPr>
          <w:lang w:val="en-US"/>
        </w:rPr>
        <w:t xml:space="preserve">the product </w:t>
      </w:r>
      <w:r w:rsidR="0022061A" w:rsidRPr="00CA2166">
        <w:rPr>
          <w:lang w:val="en-US"/>
        </w:rPr>
        <w:t xml:space="preserve">has </w:t>
      </w:r>
      <w:r w:rsidRPr="00CA2166">
        <w:rPr>
          <w:lang w:val="en-US"/>
        </w:rPr>
        <w:t xml:space="preserve">potential as </w:t>
      </w:r>
      <w:r w:rsidR="0022061A" w:rsidRPr="00CA2166">
        <w:rPr>
          <w:lang w:val="en-US"/>
        </w:rPr>
        <w:t xml:space="preserve">a </w:t>
      </w:r>
      <w:r w:rsidRPr="00CA2166">
        <w:rPr>
          <w:lang w:val="en-US"/>
        </w:rPr>
        <w:t>thermally activated delayed fluorescence (TADF) emitter.</w:t>
      </w:r>
    </w:p>
    <w:p w14:paraId="3CFEA46C" w14:textId="77777777" w:rsidR="00C5303F" w:rsidRDefault="00C5303F" w:rsidP="00B42021">
      <w:pPr>
        <w:jc w:val="both"/>
        <w:rPr>
          <w:lang w:val="en-US"/>
        </w:rPr>
      </w:pPr>
      <w:r>
        <w:rPr>
          <w:lang w:val="en-US"/>
        </w:rPr>
        <w:t>Abstract:</w:t>
      </w:r>
    </w:p>
    <w:p w14:paraId="64527EAC" w14:textId="448A6D81" w:rsidR="00C5303F" w:rsidRDefault="006F6DC5" w:rsidP="00B42021">
      <w:pPr>
        <w:jc w:val="both"/>
        <w:rPr>
          <w:lang w:val="en-US"/>
        </w:rPr>
      </w:pPr>
      <w:bookmarkStart w:id="1" w:name="_Hlk164430345"/>
      <w:bookmarkStart w:id="2" w:name="_Hlk164153940"/>
      <w:r w:rsidRPr="00F0537C">
        <w:rPr>
          <w:lang w:val="en-US"/>
        </w:rPr>
        <w:t>An air-stable B</w:t>
      </w:r>
      <w:r w:rsidRPr="00F0537C">
        <w:rPr>
          <w:vertAlign w:val="subscript"/>
          <w:lang w:val="en-US"/>
        </w:rPr>
        <w:t>3</w:t>
      </w:r>
      <w:r w:rsidRPr="00F0537C">
        <w:rPr>
          <w:lang w:val="en-US"/>
        </w:rPr>
        <w:t>,N</w:t>
      </w:r>
      <w:r w:rsidRPr="00F0537C">
        <w:rPr>
          <w:vertAlign w:val="subscript"/>
          <w:lang w:val="en-US"/>
        </w:rPr>
        <w:t>3</w:t>
      </w:r>
      <w:r w:rsidRPr="00F0537C">
        <w:rPr>
          <w:lang w:val="en-US"/>
        </w:rPr>
        <w:t xml:space="preserve">-containing </w:t>
      </w:r>
      <w:proofErr w:type="spellStart"/>
      <w:r w:rsidRPr="00F0537C">
        <w:rPr>
          <w:lang w:val="en-US"/>
        </w:rPr>
        <w:t>dibenzobisanthene</w:t>
      </w:r>
      <w:proofErr w:type="spellEnd"/>
      <w:r w:rsidRPr="00F0537C">
        <w:rPr>
          <w:lang w:val="en-US"/>
        </w:rPr>
        <w:t xml:space="preserve"> (</w:t>
      </w:r>
      <w:r w:rsidRPr="00F0537C">
        <w:rPr>
          <w:b/>
          <w:lang w:val="en-US"/>
        </w:rPr>
        <w:t>8</w:t>
      </w:r>
      <w:r w:rsidRPr="00F0537C">
        <w:rPr>
          <w:lang w:val="en-US"/>
        </w:rPr>
        <w:t>) was prepared in 29% yield by heating a 1,3,5-tri(</w:t>
      </w:r>
      <w:proofErr w:type="spellStart"/>
      <w:r w:rsidRPr="00F0537C">
        <w:rPr>
          <w:lang w:val="en-US"/>
        </w:rPr>
        <w:t>azasilaanthryl</w:t>
      </w:r>
      <w:proofErr w:type="spellEnd"/>
      <w:r w:rsidRPr="00F0537C">
        <w:rPr>
          <w:lang w:val="en-US"/>
        </w:rPr>
        <w:t>)benzene (</w:t>
      </w:r>
      <w:r w:rsidRPr="00F0537C">
        <w:rPr>
          <w:b/>
          <w:lang w:val="en-US"/>
        </w:rPr>
        <w:t>5</w:t>
      </w:r>
      <w:r w:rsidRPr="00F0537C">
        <w:rPr>
          <w:lang w:val="en-US"/>
        </w:rPr>
        <w:t>) with BBr</w:t>
      </w:r>
      <w:r w:rsidRPr="00F0537C">
        <w:rPr>
          <w:vertAlign w:val="subscript"/>
          <w:lang w:val="en-US"/>
        </w:rPr>
        <w:t>3</w:t>
      </w:r>
      <w:r w:rsidRPr="00F0537C">
        <w:rPr>
          <w:lang w:val="en-US"/>
        </w:rPr>
        <w:t xml:space="preserve"> (180 °C). Under these conditions, the reaction does not stop after threefold SiMe</w:t>
      </w:r>
      <w:r w:rsidRPr="00F0537C">
        <w:rPr>
          <w:vertAlign w:val="subscript"/>
          <w:lang w:val="en-US"/>
        </w:rPr>
        <w:t>2</w:t>
      </w:r>
      <w:r w:rsidRPr="00F0537C">
        <w:rPr>
          <w:lang w:val="en-US"/>
        </w:rPr>
        <w:t>/</w:t>
      </w:r>
      <w:proofErr w:type="spellStart"/>
      <w:r w:rsidRPr="00F0537C">
        <w:rPr>
          <w:lang w:val="en-US"/>
        </w:rPr>
        <w:t>BBr</w:t>
      </w:r>
      <w:proofErr w:type="spellEnd"/>
      <w:r w:rsidRPr="00F0537C">
        <w:rPr>
          <w:lang w:val="en-US"/>
        </w:rPr>
        <w:t xml:space="preserve"> exchange but proceeds further </w:t>
      </w:r>
      <w:r w:rsidRPr="00F0537C">
        <w:rPr>
          <w:i/>
          <w:lang w:val="en-US"/>
        </w:rPr>
        <w:t>via</w:t>
      </w:r>
      <w:r w:rsidRPr="00F0537C">
        <w:rPr>
          <w:lang w:val="en-US"/>
        </w:rPr>
        <w:t xml:space="preserve"> two rearrangement and two intramolecular C–H borylation steps. Some mechanistic details were unveiled by using smaller model systems and applying lower reaction temperatures. According to X-ray crystallography, compound </w:t>
      </w:r>
      <w:r w:rsidRPr="00F0537C">
        <w:rPr>
          <w:b/>
          <w:lang w:val="en-US"/>
        </w:rPr>
        <w:t>8</w:t>
      </w:r>
      <w:r w:rsidRPr="00F0537C">
        <w:rPr>
          <w:lang w:val="en-US"/>
        </w:rPr>
        <w:t xml:space="preserve"> has a helically distorted scaffold. Due to its multiple resonance structure, it shows a narrow-band blue-green emission (</w:t>
      </w:r>
      <w:r w:rsidRPr="00707F3A">
        <w:rPr>
          <w:i/>
        </w:rPr>
        <w:t>λ</w:t>
      </w:r>
      <w:proofErr w:type="spellStart"/>
      <w:r w:rsidRPr="00F0537C">
        <w:rPr>
          <w:vertAlign w:val="subscript"/>
          <w:lang w:val="en-US"/>
        </w:rPr>
        <w:t>em</w:t>
      </w:r>
      <w:proofErr w:type="spellEnd"/>
      <w:r w:rsidRPr="00F0537C">
        <w:rPr>
          <w:lang w:val="en-US"/>
        </w:rPr>
        <w:t xml:space="preserve"> = 493 nm; </w:t>
      </w:r>
      <w:r w:rsidRPr="00F0537C">
        <w:rPr>
          <w:rFonts w:ascii="Calibri" w:hAnsi="Calibri" w:cs="Calibri"/>
          <w:i/>
          <w:lang w:val="en-US"/>
        </w:rPr>
        <w:t>Φ</w:t>
      </w:r>
      <w:r w:rsidRPr="00F0537C">
        <w:rPr>
          <w:vertAlign w:val="subscript"/>
          <w:lang w:val="en-US"/>
        </w:rPr>
        <w:t>PL</w:t>
      </w:r>
      <w:r w:rsidRPr="00F0537C">
        <w:rPr>
          <w:lang w:val="en-US"/>
        </w:rPr>
        <w:t xml:space="preserve"> = 84%; FWHM = 0.20 eV; THF); samples measured in PMMA gave prompt and delayed fluorescence lifetimes of 10.7 ns and 136 </w:t>
      </w:r>
      <w:r w:rsidRPr="00F0537C">
        <w:rPr>
          <w:rFonts w:cstheme="minorHAnsi"/>
          <w:lang w:val="en-US"/>
        </w:rPr>
        <w:t>µ</w:t>
      </w:r>
      <w:r w:rsidRPr="00F0537C">
        <w:rPr>
          <w:lang w:val="en-US"/>
        </w:rPr>
        <w:t xml:space="preserve">s, respectively. The optical properties of </w:t>
      </w:r>
      <w:r w:rsidRPr="00F0537C">
        <w:rPr>
          <w:b/>
          <w:lang w:val="en-US"/>
        </w:rPr>
        <w:t>8</w:t>
      </w:r>
      <w:r w:rsidRPr="00F0537C">
        <w:rPr>
          <w:lang w:val="en-US"/>
        </w:rPr>
        <w:t xml:space="preserve"> and of structurally related species were also investigated by quantum-chemical means: Most of these compounds exhibit a small energy gap </w:t>
      </w:r>
      <w:r w:rsidRPr="00F0537C">
        <w:rPr>
          <w:rFonts w:cstheme="minorHAnsi"/>
          <w:lang w:val="en-US"/>
        </w:rPr>
        <w:t>Δ</w:t>
      </w:r>
      <w:r w:rsidRPr="00F0537C">
        <w:rPr>
          <w:i/>
          <w:lang w:val="en-US"/>
        </w:rPr>
        <w:t>E</w:t>
      </w:r>
      <w:r w:rsidRPr="00F0537C">
        <w:rPr>
          <w:vertAlign w:val="subscript"/>
          <w:lang w:val="en-US"/>
        </w:rPr>
        <w:t>ST</w:t>
      </w:r>
      <w:r w:rsidRPr="00F0537C">
        <w:rPr>
          <w:lang w:val="en-US"/>
        </w:rPr>
        <w:t xml:space="preserve"> between the lowest excited singlet (S</w:t>
      </w:r>
      <w:r w:rsidRPr="00F0537C">
        <w:rPr>
          <w:vertAlign w:val="subscript"/>
          <w:lang w:val="en-US"/>
        </w:rPr>
        <w:t>1</w:t>
      </w:r>
      <w:r w:rsidRPr="00F0537C">
        <w:rPr>
          <w:lang w:val="en-US"/>
        </w:rPr>
        <w:t>) and triplet (T</w:t>
      </w:r>
      <w:r w:rsidRPr="00F0537C">
        <w:rPr>
          <w:vertAlign w:val="subscript"/>
          <w:lang w:val="en-US"/>
        </w:rPr>
        <w:t>1</w:t>
      </w:r>
      <w:r w:rsidRPr="00F0537C">
        <w:rPr>
          <w:lang w:val="en-US"/>
        </w:rPr>
        <w:t>) states and a non-negligible spin-orbit coupling (SOC) between S</w:t>
      </w:r>
      <w:r w:rsidRPr="00F0537C">
        <w:rPr>
          <w:vertAlign w:val="subscript"/>
          <w:lang w:val="en-US"/>
        </w:rPr>
        <w:t>1</w:t>
      </w:r>
      <w:r w:rsidRPr="00F0537C">
        <w:rPr>
          <w:lang w:val="en-US"/>
        </w:rPr>
        <w:t xml:space="preserve"> and T</w:t>
      </w:r>
      <w:r w:rsidRPr="00F0537C">
        <w:rPr>
          <w:vertAlign w:val="subscript"/>
          <w:lang w:val="en-US"/>
        </w:rPr>
        <w:t>1</w:t>
      </w:r>
      <w:r w:rsidRPr="00F0537C">
        <w:rPr>
          <w:lang w:val="en-US"/>
        </w:rPr>
        <w:t>/T</w:t>
      </w:r>
      <w:r w:rsidRPr="00F0537C">
        <w:rPr>
          <w:vertAlign w:val="subscript"/>
          <w:lang w:val="en-US"/>
        </w:rPr>
        <w:t>2</w:t>
      </w:r>
      <w:r w:rsidRPr="00F0537C">
        <w:rPr>
          <w:lang w:val="en-US"/>
        </w:rPr>
        <w:t>, demonstrating their potential as thermally activated delayed fluorescence (TADF) emitters</w:t>
      </w:r>
      <w:bookmarkEnd w:id="1"/>
      <w:r w:rsidRPr="00F0537C">
        <w:t>.</w:t>
      </w:r>
      <w:bookmarkEnd w:id="2"/>
    </w:p>
    <w:p w14:paraId="72D734D3" w14:textId="77777777" w:rsidR="00C31118" w:rsidRDefault="00C31118">
      <w:pPr>
        <w:rPr>
          <w:lang w:val="en-US"/>
        </w:rPr>
      </w:pPr>
      <w:r>
        <w:rPr>
          <w:lang w:val="en-US"/>
        </w:rPr>
        <w:br w:type="page"/>
      </w:r>
    </w:p>
    <w:p w14:paraId="742E941B" w14:textId="3052C834" w:rsidR="005C510F" w:rsidRPr="004D69BB" w:rsidRDefault="00420950" w:rsidP="00B42021">
      <w:pPr>
        <w:jc w:val="both"/>
        <w:rPr>
          <w:lang w:val="en-US"/>
        </w:rPr>
      </w:pPr>
      <w:r w:rsidRPr="004D69BB">
        <w:rPr>
          <w:lang w:val="en-US"/>
        </w:rPr>
        <w:lastRenderedPageBreak/>
        <w:t>Introduction:</w:t>
      </w:r>
    </w:p>
    <w:p w14:paraId="4CA7D1AE" w14:textId="7BC95653" w:rsidR="00BA5204" w:rsidRPr="00BA5204" w:rsidRDefault="00BA5204" w:rsidP="00BA5204">
      <w:pPr>
        <w:jc w:val="both"/>
      </w:pPr>
      <w:r w:rsidRPr="00BA5204">
        <w:rPr>
          <w:lang w:val="en-US"/>
        </w:rPr>
        <w:t>Polycyclic aromatic hydrocarbons (PAHs) containing π-electron-accepting B atoms and π-electron-donating N atoms in mutual 1,4-positions find increasing applications as OLED materials.</w:t>
      </w:r>
      <w:r w:rsidRPr="00BA5204">
        <w:rPr>
          <w:lang w:val="en-US"/>
        </w:rPr>
        <w:fldChar w:fldCharType="begin" w:fldLock="1"/>
      </w:r>
      <w:r w:rsidRPr="00BA5204">
        <w:rPr>
          <w:lang w:val="en-US"/>
        </w:rPr>
        <w:instrText>ADDIN CSL_CITATION {"citationItems":[{"id":"ITEM-1","itemData":{"DOI":"10.1055/s-0040-1719851","ISSN":"0039-7881","abstract":"This short review summarizes the origins and recent progress in 1,4-azaborine research, focusing on synthetic methodologies. Academic laboratories have made significant efforts to generate boron-nitrogen-containing heteroaromatic compounds that mimic arenes. 1,2-, 1,3-, and 1,4-Azaborine motifs have provided breakthrough molecules in applications ranging from medicines to materials. Owing to recent advances in polyaromatic 1,4-azaborine synthesis and applications in industry, the research field is currently undergoing a renaissance. Photo- and electroluminescent properties driven by distinct structural variations are key components in the design of novel 1,4-azaborine structures. In this review, seminal reports on the synthesis of simple 1,4-azaborines to complex π-extended structures are briefly highlighted together along with key optoelectronic properties.","author":[{"dropping-particle":"","family":"Shin","given":"Inji","non-dropping-particle":"","parse-names":false,"suffix":""},{"dropping-particle":"","family":"Lim","given":"Hee Nam","non-dropping-particle":"","parse-names":false,"suffix":""},{"dropping-particle":"","family":"Hong","given":"Wan Pyo","non-dropping-particle":"","parse-names":false,"suffix":""}],"container-title":"Synthesis","id":"ITEM-1","issue":"03","issued":{"date-parts":[["2022","2","4"]]},"page":"570-588","title":"1,4-Azaborines: Origin, Modern Synthesis, and Applications as Optoelectronic Materials","type":"article-journal","volume":"54"},"uris":["http://www.mendeley.com/documents/?uuid=0d3a5c31-55a7-40a5-bd1f-97b9a59cc22b"]}],"mendeley":{"formattedCitation":"&lt;sup&gt;1&lt;/sup&gt;","plainTextFormattedCitation":"1","previouslyFormattedCitation":"&lt;sup&gt;1&lt;/sup&gt;"},"properties":{"noteIndex":0},"schema":"https://github.com/citation-style-language/schema/raw/master/csl-citation.json"}</w:instrText>
      </w:r>
      <w:r w:rsidRPr="00BA5204">
        <w:rPr>
          <w:lang w:val="en-US"/>
        </w:rPr>
        <w:fldChar w:fldCharType="separate"/>
      </w:r>
      <w:r w:rsidRPr="00BA5204">
        <w:rPr>
          <w:vertAlign w:val="superscript"/>
          <w:lang w:val="en-US"/>
        </w:rPr>
        <w:t>1</w:t>
      </w:r>
      <w:r w:rsidRPr="00BA5204">
        <w:rPr>
          <w:lang w:val="en-US"/>
        </w:rPr>
        <w:fldChar w:fldCharType="end"/>
      </w:r>
      <w:r w:rsidRPr="00BA5204">
        <w:rPr>
          <w:lang w:val="en-US"/>
        </w:rPr>
        <w:t xml:space="preserve"> The main reason is that such heteroatom doping patterns can lead to a decoupling of the PAH’s frontier orbitals, which, in turn, results in a small energy gap (Δ</w:t>
      </w:r>
      <w:r w:rsidRPr="00BA5204">
        <w:rPr>
          <w:i/>
          <w:lang w:val="en-US"/>
        </w:rPr>
        <w:t>E</w:t>
      </w:r>
      <w:r w:rsidRPr="00BA5204">
        <w:rPr>
          <w:vertAlign w:val="subscript"/>
          <w:lang w:val="en-US"/>
        </w:rPr>
        <w:t>ST</w:t>
      </w:r>
      <w:r w:rsidRPr="00BA5204">
        <w:rPr>
          <w:lang w:val="en-US"/>
        </w:rPr>
        <w:t xml:space="preserve">) between the lowest excited singlet and triplet states, facilitating triplet-to-singlet </w:t>
      </w:r>
      <w:proofErr w:type="spellStart"/>
      <w:r w:rsidRPr="00BA5204">
        <w:rPr>
          <w:lang w:val="en-US"/>
        </w:rPr>
        <w:t>upconversion</w:t>
      </w:r>
      <w:proofErr w:type="spellEnd"/>
      <w:r w:rsidRPr="00BA5204">
        <w:rPr>
          <w:lang w:val="en-US"/>
        </w:rPr>
        <w:t xml:space="preserve">. </w:t>
      </w:r>
      <w:proofErr w:type="gramStart"/>
      <w:r w:rsidRPr="00BA5204">
        <w:rPr>
          <w:lang w:val="en-US"/>
        </w:rPr>
        <w:t>As a consequence</w:t>
      </w:r>
      <w:proofErr w:type="gramEnd"/>
      <w:r w:rsidRPr="00BA5204">
        <w:rPr>
          <w:lang w:val="en-US"/>
        </w:rPr>
        <w:t xml:space="preserve">, corresponding </w:t>
      </w:r>
      <w:proofErr w:type="spellStart"/>
      <w:r w:rsidRPr="00BA5204">
        <w:rPr>
          <w:lang w:val="en-US"/>
        </w:rPr>
        <w:t>B</w:t>
      </w:r>
      <w:r w:rsidRPr="00BA5204">
        <w:rPr>
          <w:i/>
          <w:vertAlign w:val="subscript"/>
          <w:lang w:val="en-US"/>
        </w:rPr>
        <w:t>n</w:t>
      </w:r>
      <w:r w:rsidRPr="00BA5204">
        <w:rPr>
          <w:lang w:val="en-US"/>
        </w:rPr>
        <w:t>,N</w:t>
      </w:r>
      <w:r w:rsidRPr="00BA5204">
        <w:rPr>
          <w:i/>
          <w:vertAlign w:val="subscript"/>
          <w:lang w:val="en-US"/>
        </w:rPr>
        <w:t>m</w:t>
      </w:r>
      <w:proofErr w:type="spellEnd"/>
      <w:r w:rsidRPr="00BA5204">
        <w:rPr>
          <w:lang w:val="en-US"/>
        </w:rPr>
        <w:t>-PAHs are ideal candidates for use as MR-TADF emitters (MR-TADF: multiple resonance thermally activated delayed fluorescence). In theory, MR-TADF compounds can utilize all electrogenerated excitons in an OLED for luminescence, whereas conventional fluorescence emitters are only driven by the 25% of singlet excitons.</w:t>
      </w:r>
      <w:r w:rsidRPr="00BA5204">
        <w:rPr>
          <w:lang w:val="en-US"/>
        </w:rPr>
        <w:fldChar w:fldCharType="begin" w:fldLock="1"/>
      </w:r>
      <w:r w:rsidRPr="00BA5204">
        <w:rPr>
          <w:lang w:val="en-US"/>
        </w:rPr>
        <w:instrText>ADDIN CSL_CITATION {"citationItems":[{"id":"ITEM-1","itemData":{"DOI":"10.1002/adma.201505491","ISSN":"0935-9648","author":[{"dropping-particle":"","family":"Hatakeyama","given":"Takuji","non-dropping-particle":"","parse-names":false,"suffix":""},{"dropping-particle":"","family":"Shiren","given":"Kazushi","non-dropping-particle":"","parse-names":false,"suffix":""},{"dropping-particle":"","family":"Nakajima","given":"Kiichi","non-dropping-particle":"","parse-names":false,"suffix":""},{"dropping-particle":"","family":"Nomura","given":"Shintaro","non-dropping-particle":"","parse-names":false,"suffix":""},{"dropping-particle":"","family":"Nakatsuka","given":"Soichiro","non-dropping-particle":"","parse-names":false,"suffix":""},{"dropping-particle":"","family":"Kinoshita","given":"Keisuke","non-dropping-particle":"","parse-names":false,"suffix":""},{"dropping-particle":"","family":"Ni","given":"Jingping","non-dropping-particle":"","parse-names":false,"suffix":""},{"dropping-particle":"","family":"Ono","given":"Yohei","non-dropping-particle":"","parse-names":false,"suffix":""},{"dropping-particle":"","family":"Ikuta","given":"Toshiaki","non-dropping-particle":"","parse-names":false,"suffix":""}],"container-title":"Advanced Materials","id":"ITEM-1","issue":"14","issued":{"date-parts":[["2016","4","11"]]},"page":"2777-2781","title":"Ultrapure Blue Thermally Activated Delayed Fluorescence Molecules: Efficient HOMO–LUMO Separation by the Multiple Resonance Effect","type":"article-journal","volume":"28"},"uris":["http://www.mendeley.com/documents/?uuid=45d113b7-ca57-4aeb-8916-ad8aefd2b4ce"]},{"id":"ITEM-2","itemData":{"DOI":"10.1038/s41566-019-0476-5","ISSN":"1749-4885","abstract":"Luminescent materials that exhibit narrowband emission are vital for full-colour displays. Here, we report a thermally activated delayed-fluorescence material that exhibits ultrapure blue emission with full-width at half-maximum of just 14 nm. The emitter consists of five benzene rings connected by two boron and four nitrogen atoms and two diphenylamino substituents. The multiple resonance effect of the boron and nitrogen atoms induces significant localization of the highest occupied and lowest unoccupied molecular orbitals on different atoms to minimize not only the vibronic coupling between the ground state (S0) and the singlet excited state (S1) but also the energy gap between the S1 state and triplet excited state (T1). Organic light-emitting diode devices employing the emitter emit light at 469 nm with full-width at half-maximum of 18 nm with an external quantum efficiency of 34.4% at the maximum and 26.0% at 1,000 cd m−2.","author":[{"dropping-particle":"","family":"Kondo","given":"Yasuhiro","non-dropping-particle":"","parse-names":false,"suffix":""},{"dropping-particle":"","family":"Yoshiura","given":"Kazuki","non-dropping-particle":"","parse-names":false,"suffix":""},{"dropping-particle":"","family":"Kitera","given":"Sayuri","non-dropping-particle":"","parse-names":false,"suffix":""},{"dropping-particle":"","family":"Nishi","given":"Hiroki","non-dropping-particle":"","parse-names":false,"suffix":""},{"dropping-particle":"","family":"Oda","given":"Susumu","non-dropping-particle":"","parse-names":false,"suffix":""},{"dropping-particle":"","family":"Gotoh","given":"Hajime","non-dropping-particle":"","parse-names":false,"suffix":""},{"dropping-particle":"","family":"Sasada","given":"Yasuyuki","non-dropping-particle":"","parse-names":false,"suffix":""},{"dropping-particle":"","family":"Yanai","given":"Motoki","non-dropping-particle":"","parse-names":false,"suffix":""},{"dropping-particle":"","family":"Hatakeyama","given":"Takuji","non-dropping-particle":"","parse-names":false,"suffix":""}],"container-title":"Nature Photonics","id":"ITEM-2","issue":"10","issued":{"date-parts":[["2019","10","15"]]},"page":"678-682","publisher":"Springer US","title":"Narrowband deep-blue organic light-emitting diode featuring an organoboron-based emitter","type":"article-journal","volume":"13"},"uris":["http://www.mendeley.com/documents/?uuid=db5fad36-c468-4ee0-a763-d4ce30017aef"]},{"id":"ITEM-3","itemData":{"DOI":"10.1021/jacs.3c02873","ISSN":"0002-7863","PMID":"37192399","abstract":"BN-embedded nonacene, tridecacene, and heptadecacene frameworks were constructed using one-shot quadruple, sextuple, and octuple borylation reactions, respectively. The key to success is the judicious choice of borylating reagents and long-chain alkyl-substituted carbazolyl groups as boron-trapping groups, which suppressed the decrease in HOMO energy and insolubilization associated with borylation. Based on the product yields, each electrophilic C-H borylation proceeded in &gt;99% yield, which is the best efficiency reported so far for C-H borylation reactions. Owing to the multiple resonance effects of boron and nitrogen, the prepared acenes exhibited ultra-narrowband green thermally activated delayed fluorescence with full-width at half-maximum of 12-16 nm; moreover, their kRISCvalues were in the order of 105s-1. We fabricated an organic light-emitting diode by employing the nonacene as an emitter, which exhibited high external quantum efficiency (EQE) of 28.7%. The device also showed a minimum efficiency roll-off with an EQE of 25.8% at 1000 cd m-2","author":[{"dropping-particle":"","family":"Sano","given":"Yusuke","non-dropping-particle":"","parse-names":false,"suffix":""},{"dropping-particle":"","family":"Shintani","given":"Toshiki","non-dropping-particle":"","parse-names":false,"suffix":""},{"dropping-particle":"","family":"Hayakawa","given":"Masahiro","non-dropping-particle":"","parse-names":false,"suffix":""},{"dropping-particle":"","family":"Oda","given":"Susumu","non-dropping-particle":"","parse-names":false,"suffix":""},{"dropping-particle":"","family":"Kondo","given":"Masakazu","non-dropping-particle":"","parse-names":false,"suffix":""},{"dropping-particle":"","family":"Matsushita","given":"Takeshi","non-dropping-particle":"","parse-names":false,"suffix":""},{"dropping-particle":"","family":"Hatakeyama","given":"Takuji","non-dropping-particle":"","parse-names":false,"suffix":""}],"container-title":"Journal of the American Chemical Society","id":"ITEM-3","issue":"21","issued":{"date-parts":[["2023","5","31"]]},"page":"11504-11511","title":"One-Shot Construction of BN-Embedded Heptadecacene Framework Exhibiting Ultra-narrowband Green Thermally Activated Delayed Fluorescence","type":"article-journal","volume":"145"},"uris":["http://www.mendeley.com/documents/?uuid=31d03d74-089f-4d80-bae0-eee1ca5613e2"]},{"id":"ITEM-4","itemData":{"DOI":"10.1002/adpr.202200201","ISSN":"2699-9293","abstract":"Recently, the exploration of boron (B)/heteroatom-embedded polycyclic nanographites featuring multiresonance thermally activated delayed fluorescence (MR-TADF) garners astonishing attention to promote the advancement of organic light-emitting diodes (OLEDs). Contrary to the traditional donor?acceptor (D?A)-type TADF emitters, the MR-TADF emitters manifest narrowband emission with full width at half maximum (FWHM?≤?40?nm) and superior photoluminescence quantum yield (PLQY) coupled with the small singlet?triplet energy splitting, which appeal their potential as promising candidates in fabricating efficient OLEDs. Growingly, MR-TADF emitters deliver benchmark device performance comparable to the conventional TADF/phosphorescent emitters. However, they are suffering from the major drawbacks such as difficult to realize full-color emitters, slow exciton upconversion dynamics, aggregation-caused emission quenching, severe efficiency roll-off, and poor operational lifetime, which jeopardizes their practical applicability. Herein, a comprehensive review on B-based MR-TADF emitters reported till date is presented, focusing on the different design strategies documented for circumventing the aforementioned shortcomings. This review is divided into several subgroups based on the emission color of the materials to draw the attention of organic electronics community toward constructing efficient full-color MR-OLEDs. Finally, challenges and opportunities in the MR-TADF emitters are discussed.","author":[{"dropping-particle":"","family":"Konidena","given":"Rajendra Kumar","non-dropping-particle":"","parse-names":false,"suffix":""},{"dropping-particle":"","family":"Naveen","given":"Kenkera Rayappa","non-dropping-particle":"","parse-names":false,"suffix":""}],"container-title":"Advanced Photonics Research","id":"ITEM-4","issue":"11","issued":{"date-parts":[["2022","11","4"]]},"page":"2200201","title":"Boron‐Based Narrowband Multiresonance Delayed Fluorescent Emitters for Organic Light‐Emitting Diodes","type":"article-journal","volume":"3"},"uris":["http://www.mendeley.com/documents/?uuid=1dcd7c35-2148-4055-b5a2-3cad7f4f18a3"]},{"id":"ITEM-5","itemData":{"DOI":"10.1002/adfm.201908677","ISSN":"1616-301X","abstract":"Since the first report in 2015, multiresonant thermally activated delayed fluorescent (MR‐TADF) compounds, a subclass of TADF emitters based on a heteroatom‐doped nanographene material, have come to the fore as attractive hosts as well as emitters for organic light‐emitting diodes (OLEDs). MR‐TADF compounds typically show very narrow‐band emission, high photoluminescence quantum yields, and small Δ E ST values, typically around 200 meV, coupled with high chemical and thermal stabilities. These materials properties have translated into some of the best reported deep‐blue TADF OLEDs. Here, a detailed review of MR‐TADF compounds and their derivatives reported so far is presented. This review comprehensively documents all MR‐TADF compounds, with a focus on the synthesis, optoelectronic behavior, and OLED performance. In addition, computational approaches are surveyed to accurately model the excited state properties of these compounds.","author":[{"dropping-particle":"","family":"Madayanad Suresh","given":"Subeesh","non-dropping-particle":"","parse-names":false,"suffix":""},{"dropping-particle":"","family":"Hall","given":"David","non-dropping-particle":"","parse-names":false,"suffix":""},{"dropping-particle":"","family":"Beljonne","given":"David","non-dropping-particle":"","parse-names":false,"suffix":""},{"dropping-particle":"","family":"Olivier","given":"Yoann","non-dropping-particle":"","parse-names":false,"suffix":""},{"dropping-particle":"","family":"Zysman‐Colman","given":"Eli","non-dropping-particle":"","parse-names":false,"suffix":""}],"container-title":"Advanced Functional Materials","id":"ITEM-5","issue":"33","issued":{"date-parts":[["2020","8","27"]]},"page":"1908677","title":"Multiresonant Thermally Activated Delayed Fluorescence Emitters Based on Heteroatom‐Doped Nanographenes: Recent Advances and Prospects for Organic Light‐Emitting Diodes","type":"article-journal","volume":"30"},"uris":["http://www.mendeley.com/documents/?uuid=24d544dc-fbbb-4ee3-8af8-29a5e54b82c8"]},{"id":"ITEM-6","itemData":{"DOI":"10.1002/anie.202306413","ISSN":"1433-7851","PMID":"37308770","abstract":"Building blocks and heteroatom alignments are two determining factors in designing multiple resonance (MR)‐type thermally activated delayed fluorescence (TADF) emitters. Carbazole‐fused MR emitters, represented by CzBN derivatives, and the heteroatom alignments of ν ‐DABNA are two star series of MR‐TADF emitters that show impressive performances from the aspects of building blocks and heteroatom alignments, respectively. Herein, a novel CzBN analog, Π‐CzBN, featuring ν ‐DABNA heteroatom alignment is developed via facile one‐shot lithium‐free borylation. Π‐CzBN exhibits superior photophysical properties with a photoluminescence quantum yield close to 100 % and narrowband sky blue emission with a full width at half maximum (FWHM) of 16 nm/85 meV. It also gives efficient TADF properties with a small singlet‐triplet energy offset of 40 meV and a fast reverse intersystem crossing rate of 2.9×10 5 s −1 . The optimized OLED using Π‐CzBN as the emitter achieves an exceptional external quantum efficiency of 39.3 % with a low efficiency roll‐off of 20 % at 1000 cd m −2 and a narrowband emission at 495 nm with FWHM of 21 nm/106 meV, making it one of the best reported devices based on MR emitters with comprehensive performance.","author":[{"dropping-particle":"","family":"Huang","given":"Feng","non-dropping-particle":"","parse-names":false,"suffix":""},{"dropping-particle":"","family":"Fan","given":"Xiao‐Chun","non-dropping-particle":"","parse-names":false,"suffix":""},{"dropping-particle":"","family":"Cheng","given":"Ying‐Chun","non-dropping-particle":"","parse-names":false,"suffix":""},{"dropping-particle":"","family":"Wu","given":"Hao","non-dropping-particle":"","parse-names":false,"suffix":""},{"dropping-particle":"","family":"Xiong","given":"Xin","non-dropping-particle":"","parse-names":false,"suffix":""},{"dropping-particle":"","family":"Yu","given":"Jia","non-dropping-particle":"","parse-names":false,"suffix":""},{"dropping-particle":"","family":"Wang","given":"Kai","non-dropping-particle":"","parse-names":false,"suffix":""},{"dropping-particle":"","family":"Zhang","given":"Xiao‐Hong","non-dropping-particle":"","parse-names":false,"suffix":""}],"container-title":"Angewandte Chemie International Edition","id":"ITEM-6","issue":"32","issued":{"date-parts":[["2023","8","7"]]},"page":"e202306413","title":"Combining Carbazole Building Blocks and ν ‐DABNA Heteroatom Alignment for a Double Boron‐Embedded MR‐TADF Emitter with Improved Performance","type":"article-journal","volume":"62"},"uris":["http://www.mendeley.com/documents/?uuid=dfa331ef-22c2-4fdb-8fa9-cfa3dd7e329c"]},{"id":"ITEM-7","itemData":{"DOI":"10.1002/adfm.202201032","ISSN":"1616-301X","abstract":"The blue multi‐resonance thermally activated delayed fluorescence materials, simultaneously realizing narrow full‐width at half‐maximum, high external quantum efficiency (EQE), and low efficiency roll‐off, remains a formidable challenge. Herein, three novel emitters, namely PTZBN1, PTZBN2, and PTZBN3, are designed by gradual peripheral modification in boron/nitrogen (B/N) embedded polycyclic skeleton, which exhibit progressively hypsochromic‐shifted emission from 490 nm (PTZBN1) to 468 nm (PTZBN3) with photoluminescence quantum yields up to 98%. In particular, the incorporation of sulfone unit in the boron/nitrogen (B/N) embedded polycyclic skeleton provides a simple but effective tactic for narrowband blue emission. The organic light‐emitting diodes based on PTZBN2 achieve one of the‐state‐of‐the‐art EQEs of 34.8% with electroluminescence (EL) peak at 478 nm. Impressively, PTZBN3‐based device exhibits not only a high maximum EQE of 32.0% with EL peak at 468 nm, but also low efficiency roll‐off.","author":[{"dropping-particle":"","family":"Hua","given":"Tao","non-dropping-particle":"","parse-names":false,"suffix":""},{"dropping-particle":"","family":"Miao","given":"Jingsheng","non-dropping-particle":"","parse-names":false,"suffix":""},{"dropping-particle":"","family":"Xia","given":"Han","non-dropping-particle":"","parse-names":false,"suffix":""},{"dropping-particle":"","family":"Huang","given":"Zhongyan","non-dropping-particle":"","parse-names":false,"suffix":""},{"dropping-particle":"","family":"Cao","given":"Xiaosong","non-dropping-particle":"","parse-names":false,"suffix":""},{"dropping-particle":"","family":"Li","given":"Nengquan","non-dropping-particle":"","parse-names":false,"suffix":""},{"dropping-particle":"","family":"Yang","given":"Chuluo","non-dropping-particle":"","parse-names":false,"suffix":""}],"container-title":"Advanced Functional Materials","id":"ITEM-7","issue":"31","issued":{"date-parts":[["2022","8","12"]]},"page":"2201032","title":"Sulfone‐Incorporated Multi‐Resonance TADF Emitter for High‐Performance Narrowband Blue OLEDs with EQE of 32%","type":"article-journal","volume":"32"},"uris":["http://www.mendeley.com/documents/?uuid=db8c7c49-891d-4f1e-ac50-55493eb646ad"]}],"mendeley":{"formattedCitation":"&lt;sup&gt;2–8&lt;/sup&gt;","plainTextFormattedCitation":"2–8","previouslyFormattedCitation":"&lt;sup&gt;2–8&lt;/sup&gt;"},"properties":{"noteIndex":0},"schema":"https://github.com/citation-style-language/schema/raw/master/csl-citation.json"}</w:instrText>
      </w:r>
      <w:r w:rsidRPr="00BA5204">
        <w:rPr>
          <w:lang w:val="en-US"/>
        </w:rPr>
        <w:fldChar w:fldCharType="separate"/>
      </w:r>
      <w:r w:rsidRPr="00BA5204">
        <w:rPr>
          <w:vertAlign w:val="superscript"/>
          <w:lang w:val="en-US"/>
        </w:rPr>
        <w:t>2–8</w:t>
      </w:r>
      <w:r w:rsidRPr="00BA5204">
        <w:rPr>
          <w:lang w:val="en-US"/>
        </w:rPr>
        <w:fldChar w:fldCharType="end"/>
      </w:r>
      <w:r w:rsidRPr="00BA5204">
        <w:rPr>
          <w:lang w:val="en-US"/>
        </w:rPr>
        <w:t xml:space="preserve"> In terms of synthesis, many representatives of MR-TADF </w:t>
      </w:r>
      <w:proofErr w:type="spellStart"/>
      <w:r w:rsidRPr="00BA5204">
        <w:rPr>
          <w:lang w:val="en-US"/>
        </w:rPr>
        <w:t>B</w:t>
      </w:r>
      <w:r w:rsidRPr="00BA5204">
        <w:rPr>
          <w:i/>
          <w:vertAlign w:val="subscript"/>
          <w:lang w:val="en-US"/>
        </w:rPr>
        <w:t>n</w:t>
      </w:r>
      <w:r w:rsidRPr="00BA5204">
        <w:rPr>
          <w:lang w:val="en-US"/>
        </w:rPr>
        <w:t>,N</w:t>
      </w:r>
      <w:r w:rsidRPr="00BA5204">
        <w:rPr>
          <w:i/>
          <w:vertAlign w:val="subscript"/>
          <w:lang w:val="en-US"/>
        </w:rPr>
        <w:t>m</w:t>
      </w:r>
      <w:proofErr w:type="spellEnd"/>
      <w:r w:rsidRPr="00BA5204">
        <w:rPr>
          <w:lang w:val="en-US"/>
        </w:rPr>
        <w:t>-PAHs are notable for their convenient accessibility from suitable aryl amines through electrophilic aromatic borylation with BX</w:t>
      </w:r>
      <w:r w:rsidRPr="00BA5204">
        <w:rPr>
          <w:vertAlign w:val="subscript"/>
          <w:lang w:val="en-US"/>
        </w:rPr>
        <w:t>3</w:t>
      </w:r>
      <w:r w:rsidRPr="00BA5204">
        <w:rPr>
          <w:lang w:val="en-US"/>
        </w:rPr>
        <w:t xml:space="preserve"> (X = Br, I).</w:t>
      </w:r>
      <w:r w:rsidRPr="00BA5204">
        <w:rPr>
          <w:lang w:val="en-US"/>
        </w:rPr>
        <w:fldChar w:fldCharType="begin" w:fldLock="1"/>
      </w:r>
      <w:r w:rsidRPr="00BA5204">
        <w:rPr>
          <w:lang w:val="en-US"/>
        </w:rPr>
        <w:instrText>ADDIN CSL_CITATION {"citationItems":[{"id":"ITEM-1","itemData":{"DOI":"10.1021/jacs.0c10081","ISSN":"0002-7863","PMID":"33151672","abstract":"Herein, we demonstrate that the strategic implementation of electron-accepting tricoordinate boron and electron-donating carbazole subunits into polycyclic aromatic hydrocarbons (PAHs) produces a family of attractive full-color luminophores that can emit narrowband and efficient thermally activated delayed fluorescence (TADF). A versatile modular design for these boron- and carbazole-embedded PAHs can facilitate the systematic modulation of their photophysical and optoelectronic properties. Organic light-emitting diodes that utilize these PAHs as TADF emitters demonstrate narrowband electroluminescence from blue to red, achieving high maximum external quantum efficiencies of 29.3%, 31.8%, and 22.0% for blue, green, and red, respectively.","author":[{"dropping-particle":"","family":"Yang","given":"Minlang","non-dropping-particle":"","parse-names":false,"suffix":""},{"dropping-particle":"","family":"Park","given":"In Seob","non-dropping-particle":"","parse-names":false,"suffix":""},{"dropping-particle":"","family":"Yasuda","given":"Takuma","non-dropping-particle":"","parse-names":false,"suffix":""}],"container-title":"Journal of the American Chemical Society","id":"ITEM-1","issue":"46","issued":{"date-parts":[["2020","11","18"]]},"page":"19468-19472","title":"Full-Color, Narrowband, and High-Efficiency Electroluminescence from Boron and Carbazole Embedded Polycyclic Heteroaromatics","type":"article-journal","volume":"142"},"uris":["http://www.mendeley.com/documents/?uuid=5398c33e-5847-4d49-a742-efe5e7257492","http://www.mendeley.com/documents/?uuid=c3f69c20-8e83-4797-aff3-72b675aceffa"]},{"id":"ITEM-2","itemData":{"DOI":"10.1021/jacs.1c11659","ISSN":"0002-7863","PMID":"34941256","abstract":"An expanded heterohelicene consisting of three BN2-embedded [4]helicene subunits (V-DABNA-Mes) has been synthesized by one-shot triple borylation. The key to success is the excessive use of boron tribromide in an autoclave. Based on the multiple resonance effect of three boron and six nitrogen atoms, V-DABNA-Mes exhibited a narrowband sky-blue thermally activated delayed fluorescence with a full width at half-maximum of 16 nm. The resonating π-extension minimized the singlet-triplet energy gap and enabled rapid reverse intersystem crossing with a rate constant of 4.4 × 105 s-1. The solution-processed organic light-emitting diode device, employed as an emitter, exhibited a narrowband emission at 480 nm with a high external quantum efficiency of 22.9%.","author":[{"dropping-particle":"","family":"Oda","given":"Susumu","non-dropping-particle":"","parse-names":false,"suffix":""},{"dropping-particle":"","family":"Kawakami","given":"Bungo","non-dropping-particle":"","parse-names":false,"suffix":""},{"dropping-particle":"","family":"Yamasaki","given":"Yuki","non-dropping-particle":"","parse-names":false,"suffix":""},{"dropping-particle":"","family":"Matsumoto","given":"Ryuji","non-dropping-particle":"","parse-names":false,"suffix":""},{"dropping-particle":"","family":"Yoshioka","given":"Mayu","non-dropping-particle":"","parse-names":false,"suffix":""},{"dropping-particle":"","family":"Fukushima","given":"Daisuke","non-dropping-particle":"","parse-names":false,"suffix":""},{"dropping-particle":"","family":"Nakatsuka","given":"Soichiro","non-dropping-particle":"","parse-names":false,"suffix":""},{"dropping-particle":"","family":"Hatakeyama","given":"Takuji","non-dropping-particle":"","parse-names":false,"suffix":""}],"container-title":"Journal of the American Chemical Society","id":"ITEM-2","issue":"1","issued":{"date-parts":[["2022","1","12"]]},"page":"106-112","title":"One-Shot Synthesis of Expanded Heterohelicene Exhibiting Narrowband Thermally Activated Delayed Fluorescence","type":"article-journal","volume":"144"},"uris":["http://www.mendeley.com/documents/?uuid=8cf1c46e-2fa6-4ac1-ad62-2f6d8c39a941","http://www.mendeley.com/documents/?uuid=babd677f-c49f-426a-8caa-8e2a6778c775"]},{"id":"ITEM-3","itemData":{"DOI":"10.1002/anie.202201588","ISSN":"1433-7851","PMID":"35536106","abstract":"Multi‐resonance TADF (MR‐TADF) emitters are promising for high‐resolution OLEDs, but the concurrent optimization of excited‐state dynamics and color purity remains a tough challenge. Herein, three deep‐blue MR‐TADF compounds ( BN1 – BN3 ) featuring gradually enlarged ring‐fused structures and increased rigidity are accessed by lithium‐free borylation in high yields from the same precursor, with all the emitters possessing CIE y coordinates below 0.08. Structure–property investigations demonstrate a strategic improvement of the oscillator strength ( f osc ) and acceleration of the reverse intersystem crossing (RISC) process by extending the π‐skeleton, where BN3 realizes a maximum external quantum efficiency (EQE) of 37.6 % and reduced roll‐off, thus showing the best efficiency reported for deep‐blue TADF OLEDs. The internal regulation of the efficiency and color purity of these compounds validate the general effectiveness to achieve advanced deep‐blue narrowband emitters with higher‐order boron/nitrogen‐based MR motifs.","author":[{"dropping-particle":"","family":"Lv","given":"Xialei","non-dropping-particle":"","parse-names":false,"suffix":""},{"dropping-particle":"","family":"Miao","given":"Jingsheng","non-dropping-particle":"","parse-names":false,"suffix":""},{"dropping-particle":"","family":"Liu","given":"Meihui","non-dropping-particle":"","parse-names":false,"suffix":""},{"dropping-particle":"","family":"Peng","given":"Qian","non-dropping-particle":"","parse-names":false,"suffix":""},{"dropping-particle":"","family":"Zhong","given":"Cheng","non-dropping-particle":"","parse-names":false,"suffix":""},{"dropping-particle":"","family":"Hu","given":"Yuxuan","non-dropping-particle":"","parse-names":false,"suffix":""},{"dropping-particle":"","family":"Cao","given":"Xiaosong","non-dropping-particle":"","parse-names":false,"suffix":""},{"dropping-particle":"","family":"Wu","given":"Han","non-dropping-particle":"","parse-names":false,"suffix":""},{"dropping-particle":"","family":"Yang","given":"Yiyu","non-dropping-particle":"","parse-names":false,"suffix":""},{"dropping-particle":"","family":"Zhou","given":"Changjiang","non-dropping-particle":"","parse-names":false,"suffix":""},{"dropping-particle":"","family":"Ma","given":"Jiazhi","non-dropping-particle":"","parse-names":false,"suffix":""},{"dropping-particle":"","family":"Zou","given":"Yang","non-dropping-particle":"","parse-names":false,"suffix":""},{"dropping-particle":"","family":"Yang","given":"Chuluo","non-dropping-particle":"","parse-names":false,"suffix":""}],"container-title":"Angewandte Chemie International Edition","id":"ITEM-3","issue":"29","issued":{"date-parts":[["2022","7","18"]]},"page":"e202201588","title":"Extending the π-Skeleton of Multi-Resonance TADF Materials towards High-Efficiency Narrowband Deep-Blue Emission","type":"article-journal","volume":"61"},"uris":["http://www.mendeley.com/documents/?uuid=d19bce57-e387-42d4-beed-e865199705a3","http://www.mendeley.com/documents/?uuid=ece894e2-a8f4-4dad-9a5f-b7cec9177104"]},{"id":"ITEM-4","itemData":{"DOI":"10.1002/smll.202107574","ISSN":"1613-6810","PMID":"35274463","abstract":"Multi‐resonance (MR) thermally activated delayed fluorescent (TADF) emitters are highly attractive due to their superior color purity as well as efficient light‐harvesting ability from singlets and triplets. However, boron and nitrogen‐based MR‐TADF emitters suffer from their strong π–π interaction owing to their rigid flat cores. Herein, a boron‐based multi‐resonance blue TADF emitter with suppressed intermolecular interaction and isomer formation is developed through a simple synthetic process by introducing meta ‐xylene and meta ‐phenyphenyl groups to the core. The MR‐TADF emitter, mBP‐DABNA‐Me, shows a narrowband blue emission with a peak at 467 nm, along with full width at half maximum of 28 nm, and photoluminescence quantum yield of 97%. Notably, highly efficient pure blue organic light‐emitting diode (OLED) is realized using mBP‐DABNA‐Me, showing a maximum external quantum efficiency of 24.3% and a stable blue emission with a Commission Internationale de L'Eclairage coordinate of (0.124, 0.140). The color purity of the OLED is maintained at a high doping concentration of over 20%, attributed to the suppressed intermolecular interaction between the MR emitters.","author":[{"dropping-particle":"","family":"Cheon","given":"Hyung Jin","non-dropping-particle":"","parse-names":false,"suffix":""},{"dropping-particle":"","family":"Shin","given":"Y.‐S.","non-dropping-particle":"","parse-names":false,"suffix":""},{"dropping-particle":"","family":"Park","given":"N.‐H.","non-dropping-particle":"","parse-names":false,"suffix":""},{"dropping-particle":"","family":"Lee","given":"J.‐H.","non-dropping-particle":"","parse-names":false,"suffix":""},{"dropping-particle":"","family":"Kim","given":"Y.‐H.","non-dropping-particle":"","parse-names":false,"suffix":""}],"container-title":"Small","id":"ITEM-4","issue":"19","issued":{"date-parts":[["2022","5","10"]]},"page":"2107574","title":"Boron‐Based Multi‐Resonance TADF Emitter with Suppressed Intermolecular Interaction and Isomer Formation for Efficient Pure Blue OLEDs","type":"article-journal","volume":"18"},"uris":["http://www.mendeley.com/documents/?uuid=29362736-ca59-4600-b29c-a9888cc6cedb","http://www.mendeley.com/documents/?uuid=2190e291-763b-416a-b080-2421849c44d7"]},{"id":"ITEM-5","itemData":{"DOI":"10.1002/anie.202305580","ISSN":"1433-7851","PMID":"37431732","abstract":"Hindered by spectral broadening issues with redshifted emission, long‐wavelength (e.g., maxima beyond 570 nm) multiple resonance (MR) emitters with full width at half maxima (FWHMs) below 20 nm remain absent. Herein, by strategically embedding diverse boron (B)/nitrogen (N) atomic pairs into a polycyclic aromatic hydrocarbon (PAH) skeleton, we propose a hybrid pattern for the construction of a long‐wavelength narrowband MR emitter. The proof‐of‐concept emitter B4N6‐Me realized orange‐red emission with an extremely small FWHM of 19 nm (energy unit: 70 meV), representing the narrowest FWHM among all reported long‐wavelength MR emitters. Theoretical calculations revealed that the cooperation of the applied para B‐π‐N and para B‐π‐B/N‐π‐N patterns is complementary, which gives rise to both narrowband and redshift characteristics. The corresponding organic light‐emitting diode (OLED) employing B4N6‐Me achieved state‐of‐the‐art performance, e.g., a narrowband orange‐red emission with an FWHM of 27 nm (energy unit: 99 meV), an excellent maximum external quantum efficiency (EQE) of 35.8 %, and ultralow efficiency roll‐off (EQE of 28.4 % at 1000 cd m −2 ). This work provides new insights into the further molecular design and synthesis of long‐wavelength MR emitters.","author":[{"dropping-particle":"","family":"Fan","given":"Xiao‐Chun","non-dropping-particle":"","parse-names":false,"suffix":""},{"dropping-particle":"","family":"Huang","given":"Feng","non-dropping-particle":"","parse-names":false,"suffix":""},{"dropping-particle":"","family":"Wu","given":"Hao","non-dropping-particle":"","parse-names":false,"suffix":""},{"dropping-particle":"","family":"Wang","given":"Hui","non-dropping-particle":"","parse-names":false,"suffix":""},{"dropping-particle":"","family":"Cheng","given":"Ying‐Chun","non-dropping-particle":"","parse-names":false,"suffix":""},{"dropping-particle":"","family":"Yu","given":"Jia","non-dropping-particle":"","parse-names":false,"suffix":""},{"dropping-particle":"","family":"Wang","given":"Kai","non-dropping-particle":"","parse-names":false,"suffix":""},{"dropping-particle":"","family":"Zhang","given":"Xiao‐Hong","non-dropping-particle":"","parse-names":false,"suffix":""}],"container-title":"Angewandte Chemie International Edition","id":"ITEM-5","issue":"35","issued":{"date-parts":[["2023","8","28"]]},"page":"e202305580","title":"A Quadruple‐Borylated Multiple‐Resonance Emitter with para/meta Heteroatomic Patterns for Narrowband Orange‐Red Emission","type":"article-journal","volume":"62"},"uris":["http://www.mendeley.com/documents/?uuid=bfe1f780-e020-47b5-964c-37f3e7453df5","http://www.mendeley.com/documents/?uuid=d419fe14-1e63-40ce-a18b-a47e89c1043d"]},{"id":"ITEM-6","itemData":{"DOI":"10.1038/s41566-019-0476-5","ISSN":"1749-4885","abstract":"Luminescent materials that exhibit narrowband emission are vital for full-colour displays. Here, we report a thermally activated delayed-fluorescence material that exhibits ultrapure blue emission with full-width at half-maximum of just 14 nm. The emitter consists of five benzene rings connected by two boron and four nitrogen atoms and two diphenylamino substituents. The multiple resonance effect of the boron and nitrogen atoms induces significant localization of the highest occupied and lowest unoccupied molecular orbitals on different atoms to minimize not only the vibronic coupling between the ground state (S0) and the singlet excited state (S1) but also the energy gap between the S1 state and triplet excited state (T1). Organic light-emitting diode devices employing the emitter emit light at 469 nm with full-width at half-maximum of 18 nm with an external quantum efficiency of 34.4% at the maximum and 26.0% at 1,000 cd m−2.","author":[{"dropping-particle":"","family":"Kondo","given":"Yasuhiro","non-dropping-particle":"","parse-names":false,"suffix":""},{"dropping-particle":"","family":"Yoshiura","given":"Kazuki","non-dropping-particle":"","parse-names":false,"suffix":""},{"dropping-particle":"","family":"Kitera","given":"Sayuri","non-dropping-particle":"","parse-names":false,"suffix":""},{"dropping-particle":"","family":"Nishi","given":"Hiroki","non-dropping-particle":"","parse-names":false,"suffix":""},{"dropping-particle":"","family":"Oda","given":"Susumu","non-dropping-particle":"","parse-names":false,"suffix":""},{"dropping-particle":"","family":"Gotoh","given":"Hajime","non-dropping-particle":"","parse-names":false,"suffix":""},{"dropping-particle":"","family":"Sasada","given":"Yasuyuki","non-dropping-particle":"","parse-names":false,"suffix":""},{"dropping-particle":"","family":"Yanai","given":"Motoki","non-dropping-particle":"","parse-names":false,"suffix":""},{"dropping-particle":"","family":"Hatakeyama","given":"Takuji","non-dropping-particle":"","parse-names":false,"suffix":""}],"container-title":"Nature Photonics","id":"ITEM-6","issue":"10","issued":{"date-parts":[["2019","10","15"]]},"page":"678-682","publisher":"Springer US","title":"Narrowband deep-blue organic light-emitting diode featuring an organoboron-based emitter","type":"article-journal","volume":"13"},"uris":["http://www.mendeley.com/documents/?uuid=08c4febf-87b2-4678-b1bd-1b3b87306327","http://www.mendeley.com/documents/?uuid=db5fad36-c468-4ee0-a763-d4ce30017aef"]}],"mendeley":{"formattedCitation":"&lt;sup&gt;3,9–13&lt;/sup&gt;","manualFormatting":"3,9–1","plainTextFormattedCitation":"3,9–13","previouslyFormattedCitation":"&lt;sup&gt;3,9–13&lt;/sup&gt;"},"properties":{"noteIndex":0},"schema":"https://github.com/citation-style-language/schema/raw/master/csl-citation.json"}</w:instrText>
      </w:r>
      <w:r w:rsidRPr="00BA5204">
        <w:rPr>
          <w:lang w:val="en-US"/>
        </w:rPr>
        <w:fldChar w:fldCharType="separate"/>
      </w:r>
      <w:r w:rsidRPr="00BA5204">
        <w:rPr>
          <w:vertAlign w:val="superscript"/>
          <w:lang w:val="en-US"/>
        </w:rPr>
        <w:t>3,9–1</w:t>
      </w:r>
      <w:r w:rsidRPr="00BA5204">
        <w:rPr>
          <w:lang w:val="en-US"/>
        </w:rPr>
        <w:fldChar w:fldCharType="end"/>
      </w:r>
      <w:r w:rsidRPr="00BA5204">
        <w:rPr>
          <w:vertAlign w:val="superscript"/>
          <w:lang w:val="en-US"/>
        </w:rPr>
        <w:t>2</w:t>
      </w:r>
      <w:r w:rsidRPr="00BA5204">
        <w:rPr>
          <w:lang w:val="en-US"/>
        </w:rPr>
        <w:t xml:space="preserve"> We recently contributed to this field the B</w:t>
      </w:r>
      <w:r w:rsidRPr="00BA5204">
        <w:rPr>
          <w:vertAlign w:val="subscript"/>
          <w:lang w:val="en-US"/>
        </w:rPr>
        <w:t>3</w:t>
      </w:r>
      <w:r w:rsidRPr="00BA5204">
        <w:rPr>
          <w:lang w:val="en-US"/>
        </w:rPr>
        <w:t>,N</w:t>
      </w:r>
      <w:r w:rsidRPr="00BA5204">
        <w:rPr>
          <w:vertAlign w:val="subscript"/>
          <w:lang w:val="en-US"/>
        </w:rPr>
        <w:t>2</w:t>
      </w:r>
      <w:r w:rsidRPr="00BA5204">
        <w:rPr>
          <w:lang w:val="en-US"/>
        </w:rPr>
        <w:t xml:space="preserve">-PAH </w:t>
      </w:r>
      <w:r w:rsidRPr="00BA5204">
        <w:rPr>
          <w:b/>
          <w:lang w:val="en-US"/>
        </w:rPr>
        <w:t xml:space="preserve">C </w:t>
      </w:r>
      <w:r w:rsidRPr="00BA5204">
        <w:rPr>
          <w:lang w:val="en-US"/>
        </w:rPr>
        <w:t>(Scheme 1), which is one of the few examples that contain more B than N atoms and thus have a formally electron-deficient π system.</w:t>
      </w:r>
      <w:r w:rsidRPr="00BA5204">
        <w:rPr>
          <w:lang w:val="en-US"/>
        </w:rPr>
        <w:fldChar w:fldCharType="begin" w:fldLock="1"/>
      </w:r>
      <w:r w:rsidRPr="00BA5204">
        <w:rPr>
          <w:lang w:val="en-US"/>
        </w:rPr>
        <w:instrText>ADDIN CSL_CITATION {"citationItems":[{"id":"ITEM-1","itemData":{"DOI":"10.1021/acs.orglett.3c04283","ISSN":"1523-7060","author":[{"dropping-particle":"","family":"Zender","given":"Elena","non-dropping-particle":"","parse-names":false,"suffix":""},{"dropping-particle":"","family":"Karger","given":"Sebastian","non-dropping-particle":"","parse-names":false,"suffix":""},{"dropping-particle":"","family":"Neubaur","given":"Robert","non-dropping-particle":"","parse-names":false,"suffix":""},{"dropping-particle":"","family":"Virovets","given":"Alexander","non-dropping-particle":"","parse-names":false,"suffix":""},{"dropping-particle":"","family":"Lerner","given":"Hans-wolfram","non-dropping-particle":"","parse-names":false,"suffix":""},{"dropping-particle":"","family":"Wagner","given":"Matthias","non-dropping-particle":"","parse-names":false,"suffix":""}],"container-title":"Organic Letters","id":"ITEM-1","issue":"4","issued":{"date-parts":[["2024","2","2"]]},"page":"939-944","title":"Green-Emitting Extended B 3 ,N 2 -Doped Polycyclic Aromatic Hydrocarbon with Multiple Resonance Structure","type":"article-journal","volume":"26"},"uris":["http://www.mendeley.com/documents/?uuid=4b163687-c895-480c-9873-d78eb4426f65"]}],"mendeley":{"formattedCitation":"&lt;sup&gt;14&lt;/sup&gt;","manualFormatting":"1","plainTextFormattedCitation":"14"},"properties":{"noteIndex":0},"schema":"https://github.com/citation-style-language/schema/raw/master/csl-citation.json"}</w:instrText>
      </w:r>
      <w:r w:rsidRPr="00BA5204">
        <w:rPr>
          <w:lang w:val="en-US"/>
        </w:rPr>
        <w:fldChar w:fldCharType="separate"/>
      </w:r>
      <w:r w:rsidRPr="00BA5204">
        <w:rPr>
          <w:vertAlign w:val="superscript"/>
          <w:lang w:val="en-US"/>
        </w:rPr>
        <w:t>1</w:t>
      </w:r>
      <w:r w:rsidRPr="00BA5204">
        <w:rPr>
          <w:lang w:val="en-US"/>
        </w:rPr>
        <w:fldChar w:fldCharType="end"/>
      </w:r>
      <w:r w:rsidRPr="00BA5204">
        <w:rPr>
          <w:vertAlign w:val="superscript"/>
          <w:lang w:val="en-US"/>
        </w:rPr>
        <w:t>3</w:t>
      </w:r>
      <w:r w:rsidRPr="00BA5204">
        <w:rPr>
          <w:lang w:val="en-US"/>
        </w:rPr>
        <w:t xml:space="preserve"> Remarkably, in this case the established threefold electrophilic C–H borylation failed for</w:t>
      </w:r>
      <w:r w:rsidRPr="00BA5204">
        <w:rPr>
          <w:rFonts w:cstheme="minorHAnsi"/>
          <w:lang w:val="en-US"/>
        </w:rPr>
        <w:t xml:space="preserve"> </w:t>
      </w:r>
      <w:r w:rsidR="003213F1" w:rsidRPr="00F0537C">
        <w:rPr>
          <w:rFonts w:cstheme="minorHAnsi"/>
          <w:lang w:val="en-US"/>
        </w:rPr>
        <w:t xml:space="preserve">the introduction of the central B atom. Therefore, we had to use the halogenated starting materials </w:t>
      </w:r>
      <w:r w:rsidR="003213F1" w:rsidRPr="00F0537C">
        <w:rPr>
          <w:rFonts w:cstheme="minorHAnsi"/>
          <w:b/>
          <w:lang w:val="en-US"/>
        </w:rPr>
        <w:t>A</w:t>
      </w:r>
      <w:r w:rsidR="003213F1" w:rsidRPr="00F0537C">
        <w:rPr>
          <w:rFonts w:cstheme="minorHAnsi"/>
          <w:lang w:val="en-US"/>
        </w:rPr>
        <w:t xml:space="preserve"> (X = Cl) or </w:t>
      </w:r>
      <w:r w:rsidR="003213F1" w:rsidRPr="00F0537C">
        <w:rPr>
          <w:rFonts w:cstheme="minorHAnsi"/>
          <w:b/>
          <w:lang w:val="en-US"/>
        </w:rPr>
        <w:t>B</w:t>
      </w:r>
      <w:r w:rsidR="003213F1" w:rsidRPr="00F0537C">
        <w:rPr>
          <w:rFonts w:cstheme="minorHAnsi"/>
          <w:lang w:val="en-US"/>
        </w:rPr>
        <w:t xml:space="preserve"> (X = I) and form the first of the three B–C bonds (marked in red) </w:t>
      </w:r>
      <w:r w:rsidR="003213F1" w:rsidRPr="00F0537C">
        <w:rPr>
          <w:rFonts w:cstheme="minorHAnsi"/>
          <w:i/>
          <w:lang w:val="en-US"/>
        </w:rPr>
        <w:t>via</w:t>
      </w:r>
      <w:r w:rsidR="003213F1" w:rsidRPr="00F0537C">
        <w:rPr>
          <w:rFonts w:cstheme="minorHAnsi"/>
          <w:lang w:val="en-US"/>
        </w:rPr>
        <w:t xml:space="preserve"> a lithiation/borylation approach.</w:t>
      </w:r>
      <w:r w:rsidR="003213F1" w:rsidRPr="00F0537C">
        <w:rPr>
          <w:rFonts w:cstheme="minorHAnsi"/>
          <w:lang w:val="en-US"/>
        </w:rPr>
        <w:fldChar w:fldCharType="begin" w:fldLock="1"/>
      </w:r>
      <w:r w:rsidR="003213F1" w:rsidRPr="00F0537C">
        <w:rPr>
          <w:rFonts w:cstheme="minorHAnsi"/>
          <w:lang w:val="en-US"/>
        </w:rPr>
        <w:instrText>ADDIN CSL_CITATION {"citationItems":[{"id":"ITEM-1","itemData":{"DOI":"10.1021/acs.orglett.3c04283","ISSN":"1523-7060","author":[{"dropping-particle":"","family":"Zender","given":"Elena","non-dropping-particle":"","parse-names":false,"suffix":""},{"dropping-particle":"","family":"Karger","given":"Sebastian","non-dropping-particle":"","parse-names":false,"suffix":""},{"dropping-particle":"","family":"Neubaur","given":"Robert","non-dropping-particle":"","parse-names":false,"suffix":""},{"dropping-particle":"","family":"Virovets","given":"Alexander","non-dropping-particle":"","parse-names":false,"suffix":""},{"dropping-particle":"","family":"Lerner","given":"Hans-wolfram","non-dropping-particle":"","parse-names":false,"suffix":""},{"dropping-particle":"","family":"Wagner","given":"Matthias","non-dropping-particle":"","parse-names":false,"suffix":""}],"container-title":"Organic Letters","id":"ITEM-1","issue":"4","issued":{"date-parts":[["2024","2","2"]]},"page":"939-944","title":"Green-Emitting Extended B 3 ,N 2 -Doped Polycyclic Aromatic Hydrocarbon with Multiple Resonance Structure","type":"article-journal","volume":"26"},"uris":["http://www.mendeley.com/documents/?uuid=4b163687-c895-480c-9873-d78eb4426f65"]},{"id":"ITEM-2","itemData":{"DOI":"10.1002/adma.201505491","ISSN":"0935-9648","author":[{"dropping-particle":"","family":"Hatakeyama","given":"Takuji","non-dropping-particle":"","parse-names":false,"suffix":""},{"dropping-particle":"","family":"Shiren","given":"Kazushi","non-dropping-particle":"","parse-names":false,"suffix":""},{"dropping-particle":"","family":"Nakajima","given":"Kiichi","non-dropping-particle":"","parse-names":false,"suffix":""},{"dropping-particle":"","family":"Nomura","given":"Shintaro","non-dropping-particle":"","parse-names":false,"suffix":""},{"dropping-particle":"","family":"Nakatsuka","given":"Soichiro","non-dropping-particle":"","parse-names":false,"suffix":""},{"dropping-particle":"","family":"Kinoshita","given":"Keisuke","non-dropping-particle":"","parse-names":false,"suffix":""},{"dropping-particle":"","family":"Ni","given":"Jingping","non-dropping-particle":"","parse-names":false,"suffix":""},{"dropping-particle":"","family":"Ono","given":"Yohei","non-dropping-particle":"","parse-names":false,"suffix":""},{"dropping-particle":"","family":"Ikuta","given":"Toshiaki","non-dropping-particle":"","parse-names":false,"suffix":""}],"container-title":"Advanced Materials","id":"ITEM-2","issue":"14","issued":{"date-parts":[["2016","4","11"]]},"page":"2777-2781","title":"Ultrapure Blue Thermally Activated Delayed Fluorescence Molecules: Efficient HOMO–LUMO Separation by the Multiple Resonance Effect","type":"article-journal","volume":"28"},"uris":["http://www.mendeley.com/documents/?uuid=45d113b7-ca57-4aeb-8916-ad8aefd2b4ce"]},{"id":"ITEM-3","itemData":{"DOI":"10.1039/D3CS00837A","ISSN":"0306-0012","PMID":"38168795","abstract":"This review highlights organoboron-based multiple-resonance compounds’ synthetic strategies classified as one-pot borylation, one-shot borylation, and late-stage functionalisation, and explores material structure–photophysical property correlations.","author":[{"dropping-particle":"","family":"Mamada","given":"Masashi","non-dropping-particle":"","parse-names":false,"suffix":""},{"dropping-particle":"","family":"Hayakawa","given":"Masahiro","non-dropping-particle":"","parse-names":false,"suffix":""},{"dropping-particle":"","family":"Ochi","given":"Junki","non-dropping-particle":"","parse-names":false,"suffix":""},{"dropping-particle":"","family":"Hatakeyama","given":"Takuji","non-dropping-particle":"","parse-names":false,"suffix":""}],"container-title":"Chemical Society Reviews","id":"ITEM-3","issue":"3","issued":{"date-parts":[["2024"]]},"page":"1624-1692","publisher":"Royal Society of Chemistry","title":"Organoboron-based multiple-resonance emitters: synthesis, structure–property correlations, and prospects","type":"article-journal","volume":"53"},"uris":["http://www.mendeley.com/documents/?uuid=0b72b067-1487-43a7-945a-27527c9d70a9"]},{"id":"ITEM-4","itemData":{"DOI":"10.1002/anie.202210210","ISSN":"1433-7851","abstract":"Multi‐resonance boron‐nitrogen‐containing thermally activated delayed fluorescence (MR‐TADF) emitters have experienced great success in assembling narrowband organic light‐emitting diodes (OLEDs). However, the slow reverse intersystem crossing rate ( k RISC ) of MR‐emitters (10 3 –10 5 s −1 ) that will lead to severe device efficiency roll‐off has received extensive attention and remains a challenging issue. Herein, we put forward a “space‐confined donor‐acceptor (SCDA)” strategy to accelerate RISC process. The introduction of SCDA units onto the MR‐skeleton induces intermediate triplet states, which leads to a multichannel RISC process and thus increases k RISC . As illustrated examples, efficient MR‐emitters have been developed with a sub‐microsecond delayed lifetime and a high k RISC of 2.13×10 6 s −1 , which enables to assemble high‐performance OLEDs with a maximum external quantum efficiency (EQE max ) as high as 32.5 % and an alleviated efficiency roll‐off (EQE 1000 : 22.9 %).","author":[{"dropping-particle":"","family":"Liu","given":"Yang","non-dropping-particle":"","parse-names":false,"suffix":""},{"dropping-particle":"","family":"Xiao","given":"Xin","non-dropping-particle":"","parse-names":false,"suffix":""},{"dropping-particle":"","family":"Huang","given":"Zhenmei","non-dropping-particle":"","parse-names":false,"suffix":""},{"dropping-particle":"","family":"Yang","given":"Dezhi","non-dropping-particle":"","parse-names":false,"suffix":""},{"dropping-particle":"","family":"Ma","given":"Dongge","non-dropping-particle":"","parse-names":false,"suffix":""},{"dropping-particle":"","family":"Liu","given":"Junjie","non-dropping-particle":"","parse-names":false,"suffix":""},{"dropping-particle":"","family":"Lei","given":"Bowen","non-dropping-particle":"","parse-names":false,"suffix":""},{"dropping-particle":"","family":"Bin","given":"Zhengyang","non-dropping-particle":"","parse-names":false,"suffix":""},{"dropping-particle":"","family":"You","given":"Jingsong","non-dropping-particle":"","parse-names":false,"suffix":""}],"container-title":"Angewandte Chemie International Edition","id":"ITEM-4","issue":"40","issued":{"date-parts":[["2022","10","4"]]},"page":"e202210210","title":"Space‐Confined Donor‐Acceptor Strategy Enables Fast Spin‐Flip of Multiple Resonance Emitters for Suppressing Efficiency Roll‐Off","type":"article-journal","volume":"61"},"uris":["http://www.mendeley.com/documents/?uuid=8d7db4a1-c3bd-4b5d-9d39-877ca19b4bec"]},{"id":"ITEM-5","itemData":{"DOI":"10.1002/adom.202100825","ISSN":"2195-1071","abstract":"Multi‐resonance thermally activated delayed fluorescence (MR‐TADF) offers an exceptional solution for narrowband organic light‐emitting diode devices in terms of color purity and luminescence efficiency, while the development of new MR skeleton remains an exigent task. It is hereby demonstrated that a simple modification of the B (boron)−N (nitrogen) framework by sp 3 ‐carbon insertion will significantly bathochromic shift the short‐range charge‐transfer emission, boost the reverse intersystem crossing process, and improve the device performances. The bis(acridan)phenylene‐based skeleton developed in this contribution presents a non‐planar conformation with functional sites to facilely introduce isolating units, deriving two luminophores with quantum yields approaching 90% in film state and narrowband emission. Corresponding green‐emissive devices realize superior performances compared to the planar carbazolyl‐based MR‐TADF analogs, featuring a maximum external quantum efficiency (EQE max ) up to 28.2% and small efficiency roll‐off without the involvement of any sensitizing host.","author":[{"dropping-particle":"","family":"Jiang","given":"Pengcheng","non-dropping-particle":"","parse-names":false,"suffix":""},{"dropping-particle":"","family":"Zhan","given":"Lisi","non-dropping-particle":"","parse-names":false,"suffix":""},{"dropping-particle":"","family":"Cao","given":"Xiaosong","non-dropping-particle":"","parse-names":false,"suffix":""},{"dropping-particle":"","family":"Lv","given":"Xialei","non-dropping-particle":"","parse-names":false,"suffix":""},{"dropping-particle":"","family":"Gong","given":"Shaolong","non-dropping-particle":"","parse-names":false,"suffix":""},{"dropping-particle":"","family":"Chen","given":"Zhanxiang","non-dropping-particle":"","parse-names":false,"suffix":""},{"dropping-particle":"","family":"Zhou","given":"Changjiang","non-dropping-particle":"","parse-names":false,"suffix":""},{"dropping-particle":"","family":"Huang","given":"Zhongyan","non-dropping-particle":"","parse-names":false,"suffix":""},{"dropping-particle":"","family":"Ni","given":"Fan","non-dropping-particle":"","parse-names":false,"suffix":""},{"dropping-particle":"","family":"Zou","given":"Yang","non-dropping-particle":"","parse-names":false,"suffix":""},{"dropping-particle":"","family":"Yang","given":"Chuluo","non-dropping-particle":"","parse-names":false,"suffix":""}],"container-title":"Advanced Optical Materials","id":"ITEM-5","issue":"21","issued":{"date-parts":[["2021","11","19"]]},"page":"2100825","title":"Simple Acridan‐Based Multi‐Resonance Structures Enable Highly Efficient Narrowband Green TADF Electroluminescence","type":"article-journal","volume":"9"},"uris":["http://www.mendeley.com/documents/?uuid=72fc7ed8-743f-45a5-b148-08189ef1156e"]}],"mendeley":{"formattedCitation":"&lt;sup&gt;2,14–17&lt;/sup&gt;","manualFormatting":"2,13–17","plainTextFormattedCitation":"2,14–17","previouslyFormattedCitation":"&lt;sup&gt;2,14–17&lt;/sup&gt;"},"properties":{"noteIndex":0},"schema":"https://github.com/citation-style-language/schema/raw/master/csl-citation.json"}</w:instrText>
      </w:r>
      <w:r w:rsidR="003213F1" w:rsidRPr="00F0537C">
        <w:rPr>
          <w:rFonts w:cstheme="minorHAnsi"/>
          <w:lang w:val="en-US"/>
        </w:rPr>
        <w:fldChar w:fldCharType="separate"/>
      </w:r>
      <w:r w:rsidR="003213F1" w:rsidRPr="00F0537C">
        <w:rPr>
          <w:rFonts w:cstheme="minorHAnsi"/>
          <w:noProof/>
          <w:vertAlign w:val="superscript"/>
          <w:lang w:val="en-US"/>
        </w:rPr>
        <w:t>2,13–17</w:t>
      </w:r>
      <w:r w:rsidR="003213F1" w:rsidRPr="00F0537C">
        <w:rPr>
          <w:rFonts w:cstheme="minorHAnsi"/>
          <w:lang w:val="en-US"/>
        </w:rPr>
        <w:fldChar w:fldCharType="end"/>
      </w:r>
      <w:r w:rsidR="003213F1" w:rsidRPr="00F0537C">
        <w:rPr>
          <w:rFonts w:cstheme="minorHAnsi"/>
          <w:lang w:val="en-US"/>
        </w:rPr>
        <w:t xml:space="preserve"> Herein, we show that no </w:t>
      </w:r>
      <w:r w:rsidR="003213F1" w:rsidRPr="00F0537C">
        <w:rPr>
          <w:rFonts w:cstheme="minorHAnsi"/>
          <w:b/>
          <w:lang w:val="en-US"/>
        </w:rPr>
        <w:t>C</w:t>
      </w:r>
      <w:r w:rsidR="003213F1" w:rsidRPr="00F0537C">
        <w:rPr>
          <w:rFonts w:cstheme="minorHAnsi"/>
          <w:lang w:val="en-US"/>
        </w:rPr>
        <w:t xml:space="preserve"> is formed in the reaction of parent </w:t>
      </w:r>
      <w:r w:rsidR="003213F1" w:rsidRPr="00F0537C">
        <w:rPr>
          <w:rFonts w:cstheme="minorHAnsi"/>
          <w:b/>
          <w:lang w:val="en-US"/>
        </w:rPr>
        <w:t>1</w:t>
      </w:r>
      <w:r w:rsidR="003213F1" w:rsidRPr="00F0537C">
        <w:rPr>
          <w:rFonts w:cstheme="minorHAnsi"/>
          <w:lang w:val="en-US"/>
        </w:rPr>
        <w:t xml:space="preserve"> (X = H) with BBr</w:t>
      </w:r>
      <w:r w:rsidR="003213F1" w:rsidRPr="00F0537C">
        <w:rPr>
          <w:rFonts w:cstheme="minorHAnsi"/>
          <w:vertAlign w:val="subscript"/>
          <w:lang w:val="en-US"/>
        </w:rPr>
        <w:t>3</w:t>
      </w:r>
      <w:r w:rsidR="003213F1" w:rsidRPr="00F0537C">
        <w:rPr>
          <w:rFonts w:cstheme="minorHAnsi"/>
          <w:lang w:val="en-US"/>
        </w:rPr>
        <w:t>, because a skeletal rearrangement to the ladder-type azaborine</w:t>
      </w:r>
      <w:r w:rsidR="003213F1" w:rsidRPr="00F0537C">
        <w:rPr>
          <w:rFonts w:cstheme="minorHAnsi"/>
          <w:lang w:val="en-US"/>
        </w:rPr>
        <w:fldChar w:fldCharType="begin" w:fldLock="1"/>
      </w:r>
      <w:r w:rsidR="003213F1" w:rsidRPr="00F0537C">
        <w:rPr>
          <w:rFonts w:cstheme="minorHAnsi"/>
          <w:lang w:val="en-US"/>
        </w:rPr>
        <w:instrText>ADDIN CSL_CITATION {"citationItems":[{"id":"ITEM-1","itemData":{"DOI":"10.1055/s-0040-1719851","ISSN":"0039-7881","abstract":"This short review summarizes the origins and recent progress in 1,4-azaborine research, focusing on synthetic methodologies. Academic laboratories have made significant efforts to generate boron-nitrogen-containing heteroaromatic compounds that mimic arenes. 1,2-, 1,3-, and 1,4-Azaborine motifs have provided breakthrough molecules in applications ranging from medicines to materials. Owing to recent advances in polyaromatic 1,4-azaborine synthesis and applications in industry, the research field is currently undergoing a renaissance. Photo- and electroluminescent properties driven by distinct structural variations are key components in the design of novel 1,4-azaborine structures. In this review, seminal reports on the synthesis of simple 1,4-azaborines to complex π-extended structures are briefly highlighted together along with key optoelectronic properties.","author":[{"dropping-particle":"","family":"Shin","given":"Inji","non-dropping-particle":"","parse-names":false,"suffix":""},{"dropping-particle":"","family":"Lim","given":"Hee Nam","non-dropping-particle":"","parse-names":false,"suffix":""},{"dropping-particle":"","family":"Hong","given":"Wan Pyo","non-dropping-particle":"","parse-names":false,"suffix":""}],"container-title":"Synthesis","id":"ITEM-1","issue":"03","issued":{"date-parts":[["2022","2","4"]]},"page":"570-588","title":"1,4-Azaborines: Origin, Modern Synthesis, and Applications as Optoelectronic Materials","type":"article-journal","volume":"54"},"uris":["http://www.mendeley.com/documents/?uuid=0d3a5c31-55a7-40a5-bd1f-97b9a59cc22b"]}],"mendeley":{"formattedCitation":"&lt;sup&gt;1&lt;/sup&gt;","plainTextFormattedCitation":"1","previouslyFormattedCitation":"&lt;sup&gt;1&lt;/sup&gt;"},"properties":{"noteIndex":0},"schema":"https://github.com/citation-style-language/schema/raw/master/csl-citation.json"}</w:instrText>
      </w:r>
      <w:r w:rsidR="003213F1" w:rsidRPr="00F0537C">
        <w:rPr>
          <w:rFonts w:cstheme="minorHAnsi"/>
          <w:lang w:val="en-US"/>
        </w:rPr>
        <w:fldChar w:fldCharType="separate"/>
      </w:r>
      <w:r w:rsidR="003213F1" w:rsidRPr="00F0537C">
        <w:rPr>
          <w:rFonts w:cstheme="minorHAnsi"/>
          <w:noProof/>
          <w:vertAlign w:val="superscript"/>
          <w:lang w:val="en-US"/>
        </w:rPr>
        <w:t>1</w:t>
      </w:r>
      <w:r w:rsidR="003213F1" w:rsidRPr="00F0537C">
        <w:rPr>
          <w:rFonts w:cstheme="minorHAnsi"/>
          <w:lang w:val="en-US"/>
        </w:rPr>
        <w:fldChar w:fldCharType="end"/>
      </w:r>
      <w:r w:rsidR="003213F1" w:rsidRPr="00F0537C">
        <w:rPr>
          <w:rFonts w:cstheme="minorHAnsi"/>
          <w:lang w:val="en-US"/>
        </w:rPr>
        <w:t xml:space="preserve"> </w:t>
      </w:r>
      <w:r w:rsidR="003213F1" w:rsidRPr="00F0537C">
        <w:rPr>
          <w:rFonts w:cstheme="minorHAnsi"/>
          <w:b/>
          <w:lang w:val="en-US"/>
        </w:rPr>
        <w:t>2</w:t>
      </w:r>
      <w:r w:rsidR="003213F1" w:rsidRPr="00F0537C">
        <w:rPr>
          <w:rFonts w:cstheme="minorHAnsi"/>
          <w:b/>
          <w:vertAlign w:val="superscript"/>
          <w:lang w:val="en-US"/>
        </w:rPr>
        <w:t>Br</w:t>
      </w:r>
      <w:r w:rsidR="003213F1" w:rsidRPr="00F0537C">
        <w:rPr>
          <w:rFonts w:cstheme="minorHAnsi"/>
          <w:b/>
          <w:lang w:val="en-US"/>
        </w:rPr>
        <w:t xml:space="preserve"> </w:t>
      </w:r>
      <w:r w:rsidR="003213F1" w:rsidRPr="00F0537C">
        <w:rPr>
          <w:rFonts w:cstheme="minorHAnsi"/>
          <w:lang w:val="en-US"/>
        </w:rPr>
        <w:t xml:space="preserve">takes place instead (Scheme 2). We provide insight into some mechanistic details of this rearrangement and expand the scope of the reaction from the 1,3-disubstituted precursor </w:t>
      </w:r>
      <w:r w:rsidR="003213F1" w:rsidRPr="00F0537C">
        <w:rPr>
          <w:rFonts w:cstheme="minorHAnsi"/>
          <w:b/>
          <w:lang w:val="en-US"/>
        </w:rPr>
        <w:t>1</w:t>
      </w:r>
      <w:r w:rsidR="003213F1" w:rsidRPr="00F0537C">
        <w:rPr>
          <w:rFonts w:cstheme="minorHAnsi"/>
          <w:lang w:val="en-US"/>
        </w:rPr>
        <w:t xml:space="preserve"> to its 1,3,5-trisubstituted congener </w:t>
      </w:r>
      <w:r w:rsidR="003213F1" w:rsidRPr="00F0537C">
        <w:rPr>
          <w:rFonts w:cstheme="minorHAnsi"/>
          <w:b/>
          <w:lang w:val="en-US"/>
        </w:rPr>
        <w:t>5</w:t>
      </w:r>
      <w:r w:rsidR="003213F1" w:rsidRPr="00F0537C">
        <w:rPr>
          <w:rFonts w:cstheme="minorHAnsi"/>
          <w:lang w:val="en-US"/>
        </w:rPr>
        <w:t xml:space="preserve"> (Scheme 3)</w:t>
      </w:r>
      <w:r w:rsidR="003213F1" w:rsidRPr="00F0537C">
        <w:t>.</w:t>
      </w:r>
    </w:p>
    <w:p w14:paraId="6AB08244" w14:textId="45CC60BB" w:rsidR="00C572C9" w:rsidRPr="00BA5204" w:rsidRDefault="00C572C9" w:rsidP="00B42021">
      <w:pPr>
        <w:jc w:val="both"/>
        <w:rPr>
          <w:lang w:val="en-GB"/>
        </w:rPr>
      </w:pPr>
    </w:p>
    <w:bookmarkStart w:id="3" w:name="_Hlk164239336"/>
    <w:p w14:paraId="097790BB" w14:textId="47AAF8CC" w:rsidR="003F2F7E" w:rsidRDefault="0005028E" w:rsidP="00B42021">
      <w:pPr>
        <w:jc w:val="both"/>
      </w:pPr>
      <w:r>
        <w:object w:dxaOrig="5787" w:dyaOrig="1880" w14:anchorId="42BE41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4.35pt;height:69.65pt" o:ole="">
            <v:imagedata r:id="rId7" o:title=""/>
          </v:shape>
          <o:OLEObject Type="Embed" ProgID="ChemDraw.Document.6.0" ShapeID="_x0000_i1025" DrawAspect="Content" ObjectID="_1775491948" r:id="rId8"/>
        </w:object>
      </w:r>
      <w:bookmarkEnd w:id="3"/>
    </w:p>
    <w:p w14:paraId="5B3049A7" w14:textId="3CD27AF1" w:rsidR="00923DAC" w:rsidRDefault="00923DAC" w:rsidP="00B42021">
      <w:pPr>
        <w:jc w:val="both"/>
        <w:rPr>
          <w:lang w:val="en-US"/>
        </w:rPr>
      </w:pPr>
      <w:bookmarkStart w:id="4" w:name="_Hlk164239792"/>
      <w:r w:rsidRPr="00793C4D">
        <w:rPr>
          <w:b/>
          <w:lang w:val="en-US"/>
        </w:rPr>
        <w:t xml:space="preserve">Scheme </w:t>
      </w:r>
      <w:r w:rsidRPr="00793C4D">
        <w:rPr>
          <w:b/>
          <w:highlight w:val="magenta"/>
          <w:lang w:val="en-US"/>
        </w:rPr>
        <w:t>1</w:t>
      </w:r>
      <w:r w:rsidRPr="005917B7">
        <w:rPr>
          <w:lang w:val="en-US"/>
        </w:rPr>
        <w:t xml:space="preserve"> </w:t>
      </w:r>
      <w:r w:rsidR="005917B7" w:rsidRPr="005917B7">
        <w:rPr>
          <w:lang w:val="en-US"/>
        </w:rPr>
        <w:t>The B</w:t>
      </w:r>
      <w:r w:rsidR="005917B7" w:rsidRPr="005917B7">
        <w:rPr>
          <w:vertAlign w:val="subscript"/>
          <w:lang w:val="en-US"/>
        </w:rPr>
        <w:t>3</w:t>
      </w:r>
      <w:r w:rsidR="005917B7" w:rsidRPr="005917B7">
        <w:rPr>
          <w:lang w:val="en-US"/>
        </w:rPr>
        <w:t>,N</w:t>
      </w:r>
      <w:r w:rsidR="005917B7" w:rsidRPr="005917B7">
        <w:rPr>
          <w:vertAlign w:val="subscript"/>
          <w:lang w:val="en-US"/>
        </w:rPr>
        <w:t>2</w:t>
      </w:r>
      <w:r w:rsidR="005917B7" w:rsidRPr="005917B7">
        <w:rPr>
          <w:lang w:val="en-US"/>
        </w:rPr>
        <w:t>-P</w:t>
      </w:r>
      <w:r w:rsidR="005917B7">
        <w:rPr>
          <w:lang w:val="en-US"/>
        </w:rPr>
        <w:t xml:space="preserve">AH </w:t>
      </w:r>
      <w:r w:rsidR="005917B7">
        <w:rPr>
          <w:b/>
          <w:lang w:val="en-US"/>
        </w:rPr>
        <w:t>C</w:t>
      </w:r>
      <w:r w:rsidR="005917B7">
        <w:rPr>
          <w:lang w:val="en-US"/>
        </w:rPr>
        <w:t xml:space="preserve"> was synthesized from </w:t>
      </w:r>
      <w:r w:rsidR="005917B7">
        <w:rPr>
          <w:b/>
          <w:lang w:val="en-US"/>
        </w:rPr>
        <w:t>A</w:t>
      </w:r>
      <w:r w:rsidR="005917B7">
        <w:rPr>
          <w:lang w:val="en-US"/>
        </w:rPr>
        <w:t xml:space="preserve"> or </w:t>
      </w:r>
      <w:r w:rsidR="005917B7">
        <w:rPr>
          <w:b/>
          <w:lang w:val="en-US"/>
        </w:rPr>
        <w:t>B</w:t>
      </w:r>
      <w:r w:rsidR="005917B7">
        <w:rPr>
          <w:lang w:val="en-US"/>
        </w:rPr>
        <w:t xml:space="preserve"> </w:t>
      </w:r>
      <w:r w:rsidR="005917B7" w:rsidRPr="00C4660E">
        <w:rPr>
          <w:i/>
          <w:lang w:val="en-US"/>
        </w:rPr>
        <w:t>via</w:t>
      </w:r>
      <w:r w:rsidR="005917B7">
        <w:rPr>
          <w:lang w:val="en-US"/>
        </w:rPr>
        <w:t xml:space="preserve"> a sequence of lithiation/borylation (</w:t>
      </w:r>
      <w:r w:rsidR="00965431">
        <w:rPr>
          <w:lang w:val="en-US"/>
        </w:rPr>
        <w:t>red</w:t>
      </w:r>
      <w:r w:rsidR="005917B7">
        <w:rPr>
          <w:lang w:val="en-US"/>
        </w:rPr>
        <w:t xml:space="preserve"> bond), electrophilic aromatic borylation (blue bonds), and Si/B-exchange reactions (green bonds).</w:t>
      </w:r>
      <w:bookmarkEnd w:id="4"/>
    </w:p>
    <w:p w14:paraId="69A5B04B" w14:textId="6286DF7E" w:rsidR="009F48EE" w:rsidRDefault="009F48EE" w:rsidP="00B42021">
      <w:pPr>
        <w:jc w:val="both"/>
        <w:rPr>
          <w:rFonts w:cstheme="minorHAnsi"/>
          <w:lang w:val="en-US"/>
        </w:rPr>
      </w:pPr>
      <w:r>
        <w:rPr>
          <w:rFonts w:cstheme="minorHAnsi"/>
          <w:lang w:val="en-US"/>
        </w:rPr>
        <w:br w:type="page"/>
      </w:r>
    </w:p>
    <w:p w14:paraId="7E1D4B7F" w14:textId="1AD7F383" w:rsidR="00CB4292" w:rsidRDefault="00CB4292" w:rsidP="00B42021">
      <w:pPr>
        <w:jc w:val="both"/>
        <w:rPr>
          <w:rFonts w:cstheme="minorHAnsi"/>
          <w:lang w:val="en-US"/>
        </w:rPr>
      </w:pPr>
      <w:r>
        <w:rPr>
          <w:rFonts w:cstheme="minorHAnsi"/>
          <w:lang w:val="en-US"/>
        </w:rPr>
        <w:lastRenderedPageBreak/>
        <w:t>Results and discussion:</w:t>
      </w:r>
    </w:p>
    <w:p w14:paraId="0C1569F4" w14:textId="2960443F" w:rsidR="00967975" w:rsidRPr="00967975" w:rsidRDefault="004569CF" w:rsidP="00B42021">
      <w:pPr>
        <w:jc w:val="both"/>
        <w:rPr>
          <w:lang w:val="en-US"/>
        </w:rPr>
      </w:pPr>
      <w:bookmarkStart w:id="5" w:name="_Hlk164240340"/>
      <w:r w:rsidRPr="00F0537C">
        <w:rPr>
          <w:lang w:val="en-US"/>
        </w:rPr>
        <w:t xml:space="preserve">Treatment of </w:t>
      </w:r>
      <w:r w:rsidRPr="00F0537C">
        <w:rPr>
          <w:b/>
          <w:lang w:val="en-US"/>
        </w:rPr>
        <w:t>1</w:t>
      </w:r>
      <w:r w:rsidRPr="00F0537C">
        <w:rPr>
          <w:lang w:val="en-US"/>
        </w:rPr>
        <w:t xml:space="preserve"> with excess BBr</w:t>
      </w:r>
      <w:r w:rsidRPr="00F0537C">
        <w:rPr>
          <w:vertAlign w:val="subscript"/>
          <w:lang w:val="en-US"/>
        </w:rPr>
        <w:t>3</w:t>
      </w:r>
      <w:r w:rsidRPr="00F0537C">
        <w:rPr>
          <w:lang w:val="en-US"/>
        </w:rPr>
        <w:t xml:space="preserve"> in C</w:t>
      </w:r>
      <w:r w:rsidRPr="00F0537C">
        <w:rPr>
          <w:vertAlign w:val="subscript"/>
          <w:lang w:val="en-US"/>
        </w:rPr>
        <w:t>6</w:t>
      </w:r>
      <w:r w:rsidRPr="00F0537C">
        <w:rPr>
          <w:lang w:val="en-US"/>
        </w:rPr>
        <w:t>H</w:t>
      </w:r>
      <w:r w:rsidRPr="00F0537C">
        <w:rPr>
          <w:vertAlign w:val="subscript"/>
          <w:lang w:val="en-US"/>
        </w:rPr>
        <w:t>6</w:t>
      </w:r>
      <w:r w:rsidRPr="00F0537C">
        <w:rPr>
          <w:lang w:val="en-US"/>
        </w:rPr>
        <w:t xml:space="preserve"> (12 equiv., 180 °C, 116 h) results in the formation of a characteristically red precipitate. </w:t>
      </w:r>
      <w:proofErr w:type="spellStart"/>
      <w:r w:rsidRPr="00F0537C">
        <w:rPr>
          <w:lang w:val="en-US"/>
        </w:rPr>
        <w:t>Mesitylation</w:t>
      </w:r>
      <w:proofErr w:type="spellEnd"/>
      <w:r w:rsidRPr="00F0537C">
        <w:rPr>
          <w:lang w:val="en-US"/>
        </w:rPr>
        <w:t xml:space="preserve"> of this primary product with </w:t>
      </w:r>
      <w:proofErr w:type="spellStart"/>
      <w:r w:rsidRPr="00F0537C">
        <w:rPr>
          <w:lang w:val="en-US"/>
        </w:rPr>
        <w:t>MesMgBr</w:t>
      </w:r>
      <w:proofErr w:type="spellEnd"/>
      <w:r w:rsidRPr="00F0537C">
        <w:rPr>
          <w:lang w:val="en-US"/>
        </w:rPr>
        <w:t xml:space="preserve"> affords </w:t>
      </w:r>
      <w:r w:rsidRPr="00F0537C">
        <w:rPr>
          <w:b/>
          <w:lang w:val="en-US"/>
        </w:rPr>
        <w:t>2</w:t>
      </w:r>
      <w:r w:rsidRPr="00F0537C">
        <w:rPr>
          <w:b/>
          <w:vertAlign w:val="superscript"/>
          <w:lang w:val="en-US"/>
        </w:rPr>
        <w:t>Mes</w:t>
      </w:r>
      <w:r w:rsidRPr="00F0537C">
        <w:rPr>
          <w:lang w:val="en-US"/>
        </w:rPr>
        <w:t xml:space="preserve"> in 39% overall yield (</w:t>
      </w:r>
      <w:proofErr w:type="spellStart"/>
      <w:r w:rsidRPr="00F0537C">
        <w:rPr>
          <w:lang w:val="en-US"/>
        </w:rPr>
        <w:t>Mes</w:t>
      </w:r>
      <w:proofErr w:type="spellEnd"/>
      <w:r w:rsidRPr="00F0537C">
        <w:rPr>
          <w:lang w:val="en-US"/>
        </w:rPr>
        <w:t xml:space="preserve">: mesityl; Scheme 2). Compound </w:t>
      </w:r>
      <w:r w:rsidRPr="00F0537C">
        <w:rPr>
          <w:b/>
          <w:lang w:val="en-US"/>
        </w:rPr>
        <w:t>2</w:t>
      </w:r>
      <w:r w:rsidRPr="00F0537C">
        <w:rPr>
          <w:b/>
          <w:vertAlign w:val="superscript"/>
          <w:lang w:val="en-US"/>
        </w:rPr>
        <w:t>Mes</w:t>
      </w:r>
      <w:r w:rsidRPr="00F0537C">
        <w:rPr>
          <w:lang w:val="en-US"/>
        </w:rPr>
        <w:t xml:space="preserve"> was characterized by NMR spectroscopy, X-ray crystallography (Fig. S61), and optoelectronic measurements (see below). Closely related B</w:t>
      </w:r>
      <w:r w:rsidRPr="00F0537C">
        <w:rPr>
          <w:vertAlign w:val="subscript"/>
          <w:lang w:val="en-US"/>
        </w:rPr>
        <w:t>2</w:t>
      </w:r>
      <w:r w:rsidRPr="00F0537C">
        <w:rPr>
          <w:lang w:val="en-US"/>
        </w:rPr>
        <w:t>,N</w:t>
      </w:r>
      <w:r w:rsidRPr="00F0537C">
        <w:rPr>
          <w:vertAlign w:val="subscript"/>
          <w:lang w:val="en-US"/>
        </w:rPr>
        <w:t>2</w:t>
      </w:r>
      <w:r w:rsidRPr="00F0537C">
        <w:rPr>
          <w:lang w:val="en-US"/>
        </w:rPr>
        <w:t>-pentacenes containing N–CH</w:t>
      </w:r>
      <w:r w:rsidRPr="00F0537C">
        <w:rPr>
          <w:vertAlign w:val="subscript"/>
          <w:lang w:val="en-US"/>
        </w:rPr>
        <w:t>2</w:t>
      </w:r>
      <w:r w:rsidRPr="00F0537C">
        <w:rPr>
          <w:lang w:val="en-US"/>
        </w:rPr>
        <w:t>Ph or N–Me</w:t>
      </w:r>
      <w:r>
        <w:rPr>
          <w:lang w:val="en-US"/>
        </w:rPr>
        <w:t xml:space="preserve"> and </w:t>
      </w:r>
      <w:r w:rsidRPr="00F0537C">
        <w:rPr>
          <w:lang w:val="en-US"/>
        </w:rPr>
        <w:t>aryl–</w:t>
      </w:r>
      <w:proofErr w:type="spellStart"/>
      <w:r w:rsidRPr="00F0537C">
        <w:rPr>
          <w:i/>
          <w:lang w:val="en-US"/>
        </w:rPr>
        <w:t>n</w:t>
      </w:r>
      <w:r w:rsidRPr="00F0537C">
        <w:rPr>
          <w:lang w:val="en-US"/>
        </w:rPr>
        <w:t>Bu</w:t>
      </w:r>
      <w:proofErr w:type="spellEnd"/>
      <w:r w:rsidRPr="00F0537C">
        <w:rPr>
          <w:lang w:val="en-US"/>
        </w:rPr>
        <w:t xml:space="preserve"> moieties are known, but have been prepared from tetrabrominated </w:t>
      </w:r>
      <w:r w:rsidRPr="00F0537C">
        <w:rPr>
          <w:i/>
          <w:lang w:val="en-US"/>
        </w:rPr>
        <w:t>m</w:t>
      </w:r>
      <w:r w:rsidRPr="00F0537C">
        <w:rPr>
          <w:lang w:val="en-US"/>
        </w:rPr>
        <w:t>-phenylene diamines.</w:t>
      </w:r>
      <w:r w:rsidRPr="00F0537C">
        <w:rPr>
          <w:lang w:val="en-US"/>
        </w:rPr>
        <w:fldChar w:fldCharType="begin" w:fldLock="1"/>
      </w:r>
      <w:r w:rsidRPr="00F0537C">
        <w:rPr>
          <w:lang w:val="en-US"/>
        </w:rPr>
        <w:instrText>ADDIN CSL_CITATION {"citationItems":[{"id":"ITEM-1","itemData":{"DOI":"10.1002/chem.202301944","ISSN":"0947-6539","abstract":"Boron‐ and nitrogen‐doped polycyclic aromatic hydrocarbons (B‐PAHs) have established a strong foothold in the realm of organic electronics. However, their catalytic potential remains largely untapped. In this study, we synthesise and characterise two bench stable B,N‐doped PAH derivatives based on a 1,4‐azaborinine motif. Most importantly, the anthracene derived structure is an efficient catalyst in the reduction of various carbonyls and imines. These results underscore the potential of B,N‐PAHs in catalytic transformations, setting the stage for deeper exploration in this chemical space.","author":[{"dropping-particle":"","family":"Beek","given":"Chloe M.","non-dropping-particle":"van","parse-names":false,"suffix":""},{"dropping-particle":"","family":"Swarbrook","given":"Amelia M.","non-dropping-particle":"","parse-names":false,"suffix":""},{"dropping-particle":"","family":"Creissen","given":"Charles E.","non-dropping-particle":"","parse-names":false,"suffix":""},{"dropping-particle":"","family":"Hawes","given":"Chris S.","non-dropping-particle":"","parse-names":false,"suffix":""},{"dropping-particle":"","family":"Gazis","given":"Theodore A.","non-dropping-particle":"","parse-names":false,"suffix":""},{"dropping-particle":"","family":"Matthews","given":"Peter D.","non-dropping-particle":"","parse-names":false,"suffix":""}],"container-title":"Chemistry – A European Journal","id":"ITEM-1","issue":"8","issued":{"date-parts":[["2024","2","7"]]},"page":"e202301944","title":"Juggling Optoelectronics and Catalysis: The Dual Talents of Bench Stable 1,4‐Azaborinines","type":"article-journal","volume":"30"},"uris":["http://www.mendeley.com/documents/?uuid=979b41a8-a305-421b-8136-7faebfc67ddd"]},{"id":"ITEM-2","itemData":{"DOI":"10.1021/ol060539n","ISSN":"15237060","abstract":"Ladder-type fused azaborines were synthesized. X-ray crystallographic analysis of a pentacene-type molecule shown here revealed the planarity of a fused azaborine. It was revealed by UV-vis and fluorescence spectra that such fused molecular structures are efficient for the extension of π-conjugated systems containing main group elements. © 2006 American Chemical Society.","author":[{"dropping-particle":"","family":"Agou","given":"Tomohiro","non-dropping-particle":"","parse-names":false,"suffix":""},{"dropping-particle":"","family":"Kobayashi","given":"Junji","non-dropping-particle":"","parse-names":false,"suffix":""},{"dropping-particle":"","family":"Kawashima","given":"Takayuki","non-dropping-particle":"","parse-names":false,"suffix":""}],"container-title":"Organic Letters","id":"ITEM-2","issue":"11","issued":{"date-parts":[["2006"]]},"page":"2241-2244","title":"Syntheses, structure, and optical properties of ladder-type fused azaborines","type":"article-journal","volume":"8"},"uris":["http://www.mendeley.com/documents/?uuid=d9ec0dbd-c975-4a46-9a6f-e7a0463171a5"]},{"id":"ITEM-3","itemData":{"author":[{"dropping-particle":"","family":"EZ2_3","given":"","non-dropping-particle":"","parse-names":false,"suffix":""}],"id":"ITEM-3","issued":{"date-parts":[["0"]]},"note":"For corresponding B3N3-heptacenes see","title":"EZ2_3","type":"article"},"uris":["http://www.mendeley.com/documents/?uuid=3252194b-7dbd-49ef-aaac-aa3549ff3dd9"]}],"mendeley":{"formattedCitation":"&lt;sup&gt;18–20&lt;/sup&gt;","plainTextFormattedCitation":"18–20","previouslyFormattedCitation":"&lt;sup&gt;18–20&lt;/sup&gt;"},"properties":{"noteIndex":0},"schema":"https://github.com/citation-style-language/schema/raw/master/csl-citation.json"}</w:instrText>
      </w:r>
      <w:r w:rsidRPr="00F0537C">
        <w:rPr>
          <w:lang w:val="en-US"/>
        </w:rPr>
        <w:fldChar w:fldCharType="separate"/>
      </w:r>
      <w:r w:rsidRPr="00F0537C">
        <w:rPr>
          <w:noProof/>
          <w:vertAlign w:val="superscript"/>
          <w:lang w:val="en-US"/>
        </w:rPr>
        <w:t>18–20</w:t>
      </w:r>
      <w:r w:rsidRPr="00F0537C">
        <w:rPr>
          <w:lang w:val="en-US"/>
        </w:rPr>
        <w:fldChar w:fldCharType="end"/>
      </w:r>
      <w:r w:rsidRPr="00F0537C">
        <w:rPr>
          <w:lang w:val="en-US"/>
        </w:rPr>
        <w:t xml:space="preserve"> To gain insight</w:t>
      </w:r>
      <w:r>
        <w:rPr>
          <w:lang w:val="en-US"/>
        </w:rPr>
        <w:t xml:space="preserve"> </w:t>
      </w:r>
      <w:r w:rsidR="007F16DE" w:rsidRPr="00F0537C">
        <w:rPr>
          <w:lang w:val="en-US"/>
        </w:rPr>
        <w:t xml:space="preserve">into the mechanism underlying the formation of </w:t>
      </w:r>
      <w:r w:rsidR="007F16DE" w:rsidRPr="00F0537C">
        <w:rPr>
          <w:b/>
          <w:lang w:val="en-US"/>
        </w:rPr>
        <w:t>2</w:t>
      </w:r>
      <w:r w:rsidR="007F16DE" w:rsidRPr="00F0537C">
        <w:rPr>
          <w:b/>
          <w:vertAlign w:val="superscript"/>
          <w:lang w:val="en-US"/>
        </w:rPr>
        <w:t>Mes</w:t>
      </w:r>
      <w:r w:rsidR="007F16DE" w:rsidRPr="00F0537C">
        <w:rPr>
          <w:lang w:val="en-US"/>
        </w:rPr>
        <w:t xml:space="preserve">, </w:t>
      </w:r>
      <w:r w:rsidR="007F16DE" w:rsidRPr="00F0537C">
        <w:rPr>
          <w:b/>
          <w:lang w:val="en-US"/>
        </w:rPr>
        <w:t>1</w:t>
      </w:r>
      <w:r w:rsidR="007F16DE" w:rsidRPr="00F0537C">
        <w:rPr>
          <w:lang w:val="en-US"/>
        </w:rPr>
        <w:t xml:space="preserve"> was stirred with BBr</w:t>
      </w:r>
      <w:r w:rsidR="007F16DE" w:rsidRPr="00F0537C">
        <w:rPr>
          <w:vertAlign w:val="subscript"/>
          <w:lang w:val="en-US"/>
        </w:rPr>
        <w:t>3</w:t>
      </w:r>
      <w:r w:rsidR="007F16DE" w:rsidRPr="00F0537C">
        <w:rPr>
          <w:lang w:val="en-US"/>
        </w:rPr>
        <w:t xml:space="preserve"> (5 equiv.) in CH</w:t>
      </w:r>
      <w:r w:rsidR="007F16DE" w:rsidRPr="00F0537C">
        <w:rPr>
          <w:vertAlign w:val="subscript"/>
          <w:lang w:val="en-US"/>
        </w:rPr>
        <w:t>2</w:t>
      </w:r>
      <w:r w:rsidR="007F16DE" w:rsidRPr="00F0537C">
        <w:rPr>
          <w:lang w:val="en-US"/>
        </w:rPr>
        <w:t>Cl</w:t>
      </w:r>
      <w:r w:rsidR="007F16DE" w:rsidRPr="00F0537C">
        <w:rPr>
          <w:vertAlign w:val="subscript"/>
          <w:lang w:val="en-US"/>
        </w:rPr>
        <w:t>2</w:t>
      </w:r>
      <w:r w:rsidR="007F16DE" w:rsidRPr="00F0537C">
        <w:rPr>
          <w:lang w:val="en-US"/>
        </w:rPr>
        <w:t xml:space="preserve"> at room temperature; subsequent </w:t>
      </w:r>
      <w:proofErr w:type="spellStart"/>
      <w:r w:rsidR="007F16DE" w:rsidRPr="00F0537C">
        <w:rPr>
          <w:lang w:val="en-US"/>
        </w:rPr>
        <w:t>mesitylation</w:t>
      </w:r>
      <w:proofErr w:type="spellEnd"/>
      <w:r w:rsidR="007F16DE" w:rsidRPr="00F0537C">
        <w:rPr>
          <w:lang w:val="en-US"/>
        </w:rPr>
        <w:t xml:space="preserve"> gave </w:t>
      </w:r>
      <w:r w:rsidR="007F16DE" w:rsidRPr="00F0537C">
        <w:rPr>
          <w:b/>
          <w:lang w:val="en-US"/>
        </w:rPr>
        <w:t>3</w:t>
      </w:r>
      <w:r w:rsidR="007F16DE" w:rsidRPr="00F0537C">
        <w:rPr>
          <w:b/>
          <w:vertAlign w:val="superscript"/>
          <w:lang w:val="en-US"/>
        </w:rPr>
        <w:t>Mes</w:t>
      </w:r>
      <w:r w:rsidR="007F16DE" w:rsidRPr="00F0537C">
        <w:rPr>
          <w:lang w:val="en-US"/>
        </w:rPr>
        <w:t xml:space="preserve"> in 42% yield. This suggests that its B–Br precursor </w:t>
      </w:r>
      <w:r w:rsidR="007F16DE" w:rsidRPr="00F0537C">
        <w:rPr>
          <w:b/>
          <w:lang w:val="en-US"/>
        </w:rPr>
        <w:t>3</w:t>
      </w:r>
      <w:r w:rsidR="007F16DE" w:rsidRPr="00F0537C">
        <w:rPr>
          <w:b/>
          <w:vertAlign w:val="superscript"/>
          <w:lang w:val="en-US"/>
        </w:rPr>
        <w:t>Br</w:t>
      </w:r>
      <w:r w:rsidR="007F16DE" w:rsidRPr="00F0537C">
        <w:rPr>
          <w:lang w:val="en-US"/>
        </w:rPr>
        <w:t xml:space="preserve"> is likely present to a significant extent also during the synthesis of </w:t>
      </w:r>
      <w:r w:rsidR="007F16DE" w:rsidRPr="00F0537C">
        <w:rPr>
          <w:b/>
          <w:lang w:val="en-US"/>
        </w:rPr>
        <w:t>2</w:t>
      </w:r>
      <w:r w:rsidR="007F16DE" w:rsidRPr="00F0537C">
        <w:rPr>
          <w:b/>
          <w:vertAlign w:val="superscript"/>
          <w:lang w:val="en-US"/>
        </w:rPr>
        <w:t>Mes</w:t>
      </w:r>
      <w:r w:rsidR="007F16DE" w:rsidRPr="00F0537C">
        <w:rPr>
          <w:lang w:val="en-US"/>
        </w:rPr>
        <w:t xml:space="preserve"> before the red B</w:t>
      </w:r>
      <w:r w:rsidR="007F16DE" w:rsidRPr="00F0537C">
        <w:rPr>
          <w:vertAlign w:val="subscript"/>
          <w:lang w:val="en-US"/>
        </w:rPr>
        <w:t>2</w:t>
      </w:r>
      <w:r w:rsidR="007F16DE" w:rsidRPr="00F0537C">
        <w:rPr>
          <w:lang w:val="en-US"/>
        </w:rPr>
        <w:t>,N</w:t>
      </w:r>
      <w:r w:rsidR="007F16DE" w:rsidRPr="00F0537C">
        <w:rPr>
          <w:vertAlign w:val="subscript"/>
          <w:lang w:val="en-US"/>
        </w:rPr>
        <w:t>2</w:t>
      </w:r>
      <w:r w:rsidR="007F16DE" w:rsidRPr="00F0537C">
        <w:rPr>
          <w:lang w:val="en-US"/>
        </w:rPr>
        <w:t xml:space="preserve">-pentacene </w:t>
      </w:r>
      <w:r w:rsidR="007F16DE" w:rsidRPr="00F0537C">
        <w:rPr>
          <w:b/>
          <w:lang w:val="en-US"/>
        </w:rPr>
        <w:t>2</w:t>
      </w:r>
      <w:r w:rsidR="007F16DE" w:rsidRPr="00F0537C">
        <w:rPr>
          <w:b/>
          <w:vertAlign w:val="superscript"/>
          <w:lang w:val="en-US"/>
        </w:rPr>
        <w:t>Br</w:t>
      </w:r>
      <w:r w:rsidR="007F16DE" w:rsidRPr="00F0537C">
        <w:rPr>
          <w:lang w:val="en-US"/>
        </w:rPr>
        <w:t xml:space="preserve"> precipitates. Consistent with the postulated role of </w:t>
      </w:r>
      <w:r w:rsidR="007F16DE" w:rsidRPr="00F0537C">
        <w:rPr>
          <w:b/>
          <w:lang w:val="en-US"/>
        </w:rPr>
        <w:t>3</w:t>
      </w:r>
      <w:r w:rsidR="007F16DE" w:rsidRPr="00F0537C">
        <w:rPr>
          <w:b/>
          <w:vertAlign w:val="superscript"/>
          <w:lang w:val="en-US"/>
        </w:rPr>
        <w:t>Br</w:t>
      </w:r>
      <w:r w:rsidR="007F16DE" w:rsidRPr="00F0537C">
        <w:rPr>
          <w:lang w:val="en-US"/>
        </w:rPr>
        <w:t xml:space="preserve"> as a key intermediate, </w:t>
      </w:r>
      <w:r w:rsidR="007F16DE" w:rsidRPr="00F0537C">
        <w:rPr>
          <w:b/>
          <w:lang w:val="en-US"/>
        </w:rPr>
        <w:t>2</w:t>
      </w:r>
      <w:r w:rsidR="007F16DE" w:rsidRPr="00F0537C">
        <w:rPr>
          <w:b/>
          <w:vertAlign w:val="superscript"/>
          <w:lang w:val="en-US"/>
        </w:rPr>
        <w:t>Br</w:t>
      </w:r>
      <w:r w:rsidR="007F16DE" w:rsidRPr="00F0537C">
        <w:rPr>
          <w:lang w:val="en-US"/>
        </w:rPr>
        <w:t xml:space="preserve"> is also accessible from </w:t>
      </w:r>
      <w:r w:rsidR="007F16DE" w:rsidRPr="00F0537C">
        <w:rPr>
          <w:b/>
          <w:lang w:val="en-US"/>
        </w:rPr>
        <w:t>3</w:t>
      </w:r>
      <w:r w:rsidR="007F16DE" w:rsidRPr="00F0537C">
        <w:rPr>
          <w:b/>
          <w:vertAlign w:val="superscript"/>
          <w:lang w:val="en-US"/>
        </w:rPr>
        <w:t>Mes</w:t>
      </w:r>
      <w:r w:rsidR="007F16DE" w:rsidRPr="00F0537C">
        <w:rPr>
          <w:lang w:val="en-US"/>
        </w:rPr>
        <w:t xml:space="preserve"> and BBr</w:t>
      </w:r>
      <w:r w:rsidR="007F16DE" w:rsidRPr="00F0537C">
        <w:rPr>
          <w:vertAlign w:val="subscript"/>
          <w:lang w:val="en-US"/>
        </w:rPr>
        <w:t>3</w:t>
      </w:r>
      <w:r w:rsidR="007F16DE" w:rsidRPr="00F0537C">
        <w:rPr>
          <w:lang w:val="en-US"/>
        </w:rPr>
        <w:t xml:space="preserve"> </w:t>
      </w:r>
      <w:r w:rsidR="007F16DE" w:rsidRPr="00F0537C">
        <w:rPr>
          <w:i/>
          <w:lang w:val="en-US"/>
        </w:rPr>
        <w:t>via</w:t>
      </w:r>
      <w:r w:rsidR="007F16DE" w:rsidRPr="00F0537C">
        <w:rPr>
          <w:lang w:val="en-US"/>
        </w:rPr>
        <w:t xml:space="preserve"> an initial demesitylation</w:t>
      </w:r>
      <w:r w:rsidR="007F16DE" w:rsidRPr="00F0537C">
        <w:rPr>
          <w:lang w:val="en-US"/>
        </w:rPr>
        <w:fldChar w:fldCharType="begin" w:fldLock="1"/>
      </w:r>
      <w:r w:rsidR="007F16DE" w:rsidRPr="00F0537C">
        <w:rPr>
          <w:lang w:val="en-US"/>
        </w:rPr>
        <w:instrText>ADDIN CSL_CITATION {"citationItems":[{"id":"ITEM-1","itemData":{"DOI":"10.1002/anie.201912340","ISSN":"1433-7851","PMID":"31670891","abstract":"New symmetric and unsymmetric B,N,B‐doped benzo[4]helicenes 3 – 6 a/b have been achieved in good yields, using a three‐step process, starting from N(tolyl) 3 in a highly divergent manner (7 examples). A borinic acid functionalized 1,4‐B,N‐anthracene 1 was found to display unprecedented reactivity, acting as a convenient and highly effective precursor for selective formation of bromo‐substituted B,N,B‐benzo[4]helicenes 2 a / 2 b via intramolecular borylation and sequential B−Mes bond cleavage in the presence of BBr 3 . Subsequent reaction of 2 a / 2 b with Ar‐Li provided a highly effective toolbox for the preparation of symmetrically/unsymmetrically functionalized B,N,B‐helicenes. Their high photoluminescence quantum yields along with the small Δ E ST suggest their potential as thermally activated delayed fluorescence (TADF) emitters for organic light‐emitting diodes (OLEDs).","author":[{"dropping-particle":"","family":"Knöller","given":"Julius A.","non-dropping-particle":"","parse-names":false,"suffix":""},{"dropping-particle":"","family":"Meng","given":"Guoyun","non-dropping-particle":"","parse-names":false,"suffix":""},{"dropping-particle":"","family":"Wang","given":"Xiang","non-dropping-particle":"","parse-names":false,"suffix":""},{"dropping-particle":"","family":"Hall","given":"David","non-dropping-particle":"","parse-names":false,"suffix":""},{"dropping-particle":"","family":"Pershin","given":"Anton","non-dropping-particle":"","parse-names":false,"suffix":""},{"dropping-particle":"","family":"Beljonne","given":"David","non-dropping-particle":"","parse-names":false,"suffix":""},{"dropping-particle":"","family":"Olivier","given":"Yoann","non-dropping-particle":"","parse-names":false,"suffix":""},{"dropping-particle":"","family":"Laschat","given":"Sabine","non-dropping-particle":"","parse-names":false,"suffix":""},{"dropping-particle":"","family":"Zysman‐Colman","given":"Eli","non-dropping-particle":"","parse-names":false,"suffix":""},{"dropping-particle":"","family":"Wang","given":"Suning","non-dropping-particle":"","parse-names":false,"suffix":""}],"container-title":"Angewandte Chemie International Edition","id":"ITEM-1","issue":"8","issued":{"date-parts":[["2020","2","17"]]},"page":"3156-3160","title":"Intramolecular Borylation via Sequential B−Mes Bond Cleavage for the Divergent Synthesis of B,N,B‐Doped Benzo[4]helicenes","type":"article-journal","volume":"59"},"uris":["http://www.mendeley.com/documents/?uuid=e4685926-b347-4fb9-860d-c06d3e3c986b"]}],"mendeley":{"formattedCitation":"&lt;sup&gt;21&lt;/sup&gt;","plainTextFormattedCitation":"21","previouslyFormattedCitation":"&lt;sup&gt;21&lt;/sup&gt;"},"properties":{"noteIndex":0},"schema":"https://github.com/citation-style-language/schema/raw/master/csl-citation.json"}</w:instrText>
      </w:r>
      <w:r w:rsidR="007F16DE" w:rsidRPr="00F0537C">
        <w:rPr>
          <w:lang w:val="en-US"/>
        </w:rPr>
        <w:fldChar w:fldCharType="separate"/>
      </w:r>
      <w:r w:rsidR="007F16DE" w:rsidRPr="00F0537C">
        <w:rPr>
          <w:noProof/>
          <w:vertAlign w:val="superscript"/>
          <w:lang w:val="en-US"/>
        </w:rPr>
        <w:t>21</w:t>
      </w:r>
      <w:r w:rsidR="007F16DE" w:rsidRPr="00F0537C">
        <w:rPr>
          <w:lang w:val="en-US"/>
        </w:rPr>
        <w:fldChar w:fldCharType="end"/>
      </w:r>
      <w:r w:rsidR="007F16DE" w:rsidRPr="00F0537C">
        <w:rPr>
          <w:lang w:val="en-US"/>
        </w:rPr>
        <w:t xml:space="preserve"> step (Fig. S1). Overall, our experimental observations agree with quantum-chemical calculations (SMD(C</w:t>
      </w:r>
      <w:r w:rsidR="007F16DE" w:rsidRPr="00F0537C">
        <w:rPr>
          <w:vertAlign w:val="subscript"/>
          <w:lang w:val="en-US"/>
        </w:rPr>
        <w:t>6</w:t>
      </w:r>
      <w:r w:rsidR="007F16DE" w:rsidRPr="00F0537C">
        <w:rPr>
          <w:lang w:val="en-US"/>
        </w:rPr>
        <w:t>H</w:t>
      </w:r>
      <w:r w:rsidR="007F16DE" w:rsidRPr="00F0537C">
        <w:rPr>
          <w:vertAlign w:val="subscript"/>
          <w:lang w:val="en-US"/>
        </w:rPr>
        <w:t>6</w:t>
      </w:r>
      <w:r w:rsidR="007F16DE" w:rsidRPr="00F0537C">
        <w:rPr>
          <w:lang w:val="en-US"/>
        </w:rPr>
        <w:t>)/</w:t>
      </w:r>
      <w:r w:rsidR="007F16DE" w:rsidRPr="00F0537C">
        <w:rPr>
          <w:rFonts w:cstheme="minorHAnsi"/>
          <w:i/>
        </w:rPr>
        <w:t>ω</w:t>
      </w:r>
      <w:r w:rsidR="007F16DE" w:rsidRPr="00F0537C">
        <w:rPr>
          <w:lang w:val="en-US"/>
        </w:rPr>
        <w:t>B97XD/def2-TZVP//SMD(C</w:t>
      </w:r>
      <w:r w:rsidR="007F16DE" w:rsidRPr="00F0537C">
        <w:rPr>
          <w:vertAlign w:val="subscript"/>
          <w:lang w:val="en-US"/>
        </w:rPr>
        <w:t>6</w:t>
      </w:r>
      <w:r w:rsidR="007F16DE" w:rsidRPr="00F0537C">
        <w:rPr>
          <w:lang w:val="en-US"/>
        </w:rPr>
        <w:t>H</w:t>
      </w:r>
      <w:r w:rsidR="007F16DE" w:rsidRPr="00F0537C">
        <w:rPr>
          <w:vertAlign w:val="subscript"/>
          <w:lang w:val="en-US"/>
        </w:rPr>
        <w:t>6</w:t>
      </w:r>
      <w:r w:rsidR="007F16DE" w:rsidRPr="00F0537C">
        <w:rPr>
          <w:lang w:val="en-US"/>
        </w:rPr>
        <w:t>)/</w:t>
      </w:r>
      <w:r w:rsidR="007F16DE" w:rsidRPr="00F0537C">
        <w:rPr>
          <w:rFonts w:cstheme="minorHAnsi"/>
          <w:i/>
        </w:rPr>
        <w:t>ω</w:t>
      </w:r>
      <w:r w:rsidR="007F16DE" w:rsidRPr="00F0537C">
        <w:rPr>
          <w:lang w:val="en-US"/>
        </w:rPr>
        <w:t xml:space="preserve">B97XD/def2-SVP), which predict that </w:t>
      </w:r>
      <w:r w:rsidR="007F16DE" w:rsidRPr="00F0537C">
        <w:rPr>
          <w:b/>
          <w:lang w:val="en-US"/>
        </w:rPr>
        <w:t>3</w:t>
      </w:r>
      <w:r w:rsidR="007F16DE" w:rsidRPr="00F0537C">
        <w:rPr>
          <w:b/>
          <w:vertAlign w:val="superscript"/>
          <w:lang w:val="en-US"/>
        </w:rPr>
        <w:t>Br</w:t>
      </w:r>
      <w:r w:rsidR="007F16DE" w:rsidRPr="00F0537C">
        <w:rPr>
          <w:lang w:val="en-US"/>
        </w:rPr>
        <w:t xml:space="preserve"> is less stable by 4.3 kcal mol</w:t>
      </w:r>
      <w:r w:rsidR="007F16DE" w:rsidRPr="00F0537C">
        <w:rPr>
          <w:vertAlign w:val="superscript"/>
          <w:lang w:val="en-US"/>
        </w:rPr>
        <w:t>–1</w:t>
      </w:r>
      <w:r w:rsidR="007F16DE" w:rsidRPr="00F0537C">
        <w:rPr>
          <w:lang w:val="en-US"/>
        </w:rPr>
        <w:t xml:space="preserve"> than its ladder-type isomer </w:t>
      </w:r>
      <w:r w:rsidR="007F16DE" w:rsidRPr="00F0537C">
        <w:rPr>
          <w:b/>
          <w:lang w:val="en-US"/>
        </w:rPr>
        <w:t>2</w:t>
      </w:r>
      <w:r w:rsidR="007F16DE" w:rsidRPr="00F0537C">
        <w:rPr>
          <w:b/>
          <w:vertAlign w:val="superscript"/>
          <w:lang w:val="en-US"/>
        </w:rPr>
        <w:t>Br</w:t>
      </w:r>
      <w:r w:rsidR="007F16DE" w:rsidRPr="00F0537C">
        <w:rPr>
          <w:lang w:val="en-US"/>
        </w:rPr>
        <w:t xml:space="preserve"> (see the ESI for more details). We</w:t>
      </w:r>
      <w:r w:rsidR="007F16DE">
        <w:rPr>
          <w:lang w:val="en-US"/>
        </w:rPr>
        <w:t xml:space="preserve"> </w:t>
      </w:r>
      <w:r w:rsidR="00CD31C9">
        <w:rPr>
          <w:lang w:val="en-US"/>
        </w:rPr>
        <w:t>f</w:t>
      </w:r>
      <w:r w:rsidR="001C60F4">
        <w:rPr>
          <w:lang w:val="en-US"/>
        </w:rPr>
        <w:t>inally</w:t>
      </w:r>
      <w:r w:rsidR="00CD31C9">
        <w:rPr>
          <w:lang w:val="en-US"/>
        </w:rPr>
        <w:t xml:space="preserve"> emphasize that if the focus is not on the reactivity of </w:t>
      </w:r>
      <w:r w:rsidR="00CD31C9">
        <w:rPr>
          <w:b/>
          <w:lang w:val="en-US"/>
        </w:rPr>
        <w:t>1</w:t>
      </w:r>
      <w:r w:rsidR="00CD31C9">
        <w:rPr>
          <w:lang w:val="en-US"/>
        </w:rPr>
        <w:t xml:space="preserve"> but on the preparation of </w:t>
      </w:r>
      <w:r w:rsidR="00967975">
        <w:rPr>
          <w:b/>
          <w:lang w:val="en-US"/>
        </w:rPr>
        <w:t>2</w:t>
      </w:r>
      <w:r w:rsidR="00CD31C9">
        <w:rPr>
          <w:b/>
          <w:vertAlign w:val="superscript"/>
          <w:lang w:val="en-US"/>
        </w:rPr>
        <w:t>Mes</w:t>
      </w:r>
      <w:r w:rsidR="00CD31C9">
        <w:rPr>
          <w:lang w:val="en-US"/>
        </w:rPr>
        <w:t xml:space="preserve">, it is advisable to subject the readily available diamine </w:t>
      </w:r>
      <w:r w:rsidR="00967975">
        <w:rPr>
          <w:b/>
          <w:lang w:val="en-US"/>
        </w:rPr>
        <w:t>4</w:t>
      </w:r>
      <w:r w:rsidR="00CD31C9">
        <w:rPr>
          <w:lang w:val="en-US"/>
        </w:rPr>
        <w:t xml:space="preserve"> to C–H</w:t>
      </w:r>
      <w:r w:rsidR="00C90FC9">
        <w:rPr>
          <w:lang w:val="en-US"/>
        </w:rPr>
        <w:t xml:space="preserve"> </w:t>
      </w:r>
      <w:r w:rsidR="00CD31C9">
        <w:rPr>
          <w:lang w:val="en-US"/>
        </w:rPr>
        <w:t>borylation with BBr</w:t>
      </w:r>
      <w:r w:rsidR="00CD31C9">
        <w:rPr>
          <w:vertAlign w:val="subscript"/>
          <w:lang w:val="en-US"/>
        </w:rPr>
        <w:t>3</w:t>
      </w:r>
      <w:r w:rsidR="00CD31C9">
        <w:rPr>
          <w:lang w:val="en-US"/>
        </w:rPr>
        <w:t xml:space="preserve">, as this protocol gives a yield of </w:t>
      </w:r>
      <w:r w:rsidR="00CD31C9" w:rsidRPr="00CD31C9">
        <w:rPr>
          <w:lang w:val="en-US"/>
        </w:rPr>
        <w:t>58%.</w:t>
      </w:r>
      <w:bookmarkEnd w:id="5"/>
      <w:r w:rsidR="00CD31C9">
        <w:rPr>
          <w:lang w:val="en-US"/>
        </w:rPr>
        <w:t xml:space="preserve"> </w:t>
      </w:r>
    </w:p>
    <w:p w14:paraId="156CC085" w14:textId="29CA76F4" w:rsidR="00CB4292" w:rsidRPr="00CB4292" w:rsidRDefault="0010092D" w:rsidP="00B42021">
      <w:pPr>
        <w:jc w:val="both"/>
        <w:rPr>
          <w:rFonts w:cstheme="minorHAnsi"/>
          <w:lang w:val="en-US"/>
        </w:rPr>
      </w:pPr>
      <w:r>
        <w:object w:dxaOrig="5285" w:dyaOrig="5996" w14:anchorId="06E93926">
          <v:shape id="_x0000_i1026" type="#_x0000_t75" style="width:195pt;height:222pt" o:ole="">
            <v:imagedata r:id="rId9" o:title=""/>
          </v:shape>
          <o:OLEObject Type="Embed" ProgID="ChemDraw.Document.6.0" ShapeID="_x0000_i1026" DrawAspect="Content" ObjectID="_1775491949" r:id="rId10"/>
        </w:object>
      </w:r>
      <w:r w:rsidR="00F43862" w:rsidRPr="00967975">
        <w:rPr>
          <w:lang w:val="en-US"/>
        </w:rPr>
        <w:t xml:space="preserve">                                                                                   </w:t>
      </w:r>
    </w:p>
    <w:p w14:paraId="6D21840D" w14:textId="03057ABE" w:rsidR="00967975" w:rsidRPr="00203254" w:rsidRDefault="00967975" w:rsidP="00B42021">
      <w:pPr>
        <w:jc w:val="both"/>
        <w:rPr>
          <w:lang w:val="en-US"/>
        </w:rPr>
      </w:pPr>
      <w:bookmarkStart w:id="6" w:name="_Hlk164240497"/>
      <w:r w:rsidRPr="00793C4D">
        <w:rPr>
          <w:b/>
          <w:lang w:val="en-US"/>
        </w:rPr>
        <w:t xml:space="preserve">Scheme </w:t>
      </w:r>
      <w:r w:rsidRPr="00793C4D">
        <w:rPr>
          <w:b/>
          <w:highlight w:val="magenta"/>
          <w:lang w:val="en-US"/>
        </w:rPr>
        <w:t>2</w:t>
      </w:r>
      <w:r w:rsidRPr="001D0F59">
        <w:rPr>
          <w:lang w:val="en-US"/>
        </w:rPr>
        <w:t xml:space="preserve"> Synthetic pathways to </w:t>
      </w:r>
      <w:r>
        <w:rPr>
          <w:b/>
          <w:lang w:val="en-US"/>
        </w:rPr>
        <w:t>2</w:t>
      </w:r>
      <w:r>
        <w:rPr>
          <w:b/>
          <w:vertAlign w:val="superscript"/>
          <w:lang w:val="en-US"/>
        </w:rPr>
        <w:t>Mes</w:t>
      </w:r>
      <w:r>
        <w:rPr>
          <w:lang w:val="en-US"/>
        </w:rPr>
        <w:t>. Conditions: (</w:t>
      </w:r>
      <w:proofErr w:type="spellStart"/>
      <w:r>
        <w:rPr>
          <w:lang w:val="en-US"/>
        </w:rPr>
        <w:t>i</w:t>
      </w:r>
      <w:proofErr w:type="spellEnd"/>
      <w:r>
        <w:rPr>
          <w:lang w:val="en-US"/>
        </w:rPr>
        <w:t>) 1. BBr</w:t>
      </w:r>
      <w:r>
        <w:rPr>
          <w:vertAlign w:val="subscript"/>
          <w:lang w:val="en-US"/>
        </w:rPr>
        <w:t>3</w:t>
      </w:r>
      <w:r>
        <w:rPr>
          <w:lang w:val="en-US"/>
        </w:rPr>
        <w:t xml:space="preserve"> (12 equiv</w:t>
      </w:r>
      <w:r w:rsidR="009C24D1">
        <w:rPr>
          <w:lang w:val="en-US"/>
        </w:rPr>
        <w:t>.</w:t>
      </w:r>
      <w:r>
        <w:rPr>
          <w:lang w:val="en-US"/>
        </w:rPr>
        <w:t>), C</w:t>
      </w:r>
      <w:r>
        <w:rPr>
          <w:vertAlign w:val="subscript"/>
          <w:lang w:val="en-US"/>
        </w:rPr>
        <w:t>6</w:t>
      </w:r>
      <w:r>
        <w:rPr>
          <w:lang w:val="en-US"/>
        </w:rPr>
        <w:t>H</w:t>
      </w:r>
      <w:r>
        <w:rPr>
          <w:vertAlign w:val="subscript"/>
          <w:lang w:val="en-US"/>
        </w:rPr>
        <w:t>6</w:t>
      </w:r>
      <w:r>
        <w:rPr>
          <w:lang w:val="en-US"/>
        </w:rPr>
        <w:t xml:space="preserve">, 180 °C, 116 h, </w:t>
      </w:r>
      <w:r w:rsidR="00404F91">
        <w:rPr>
          <w:lang w:val="en-US"/>
        </w:rPr>
        <w:t>sealed</w:t>
      </w:r>
      <w:r>
        <w:rPr>
          <w:lang w:val="en-US"/>
        </w:rPr>
        <w:t xml:space="preserve"> ampoule; 2. </w:t>
      </w:r>
      <w:proofErr w:type="spellStart"/>
      <w:r>
        <w:rPr>
          <w:lang w:val="en-US"/>
        </w:rPr>
        <w:t>MesMgBr</w:t>
      </w:r>
      <w:proofErr w:type="spellEnd"/>
      <w:r>
        <w:rPr>
          <w:lang w:val="en-US"/>
        </w:rPr>
        <w:t xml:space="preserve"> (3 equiv</w:t>
      </w:r>
      <w:r w:rsidR="009C24D1">
        <w:rPr>
          <w:lang w:val="en-US"/>
        </w:rPr>
        <w:t>.</w:t>
      </w:r>
      <w:r>
        <w:rPr>
          <w:lang w:val="en-US"/>
        </w:rPr>
        <w:t>), toluene, –78 °C to room temperature, 39%</w:t>
      </w:r>
      <w:r w:rsidR="00DC2EAF">
        <w:rPr>
          <w:lang w:val="en-US"/>
        </w:rPr>
        <w:t xml:space="preserve"> over two steps</w:t>
      </w:r>
      <w:r>
        <w:rPr>
          <w:lang w:val="en-US"/>
        </w:rPr>
        <w:t>; (ii) BBr</w:t>
      </w:r>
      <w:r>
        <w:rPr>
          <w:vertAlign w:val="subscript"/>
          <w:lang w:val="en-US"/>
        </w:rPr>
        <w:t>3</w:t>
      </w:r>
      <w:r>
        <w:rPr>
          <w:lang w:val="en-US"/>
        </w:rPr>
        <w:t xml:space="preserve"> (5 equiv</w:t>
      </w:r>
      <w:r w:rsidR="009C24D1">
        <w:rPr>
          <w:lang w:val="en-US"/>
        </w:rPr>
        <w:t>.</w:t>
      </w:r>
      <w:r>
        <w:rPr>
          <w:lang w:val="en-US"/>
        </w:rPr>
        <w:t>), CH</w:t>
      </w:r>
      <w:r>
        <w:rPr>
          <w:vertAlign w:val="subscript"/>
          <w:lang w:val="en-US"/>
        </w:rPr>
        <w:t>2</w:t>
      </w:r>
      <w:r>
        <w:rPr>
          <w:lang w:val="en-US"/>
        </w:rPr>
        <w:t>Cl</w:t>
      </w:r>
      <w:r>
        <w:rPr>
          <w:vertAlign w:val="subscript"/>
          <w:lang w:val="en-US"/>
        </w:rPr>
        <w:t>2</w:t>
      </w:r>
      <w:r>
        <w:rPr>
          <w:lang w:val="en-US"/>
        </w:rPr>
        <w:t xml:space="preserve">, room temperature, 1 d, closed J. Young vessel, </w:t>
      </w:r>
      <w:r w:rsidR="00B33787">
        <w:rPr>
          <w:lang w:val="en-US"/>
        </w:rPr>
        <w:t>product was used after solvent exchange without further purification;</w:t>
      </w:r>
      <w:r>
        <w:rPr>
          <w:lang w:val="en-US"/>
        </w:rPr>
        <w:t xml:space="preserve"> (iii) </w:t>
      </w:r>
      <w:proofErr w:type="spellStart"/>
      <w:r>
        <w:rPr>
          <w:lang w:val="en-US"/>
        </w:rPr>
        <w:t>MesMgBr</w:t>
      </w:r>
      <w:proofErr w:type="spellEnd"/>
      <w:r>
        <w:rPr>
          <w:lang w:val="en-US"/>
        </w:rPr>
        <w:t xml:space="preserve"> (3 equiv</w:t>
      </w:r>
      <w:r w:rsidR="009C24D1">
        <w:rPr>
          <w:lang w:val="en-US"/>
        </w:rPr>
        <w:t>.</w:t>
      </w:r>
      <w:r>
        <w:rPr>
          <w:lang w:val="en-US"/>
        </w:rPr>
        <w:t xml:space="preserve"> relative to </w:t>
      </w:r>
      <w:r>
        <w:rPr>
          <w:b/>
          <w:lang w:val="en-US"/>
        </w:rPr>
        <w:t>1</w:t>
      </w:r>
      <w:r>
        <w:rPr>
          <w:lang w:val="en-US"/>
        </w:rPr>
        <w:t>), toluene, –78 °C to room temperature, 42% over two steps;</w:t>
      </w:r>
      <w:r w:rsidRPr="00967975">
        <w:rPr>
          <w:lang w:val="en-US"/>
        </w:rPr>
        <w:t xml:space="preserve"> (iv) </w:t>
      </w:r>
      <w:r>
        <w:rPr>
          <w:lang w:val="en-US"/>
        </w:rPr>
        <w:t>BBr</w:t>
      </w:r>
      <w:r>
        <w:rPr>
          <w:vertAlign w:val="subscript"/>
          <w:lang w:val="en-US"/>
        </w:rPr>
        <w:t>3</w:t>
      </w:r>
      <w:r>
        <w:rPr>
          <w:lang w:val="en-US"/>
        </w:rPr>
        <w:t xml:space="preserve"> (12 equiv</w:t>
      </w:r>
      <w:r w:rsidR="009C24D1">
        <w:rPr>
          <w:lang w:val="en-US"/>
        </w:rPr>
        <w:t>.</w:t>
      </w:r>
      <w:r>
        <w:rPr>
          <w:lang w:val="en-US"/>
        </w:rPr>
        <w:t>), C</w:t>
      </w:r>
      <w:r>
        <w:rPr>
          <w:vertAlign w:val="subscript"/>
          <w:lang w:val="en-US"/>
        </w:rPr>
        <w:t>6</w:t>
      </w:r>
      <w:r>
        <w:rPr>
          <w:lang w:val="en-US"/>
        </w:rPr>
        <w:t>H</w:t>
      </w:r>
      <w:r>
        <w:rPr>
          <w:vertAlign w:val="subscript"/>
          <w:lang w:val="en-US"/>
        </w:rPr>
        <w:t>6</w:t>
      </w:r>
      <w:r>
        <w:rPr>
          <w:lang w:val="en-US"/>
        </w:rPr>
        <w:t xml:space="preserve">, 180 °C, 92 h, </w:t>
      </w:r>
      <w:r w:rsidR="00404F91">
        <w:rPr>
          <w:lang w:val="en-US"/>
        </w:rPr>
        <w:t>sealed</w:t>
      </w:r>
      <w:r>
        <w:rPr>
          <w:lang w:val="en-US"/>
        </w:rPr>
        <w:t xml:space="preserve"> ampoule</w:t>
      </w:r>
      <w:r w:rsidR="00B33787">
        <w:rPr>
          <w:lang w:val="en-US"/>
        </w:rPr>
        <w:t>, product was used after solvent exchange without further purification</w:t>
      </w:r>
      <w:r>
        <w:rPr>
          <w:lang w:val="en-US"/>
        </w:rPr>
        <w:t xml:space="preserve">; (v) </w:t>
      </w:r>
      <w:proofErr w:type="spellStart"/>
      <w:r>
        <w:rPr>
          <w:lang w:val="en-US"/>
        </w:rPr>
        <w:t>MesMgBr</w:t>
      </w:r>
      <w:proofErr w:type="spellEnd"/>
      <w:r>
        <w:rPr>
          <w:lang w:val="en-US"/>
        </w:rPr>
        <w:t xml:space="preserve"> (3 equiv</w:t>
      </w:r>
      <w:r w:rsidR="009C24D1">
        <w:rPr>
          <w:lang w:val="en-US"/>
        </w:rPr>
        <w:t>.</w:t>
      </w:r>
      <w:r>
        <w:rPr>
          <w:lang w:val="en-US"/>
        </w:rPr>
        <w:t xml:space="preserve"> relative to </w:t>
      </w:r>
      <w:r>
        <w:rPr>
          <w:b/>
          <w:lang w:val="en-US"/>
        </w:rPr>
        <w:t>3</w:t>
      </w:r>
      <w:r>
        <w:rPr>
          <w:b/>
          <w:vertAlign w:val="superscript"/>
          <w:lang w:val="en-US"/>
        </w:rPr>
        <w:t>Mes</w:t>
      </w:r>
      <w:r>
        <w:rPr>
          <w:lang w:val="en-US"/>
        </w:rPr>
        <w:t>), toluene, –78 °C to room temperature, 44% over two steps; (vi) 1. BBr</w:t>
      </w:r>
      <w:r>
        <w:rPr>
          <w:vertAlign w:val="subscript"/>
          <w:lang w:val="en-US"/>
        </w:rPr>
        <w:t>3</w:t>
      </w:r>
      <w:r>
        <w:rPr>
          <w:lang w:val="en-US"/>
        </w:rPr>
        <w:t xml:space="preserve"> (12 equiv</w:t>
      </w:r>
      <w:r w:rsidR="009C24D1">
        <w:rPr>
          <w:lang w:val="en-US"/>
        </w:rPr>
        <w:t>.</w:t>
      </w:r>
      <w:r>
        <w:rPr>
          <w:lang w:val="en-US"/>
        </w:rPr>
        <w:t xml:space="preserve">), </w:t>
      </w:r>
      <w:r>
        <w:rPr>
          <w:i/>
          <w:lang w:val="en-US"/>
        </w:rPr>
        <w:t>o</w:t>
      </w:r>
      <w:r>
        <w:rPr>
          <w:lang w:val="en-US"/>
        </w:rPr>
        <w:t xml:space="preserve">-dichlorobenzene, 180 °C, 112 h, </w:t>
      </w:r>
      <w:r w:rsidR="00404F91">
        <w:rPr>
          <w:lang w:val="en-US"/>
        </w:rPr>
        <w:t>sealed</w:t>
      </w:r>
      <w:r>
        <w:rPr>
          <w:lang w:val="en-US"/>
        </w:rPr>
        <w:t xml:space="preserve"> ampoule; 2. </w:t>
      </w:r>
      <w:proofErr w:type="spellStart"/>
      <w:r w:rsidRPr="00967975">
        <w:rPr>
          <w:lang w:val="en-US"/>
        </w:rPr>
        <w:t>MesMgBr</w:t>
      </w:r>
      <w:proofErr w:type="spellEnd"/>
      <w:r w:rsidRPr="00967975">
        <w:rPr>
          <w:lang w:val="en-US"/>
        </w:rPr>
        <w:t xml:space="preserve"> (3 equiv</w:t>
      </w:r>
      <w:r w:rsidR="009C24D1">
        <w:rPr>
          <w:lang w:val="en-US"/>
        </w:rPr>
        <w:t>.</w:t>
      </w:r>
      <w:r w:rsidRPr="00967975">
        <w:rPr>
          <w:lang w:val="en-US"/>
        </w:rPr>
        <w:t>), toluene, –78 °C to room temperature, 58%</w:t>
      </w:r>
      <w:r w:rsidR="00DC2EAF">
        <w:rPr>
          <w:lang w:val="en-US"/>
        </w:rPr>
        <w:t xml:space="preserve"> over two steps</w:t>
      </w:r>
      <w:r w:rsidRPr="00967975">
        <w:rPr>
          <w:lang w:val="en-US"/>
        </w:rPr>
        <w:t>.</w:t>
      </w:r>
    </w:p>
    <w:bookmarkEnd w:id="6"/>
    <w:p w14:paraId="57619AA2" w14:textId="77777777" w:rsidR="00DB3A2E" w:rsidRPr="00203254" w:rsidRDefault="00DB3A2E" w:rsidP="00B42021">
      <w:pPr>
        <w:jc w:val="both"/>
        <w:rPr>
          <w:lang w:val="en-US"/>
        </w:rPr>
      </w:pPr>
    </w:p>
    <w:p w14:paraId="034A9834" w14:textId="77777777" w:rsidR="00093C96" w:rsidRPr="00203254" w:rsidRDefault="00093C96" w:rsidP="00B42021">
      <w:pPr>
        <w:jc w:val="both"/>
        <w:rPr>
          <w:lang w:val="en-US"/>
        </w:rPr>
      </w:pPr>
    </w:p>
    <w:p w14:paraId="0A9A1661" w14:textId="77777777" w:rsidR="00093C96" w:rsidRPr="00203254" w:rsidRDefault="00093C96" w:rsidP="00B42021">
      <w:pPr>
        <w:jc w:val="both"/>
        <w:rPr>
          <w:lang w:val="en-US"/>
        </w:rPr>
      </w:pPr>
    </w:p>
    <w:p w14:paraId="076B1DCB" w14:textId="77777777" w:rsidR="00967975" w:rsidRPr="00203254" w:rsidRDefault="00967975" w:rsidP="00B42021">
      <w:pPr>
        <w:jc w:val="both"/>
        <w:rPr>
          <w:lang w:val="en-US"/>
        </w:rPr>
      </w:pPr>
    </w:p>
    <w:p w14:paraId="0658553F" w14:textId="77777777" w:rsidR="00EE7FE7" w:rsidRPr="00565EC3" w:rsidRDefault="00EE7FE7" w:rsidP="00565EC3">
      <w:pPr>
        <w:jc w:val="both"/>
        <w:rPr>
          <w:lang w:val="en-US"/>
        </w:rPr>
      </w:pPr>
      <w:proofErr w:type="gramStart"/>
      <w:r w:rsidRPr="00565EC3">
        <w:rPr>
          <w:lang w:val="en-US"/>
        </w:rPr>
        <w:lastRenderedPageBreak/>
        <w:t>In an attempt to</w:t>
      </w:r>
      <w:proofErr w:type="gramEnd"/>
      <w:r w:rsidRPr="00565EC3">
        <w:rPr>
          <w:lang w:val="en-US"/>
        </w:rPr>
        <w:t xml:space="preserve"> prepare larger </w:t>
      </w:r>
      <w:proofErr w:type="spellStart"/>
      <w:r w:rsidRPr="00565EC3">
        <w:rPr>
          <w:lang w:val="en-US"/>
        </w:rPr>
        <w:t>B</w:t>
      </w:r>
      <w:r w:rsidRPr="00565EC3">
        <w:rPr>
          <w:i/>
          <w:vertAlign w:val="subscript"/>
          <w:lang w:val="en-US"/>
        </w:rPr>
        <w:t>n</w:t>
      </w:r>
      <w:r w:rsidRPr="00565EC3">
        <w:rPr>
          <w:lang w:val="en-US"/>
        </w:rPr>
        <w:t>,N</w:t>
      </w:r>
      <w:r w:rsidRPr="00565EC3">
        <w:rPr>
          <w:i/>
          <w:vertAlign w:val="subscript"/>
          <w:lang w:val="en-US"/>
        </w:rPr>
        <w:t>m</w:t>
      </w:r>
      <w:proofErr w:type="spellEnd"/>
      <w:r w:rsidRPr="00565EC3">
        <w:rPr>
          <w:lang w:val="en-US"/>
        </w:rPr>
        <w:t xml:space="preserve">-doped PAHs, the protocol of the reaction </w:t>
      </w:r>
      <w:r w:rsidRPr="00565EC3">
        <w:rPr>
          <w:b/>
          <w:lang w:val="en-US"/>
        </w:rPr>
        <w:t xml:space="preserve">1 </w:t>
      </w:r>
      <w:r w:rsidRPr="00565EC3">
        <w:rPr>
          <w:rFonts w:ascii="Times New Roman" w:hAnsi="Times New Roman"/>
          <w:lang w:val="en-US"/>
        </w:rPr>
        <w:t xml:space="preserve">→ </w:t>
      </w:r>
      <w:r w:rsidRPr="00565EC3">
        <w:rPr>
          <w:b/>
          <w:lang w:val="en-US"/>
        </w:rPr>
        <w:t>2</w:t>
      </w:r>
      <w:r w:rsidRPr="00565EC3">
        <w:rPr>
          <w:b/>
          <w:vertAlign w:val="superscript"/>
          <w:lang w:val="en-US"/>
        </w:rPr>
        <w:t>Mes</w:t>
      </w:r>
      <w:r w:rsidRPr="00565EC3">
        <w:rPr>
          <w:lang w:val="en-US"/>
        </w:rPr>
        <w:t xml:space="preserve"> was subsequently adapted to </w:t>
      </w:r>
      <w:proofErr w:type="spellStart"/>
      <w:r w:rsidRPr="00565EC3">
        <w:rPr>
          <w:lang w:val="en-US"/>
        </w:rPr>
        <w:t>tri</w:t>
      </w:r>
      <w:proofErr w:type="spellEnd"/>
      <w:r w:rsidRPr="00565EC3">
        <w:rPr>
          <w:lang w:val="en-US"/>
        </w:rPr>
        <w:t>(</w:t>
      </w:r>
      <w:proofErr w:type="spellStart"/>
      <w:r w:rsidRPr="00565EC3">
        <w:rPr>
          <w:lang w:val="en-US"/>
        </w:rPr>
        <w:t>azasilaanthryl</w:t>
      </w:r>
      <w:proofErr w:type="spellEnd"/>
      <w:r w:rsidRPr="00565EC3">
        <w:rPr>
          <w:lang w:val="en-US"/>
        </w:rPr>
        <w:t xml:space="preserve">)benzene </w:t>
      </w:r>
      <w:r w:rsidRPr="00565EC3">
        <w:rPr>
          <w:b/>
          <w:lang w:val="en-US"/>
        </w:rPr>
        <w:t xml:space="preserve">5 </w:t>
      </w:r>
      <w:r w:rsidRPr="00565EC3">
        <w:rPr>
          <w:lang w:val="en-US"/>
        </w:rPr>
        <w:t>(Scheme 3). Again, the borylation step in C</w:t>
      </w:r>
      <w:r w:rsidRPr="00565EC3">
        <w:rPr>
          <w:vertAlign w:val="subscript"/>
          <w:lang w:val="en-US"/>
        </w:rPr>
        <w:t>6</w:t>
      </w:r>
      <w:r w:rsidRPr="00565EC3">
        <w:rPr>
          <w:lang w:val="en-US"/>
        </w:rPr>
        <w:t>H</w:t>
      </w:r>
      <w:r w:rsidRPr="00565EC3">
        <w:rPr>
          <w:vertAlign w:val="subscript"/>
          <w:lang w:val="en-US"/>
        </w:rPr>
        <w:t>6</w:t>
      </w:r>
      <w:r w:rsidRPr="00565EC3">
        <w:rPr>
          <w:lang w:val="en-US"/>
        </w:rPr>
        <w:t xml:space="preserve"> led to the precipitation of a red solid, which was isolated and </w:t>
      </w:r>
      <w:proofErr w:type="spellStart"/>
      <w:r w:rsidRPr="00565EC3">
        <w:rPr>
          <w:lang w:val="en-US"/>
        </w:rPr>
        <w:t>mesitylated</w:t>
      </w:r>
      <w:proofErr w:type="spellEnd"/>
      <w:r w:rsidRPr="00565EC3">
        <w:rPr>
          <w:lang w:val="en-US"/>
        </w:rPr>
        <w:t xml:space="preserve">. Besides </w:t>
      </w:r>
      <w:r w:rsidRPr="00565EC3">
        <w:rPr>
          <w:b/>
          <w:lang w:val="en-US"/>
        </w:rPr>
        <w:t>2</w:t>
      </w:r>
      <w:r w:rsidRPr="00565EC3">
        <w:rPr>
          <w:b/>
          <w:vertAlign w:val="superscript"/>
          <w:lang w:val="en-US"/>
        </w:rPr>
        <w:t>Mes</w:t>
      </w:r>
      <w:r w:rsidRPr="00565EC3">
        <w:rPr>
          <w:lang w:val="en-US"/>
        </w:rPr>
        <w:t>, which stems from unwanted C–N-bond cleavage,</w:t>
      </w:r>
      <w:r w:rsidRPr="00565EC3">
        <w:rPr>
          <w:lang w:val="en-US"/>
        </w:rPr>
        <w:fldChar w:fldCharType="begin" w:fldLock="1"/>
      </w:r>
      <w:r w:rsidRPr="00565EC3">
        <w:rPr>
          <w:lang w:val="en-US"/>
        </w:rPr>
        <w:instrText>ADDIN CSL_CITATION {"citationItems":[{"id":"ITEM-1","itemData":{"author":[{"dropping-particle":"","family":"EZ2_A","given":"","non-dropping-particle":"","parse-names":false,"suffix":""}],"id":"ITEM-1","issued":{"date-parts":[["0"]]},"title":"EZ2_A","type":"article"},"uris":["http://www.mendeley.com/documents/?uuid=81c29718-025d-4ec9-84e1-f8b0cc403284"]}],"mendeley":{"formattedCitation":"&lt;sup&gt;22&lt;/sup&gt;","plainTextFormattedCitation":"22","previouslyFormattedCitation":"&lt;sup&gt;22&lt;/sup&gt;"},"properties":{"noteIndex":0},"schema":"https://github.com/citation-style-language/schema/raw/master/csl-citation.json"}</w:instrText>
      </w:r>
      <w:r w:rsidRPr="00565EC3">
        <w:rPr>
          <w:lang w:val="en-US"/>
        </w:rPr>
        <w:fldChar w:fldCharType="separate"/>
      </w:r>
      <w:r w:rsidRPr="00565EC3">
        <w:rPr>
          <w:noProof/>
          <w:vertAlign w:val="superscript"/>
          <w:lang w:val="en-US"/>
        </w:rPr>
        <w:t>22</w:t>
      </w:r>
      <w:r w:rsidRPr="00565EC3">
        <w:rPr>
          <w:lang w:val="en-US"/>
        </w:rPr>
        <w:fldChar w:fldCharType="end"/>
      </w:r>
      <w:r w:rsidRPr="00565EC3">
        <w:rPr>
          <w:lang w:val="en-US"/>
        </w:rPr>
        <w:t xml:space="preserve"> the resulting product mixture included </w:t>
      </w:r>
      <w:r w:rsidRPr="00565EC3">
        <w:rPr>
          <w:b/>
          <w:lang w:val="en-US"/>
        </w:rPr>
        <w:t>6</w:t>
      </w:r>
      <w:r w:rsidRPr="00565EC3">
        <w:rPr>
          <w:lang w:val="en-US"/>
        </w:rPr>
        <w:t xml:space="preserve">, </w:t>
      </w:r>
      <w:r w:rsidRPr="00565EC3">
        <w:rPr>
          <w:b/>
          <w:lang w:val="en-US"/>
        </w:rPr>
        <w:t>7</w:t>
      </w:r>
      <w:r w:rsidRPr="00565EC3">
        <w:rPr>
          <w:lang w:val="en-US"/>
        </w:rPr>
        <w:t xml:space="preserve">, and </w:t>
      </w:r>
      <w:r w:rsidRPr="00565EC3">
        <w:rPr>
          <w:b/>
          <w:lang w:val="en-US"/>
        </w:rPr>
        <w:t>8</w:t>
      </w:r>
      <w:r w:rsidRPr="00565EC3">
        <w:rPr>
          <w:lang w:val="en-US"/>
        </w:rPr>
        <w:t xml:space="preserve"> (the latter was isolated in 29% yield). To suppress the formation of </w:t>
      </w:r>
      <w:r w:rsidRPr="00565EC3">
        <w:rPr>
          <w:b/>
          <w:lang w:val="en-US"/>
        </w:rPr>
        <w:t>8</w:t>
      </w:r>
      <w:r w:rsidRPr="00565EC3">
        <w:rPr>
          <w:lang w:val="en-US"/>
        </w:rPr>
        <w:t xml:space="preserve"> and </w:t>
      </w:r>
      <w:r w:rsidRPr="00565EC3">
        <w:rPr>
          <w:b/>
          <w:lang w:val="en-US"/>
        </w:rPr>
        <w:t>2</w:t>
      </w:r>
      <w:r w:rsidRPr="00565EC3">
        <w:rPr>
          <w:b/>
          <w:vertAlign w:val="superscript"/>
          <w:lang w:val="en-US"/>
        </w:rPr>
        <w:t>Mes</w:t>
      </w:r>
      <w:r w:rsidRPr="00565EC3">
        <w:rPr>
          <w:lang w:val="en-US"/>
        </w:rPr>
        <w:t xml:space="preserve"> and to</w:t>
      </w:r>
      <w:r w:rsidRPr="00565EC3">
        <w:rPr>
          <w:b/>
          <w:lang w:val="en-US"/>
        </w:rPr>
        <w:t xml:space="preserve"> </w:t>
      </w:r>
      <w:r w:rsidRPr="00565EC3">
        <w:rPr>
          <w:lang w:val="en-US"/>
        </w:rPr>
        <w:t xml:space="preserve">obtain pure </w:t>
      </w:r>
      <w:r w:rsidRPr="00565EC3">
        <w:rPr>
          <w:b/>
          <w:lang w:val="en-US"/>
        </w:rPr>
        <w:t>6</w:t>
      </w:r>
      <w:r w:rsidRPr="00565EC3">
        <w:rPr>
          <w:lang w:val="en-US"/>
        </w:rPr>
        <w:t xml:space="preserve"> (6%) and </w:t>
      </w:r>
      <w:r w:rsidRPr="00565EC3">
        <w:rPr>
          <w:b/>
          <w:lang w:val="en-US"/>
        </w:rPr>
        <w:t>7</w:t>
      </w:r>
      <w:r w:rsidRPr="00565EC3">
        <w:rPr>
          <w:lang w:val="en-US"/>
        </w:rPr>
        <w:t xml:space="preserve"> (9%), we found it advantageous to perform an </w:t>
      </w:r>
      <w:proofErr w:type="spellStart"/>
      <w:r w:rsidRPr="00565EC3">
        <w:rPr>
          <w:i/>
          <w:lang w:val="en-US"/>
        </w:rPr>
        <w:t>i</w:t>
      </w:r>
      <w:r w:rsidRPr="00565EC3">
        <w:rPr>
          <w:lang w:val="en-US"/>
        </w:rPr>
        <w:t>PrOH</w:t>
      </w:r>
      <w:proofErr w:type="spellEnd"/>
      <w:r w:rsidRPr="00565EC3">
        <w:rPr>
          <w:lang w:val="en-US"/>
        </w:rPr>
        <w:t xml:space="preserve"> quench instead of the </w:t>
      </w:r>
      <w:proofErr w:type="spellStart"/>
      <w:r w:rsidRPr="00565EC3">
        <w:rPr>
          <w:lang w:val="en-US"/>
        </w:rPr>
        <w:t>mesitylation</w:t>
      </w:r>
      <w:proofErr w:type="spellEnd"/>
      <w:r w:rsidRPr="00565EC3">
        <w:rPr>
          <w:lang w:val="en-US"/>
        </w:rPr>
        <w:t xml:space="preserve"> step. All three compounds </w:t>
      </w:r>
      <w:r w:rsidRPr="00565EC3">
        <w:rPr>
          <w:b/>
          <w:lang w:val="en-US"/>
        </w:rPr>
        <w:t>6</w:t>
      </w:r>
      <w:r w:rsidRPr="00565EC3">
        <w:rPr>
          <w:lang w:val="en-US"/>
        </w:rPr>
        <w:t>–</w:t>
      </w:r>
      <w:r w:rsidRPr="00565EC3">
        <w:rPr>
          <w:b/>
          <w:lang w:val="en-US"/>
        </w:rPr>
        <w:t>8</w:t>
      </w:r>
      <w:r w:rsidRPr="00565EC3">
        <w:rPr>
          <w:lang w:val="en-US"/>
        </w:rPr>
        <w:t xml:space="preserve"> contain a B</w:t>
      </w:r>
      <w:r w:rsidRPr="00565EC3">
        <w:rPr>
          <w:vertAlign w:val="subscript"/>
          <w:lang w:val="en-US"/>
        </w:rPr>
        <w:t>2</w:t>
      </w:r>
      <w:r w:rsidRPr="00565EC3">
        <w:rPr>
          <w:lang w:val="en-US"/>
        </w:rPr>
        <w:t>,N</w:t>
      </w:r>
      <w:r w:rsidRPr="00565EC3">
        <w:rPr>
          <w:vertAlign w:val="subscript"/>
          <w:lang w:val="en-US"/>
        </w:rPr>
        <w:t>2</w:t>
      </w:r>
      <w:r w:rsidRPr="00565EC3">
        <w:rPr>
          <w:lang w:val="en-US"/>
        </w:rPr>
        <w:t xml:space="preserve">-pentacene fragment analogous to </w:t>
      </w:r>
      <w:r w:rsidRPr="00565EC3">
        <w:rPr>
          <w:b/>
          <w:lang w:val="en-US"/>
        </w:rPr>
        <w:t>2</w:t>
      </w:r>
      <w:r w:rsidRPr="00565EC3">
        <w:rPr>
          <w:b/>
          <w:vertAlign w:val="superscript"/>
          <w:lang w:val="en-US"/>
        </w:rPr>
        <w:t>Mes</w:t>
      </w:r>
      <w:r w:rsidRPr="00565EC3">
        <w:rPr>
          <w:lang w:val="en-US"/>
        </w:rPr>
        <w:t xml:space="preserve">, which presumably originates again from a rearrangement of two </w:t>
      </w:r>
      <w:proofErr w:type="spellStart"/>
      <w:r w:rsidRPr="00565EC3">
        <w:rPr>
          <w:lang w:val="en-US"/>
        </w:rPr>
        <w:t>azasilaanthryl</w:t>
      </w:r>
      <w:proofErr w:type="spellEnd"/>
      <w:r w:rsidRPr="00565EC3">
        <w:rPr>
          <w:lang w:val="en-US"/>
        </w:rPr>
        <w:t xml:space="preserve"> substituents. The third Ar</w:t>
      </w:r>
      <w:r w:rsidRPr="00565EC3">
        <w:rPr>
          <w:vertAlign w:val="subscript"/>
          <w:lang w:val="en-US"/>
        </w:rPr>
        <w:t>2</w:t>
      </w:r>
      <w:r w:rsidRPr="00565EC3">
        <w:rPr>
          <w:lang w:val="en-US"/>
        </w:rPr>
        <w:t xml:space="preserve">N moiety is incorporated into the main </w:t>
      </w:r>
      <w:r w:rsidRPr="00565EC3">
        <w:rPr>
          <w:rFonts w:cstheme="minorHAnsi"/>
          <w:lang w:val="en-US"/>
        </w:rPr>
        <w:t>π</w:t>
      </w:r>
      <w:r w:rsidRPr="00565EC3">
        <w:rPr>
          <w:lang w:val="en-US"/>
        </w:rPr>
        <w:t xml:space="preserve"> system through twofold intramolecular borylation (red bonds in Scheme 3). In the case of </w:t>
      </w:r>
      <w:r w:rsidRPr="00565EC3">
        <w:rPr>
          <w:b/>
          <w:lang w:val="en-US"/>
        </w:rPr>
        <w:t>8</w:t>
      </w:r>
      <w:r w:rsidRPr="00565EC3">
        <w:rPr>
          <w:lang w:val="en-US"/>
        </w:rPr>
        <w:t>, the third SiMe</w:t>
      </w:r>
      <w:r w:rsidRPr="00565EC3">
        <w:rPr>
          <w:vertAlign w:val="subscript"/>
          <w:lang w:val="en-US"/>
        </w:rPr>
        <w:t>2</w:t>
      </w:r>
      <w:r w:rsidRPr="00565EC3">
        <w:rPr>
          <w:lang w:val="en-US"/>
        </w:rPr>
        <w:t>/</w:t>
      </w:r>
      <w:proofErr w:type="spellStart"/>
      <w:r w:rsidRPr="00565EC3">
        <w:rPr>
          <w:lang w:val="en-US"/>
        </w:rPr>
        <w:t>BBr</w:t>
      </w:r>
      <w:proofErr w:type="spellEnd"/>
      <w:r w:rsidRPr="00565EC3">
        <w:rPr>
          <w:lang w:val="en-US"/>
        </w:rPr>
        <w:t xml:space="preserve"> exchange was also successful, and the resulting </w:t>
      </w:r>
      <w:proofErr w:type="spellStart"/>
      <w:r w:rsidRPr="00565EC3">
        <w:rPr>
          <w:lang w:val="en-US"/>
        </w:rPr>
        <w:t>bromoborane</w:t>
      </w:r>
      <w:proofErr w:type="spellEnd"/>
      <w:r w:rsidRPr="00565EC3">
        <w:rPr>
          <w:lang w:val="en-US"/>
        </w:rPr>
        <w:t xml:space="preserve"> persisted until the kinetically stabilizing </w:t>
      </w:r>
      <w:proofErr w:type="spellStart"/>
      <w:proofErr w:type="gramStart"/>
      <w:r w:rsidRPr="00565EC3">
        <w:rPr>
          <w:lang w:val="en-US"/>
        </w:rPr>
        <w:t>Mes</w:t>
      </w:r>
      <w:proofErr w:type="spellEnd"/>
      <w:proofErr w:type="gramEnd"/>
      <w:r w:rsidRPr="00565EC3">
        <w:rPr>
          <w:lang w:val="en-US"/>
        </w:rPr>
        <w:t xml:space="preserve"> substituent was introduced. To rationalize the formation of </w:t>
      </w:r>
      <w:r w:rsidRPr="00565EC3">
        <w:rPr>
          <w:b/>
          <w:lang w:val="en-US"/>
        </w:rPr>
        <w:t>6</w:t>
      </w:r>
      <w:r w:rsidRPr="00565EC3">
        <w:rPr>
          <w:lang w:val="en-US"/>
        </w:rPr>
        <w:t xml:space="preserve"> and </w:t>
      </w:r>
      <w:r w:rsidRPr="00565EC3">
        <w:rPr>
          <w:b/>
          <w:lang w:val="en-US"/>
        </w:rPr>
        <w:t>7</w:t>
      </w:r>
      <w:r w:rsidRPr="00565EC3">
        <w:rPr>
          <w:lang w:val="en-US"/>
        </w:rPr>
        <w:t>, the following points need to be considered: (</w:t>
      </w:r>
      <w:proofErr w:type="spellStart"/>
      <w:r w:rsidRPr="00565EC3">
        <w:rPr>
          <w:lang w:val="en-US"/>
        </w:rPr>
        <w:t>i</w:t>
      </w:r>
      <w:proofErr w:type="spellEnd"/>
      <w:r w:rsidRPr="00565EC3">
        <w:rPr>
          <w:lang w:val="en-US"/>
        </w:rPr>
        <w:t xml:space="preserve">) </w:t>
      </w:r>
      <w:proofErr w:type="spellStart"/>
      <w:r w:rsidRPr="00565EC3">
        <w:rPr>
          <w:lang w:val="en-US"/>
        </w:rPr>
        <w:t>Azasilaanthracenes</w:t>
      </w:r>
      <w:proofErr w:type="spellEnd"/>
      <w:r w:rsidRPr="00565EC3">
        <w:rPr>
          <w:lang w:val="en-US"/>
        </w:rPr>
        <w:t xml:space="preserve"> in general and </w:t>
      </w:r>
      <w:r w:rsidRPr="00565EC3">
        <w:rPr>
          <w:b/>
          <w:lang w:val="en-US"/>
        </w:rPr>
        <w:t>5</w:t>
      </w:r>
      <w:r w:rsidRPr="00565EC3">
        <w:rPr>
          <w:lang w:val="en-US"/>
        </w:rPr>
        <w:t xml:space="preserve"> </w:t>
      </w:r>
      <w:proofErr w:type="gramStart"/>
      <w:r w:rsidRPr="00565EC3">
        <w:rPr>
          <w:lang w:val="en-US"/>
        </w:rPr>
        <w:t>in particular can</w:t>
      </w:r>
      <w:proofErr w:type="gramEnd"/>
      <w:r w:rsidRPr="00565EC3">
        <w:rPr>
          <w:lang w:val="en-US"/>
        </w:rPr>
        <w:t xml:space="preserve"> be handled under ambient atmosphere without decomposition. It is therefore unlikely that </w:t>
      </w:r>
      <w:r w:rsidRPr="00565EC3">
        <w:rPr>
          <w:b/>
          <w:lang w:val="en-US"/>
        </w:rPr>
        <w:t>6</w:t>
      </w:r>
      <w:r w:rsidRPr="00565EC3">
        <w:rPr>
          <w:lang w:val="en-US"/>
        </w:rPr>
        <w:t xml:space="preserve"> and </w:t>
      </w:r>
      <w:r w:rsidRPr="00565EC3">
        <w:rPr>
          <w:b/>
          <w:lang w:val="en-US"/>
        </w:rPr>
        <w:t xml:space="preserve">7 </w:t>
      </w:r>
      <w:r w:rsidRPr="00565EC3">
        <w:rPr>
          <w:lang w:val="en-US"/>
        </w:rPr>
        <w:t xml:space="preserve">were generated by </w:t>
      </w:r>
      <w:proofErr w:type="spellStart"/>
      <w:r w:rsidRPr="00565EC3">
        <w:rPr>
          <w:lang w:val="en-US"/>
        </w:rPr>
        <w:t>protodesilylation</w:t>
      </w:r>
      <w:proofErr w:type="spellEnd"/>
      <w:r w:rsidRPr="00565EC3">
        <w:rPr>
          <w:lang w:val="en-US"/>
        </w:rPr>
        <w:t xml:space="preserve"> and oxidative SiMe</w:t>
      </w:r>
      <w:r w:rsidRPr="00565EC3">
        <w:rPr>
          <w:vertAlign w:val="subscript"/>
          <w:lang w:val="en-US"/>
        </w:rPr>
        <w:t>2</w:t>
      </w:r>
      <w:r w:rsidRPr="00565EC3">
        <w:rPr>
          <w:lang w:val="en-US"/>
        </w:rPr>
        <w:t xml:space="preserve"> extrusion, respectively. (ii) Similar to the </w:t>
      </w:r>
      <w:r w:rsidRPr="00565EC3">
        <w:rPr>
          <w:b/>
          <w:lang w:val="en-US"/>
        </w:rPr>
        <w:t xml:space="preserve">1 </w:t>
      </w:r>
      <w:r w:rsidRPr="00565EC3">
        <w:rPr>
          <w:rFonts w:ascii="Times New Roman" w:hAnsi="Times New Roman"/>
          <w:lang w:val="en-US"/>
        </w:rPr>
        <w:t xml:space="preserve">→ </w:t>
      </w:r>
      <w:r w:rsidRPr="00565EC3">
        <w:rPr>
          <w:b/>
          <w:lang w:val="en-US"/>
        </w:rPr>
        <w:t>3</w:t>
      </w:r>
      <w:r w:rsidRPr="00565EC3">
        <w:rPr>
          <w:b/>
          <w:vertAlign w:val="superscript"/>
          <w:lang w:val="en-US"/>
        </w:rPr>
        <w:t>Mes</w:t>
      </w:r>
      <w:r w:rsidRPr="00565EC3">
        <w:rPr>
          <w:b/>
          <w:lang w:val="en-US"/>
        </w:rPr>
        <w:t xml:space="preserve"> </w:t>
      </w:r>
      <w:r w:rsidRPr="00565EC3">
        <w:rPr>
          <w:lang w:val="en-US"/>
        </w:rPr>
        <w:t xml:space="preserve">conversion, treatment of </w:t>
      </w:r>
      <w:r w:rsidRPr="00565EC3">
        <w:rPr>
          <w:b/>
          <w:lang w:val="en-US"/>
        </w:rPr>
        <w:t>5</w:t>
      </w:r>
      <w:r w:rsidRPr="00565EC3">
        <w:rPr>
          <w:lang w:val="en-US"/>
        </w:rPr>
        <w:t xml:space="preserve"> with BBr</w:t>
      </w:r>
      <w:r w:rsidRPr="00565EC3">
        <w:rPr>
          <w:vertAlign w:val="subscript"/>
          <w:lang w:val="en-US"/>
        </w:rPr>
        <w:t>3</w:t>
      </w:r>
      <w:r w:rsidRPr="00565EC3">
        <w:rPr>
          <w:lang w:val="en-US"/>
        </w:rPr>
        <w:t xml:space="preserve"> at room temperature, followed by </w:t>
      </w:r>
      <w:proofErr w:type="spellStart"/>
      <w:r w:rsidRPr="00565EC3">
        <w:rPr>
          <w:lang w:val="en-US"/>
        </w:rPr>
        <w:t>mesitylation</w:t>
      </w:r>
      <w:proofErr w:type="spellEnd"/>
      <w:r w:rsidRPr="00565EC3">
        <w:rPr>
          <w:lang w:val="en-US"/>
        </w:rPr>
        <w:t xml:space="preserve">, gave </w:t>
      </w:r>
      <w:r w:rsidRPr="00565EC3">
        <w:rPr>
          <w:b/>
          <w:lang w:val="en-US"/>
        </w:rPr>
        <w:t>9</w:t>
      </w:r>
      <w:r w:rsidRPr="00565EC3">
        <w:rPr>
          <w:b/>
          <w:vertAlign w:val="superscript"/>
          <w:lang w:val="en-US"/>
        </w:rPr>
        <w:t>Mes</w:t>
      </w:r>
      <w:r w:rsidRPr="00565EC3">
        <w:rPr>
          <w:lang w:val="en-US"/>
        </w:rPr>
        <w:t xml:space="preserve"> in 56% yield. (iii) A </w:t>
      </w:r>
      <w:r w:rsidRPr="00565EC3">
        <w:rPr>
          <w:vertAlign w:val="superscript"/>
          <w:lang w:val="en-US"/>
        </w:rPr>
        <w:t>1</w:t>
      </w:r>
      <w:r w:rsidRPr="00565EC3">
        <w:rPr>
          <w:lang w:val="en-US"/>
        </w:rPr>
        <w:t xml:space="preserve">H NMR spectrum recorded on the above-mentioned red precipitate after removal of all volatiles showed no signals assignable to residual </w:t>
      </w:r>
      <w:proofErr w:type="spellStart"/>
      <w:r w:rsidRPr="00565EC3">
        <w:rPr>
          <w:lang w:val="en-US"/>
        </w:rPr>
        <w:t>SiMe</w:t>
      </w:r>
      <w:proofErr w:type="spellEnd"/>
      <w:r w:rsidRPr="00565EC3">
        <w:rPr>
          <w:lang w:val="en-US"/>
        </w:rPr>
        <w:t xml:space="preserve"> groups (CD</w:t>
      </w:r>
      <w:r w:rsidRPr="00565EC3">
        <w:rPr>
          <w:vertAlign w:val="subscript"/>
          <w:lang w:val="en-US"/>
        </w:rPr>
        <w:t>2</w:t>
      </w:r>
      <w:r w:rsidRPr="00565EC3">
        <w:rPr>
          <w:lang w:val="en-US"/>
        </w:rPr>
        <w:t>Cl</w:t>
      </w:r>
      <w:r w:rsidRPr="00565EC3">
        <w:rPr>
          <w:vertAlign w:val="subscript"/>
          <w:lang w:val="en-US"/>
        </w:rPr>
        <w:t>2</w:t>
      </w:r>
      <w:r w:rsidRPr="00565EC3">
        <w:rPr>
          <w:lang w:val="en-US"/>
        </w:rPr>
        <w:t xml:space="preserve">; Fig. S7). (iv) Moreover, the spectrum did not contain the characteristic proton resonances of </w:t>
      </w:r>
      <w:r w:rsidRPr="00565EC3">
        <w:rPr>
          <w:b/>
          <w:lang w:val="en-US"/>
        </w:rPr>
        <w:t>6</w:t>
      </w:r>
      <w:r w:rsidRPr="00565EC3">
        <w:rPr>
          <w:lang w:val="en-US"/>
        </w:rPr>
        <w:t xml:space="preserve"> and </w:t>
      </w:r>
      <w:r w:rsidRPr="00565EC3">
        <w:rPr>
          <w:b/>
          <w:lang w:val="en-US"/>
        </w:rPr>
        <w:t>7</w:t>
      </w:r>
      <w:r w:rsidRPr="00565EC3">
        <w:rPr>
          <w:lang w:val="en-US"/>
        </w:rPr>
        <w:t xml:space="preserve"> (Fig. S7), indicating that </w:t>
      </w:r>
      <w:r w:rsidRPr="00565EC3">
        <w:rPr>
          <w:b/>
          <w:lang w:val="en-US"/>
        </w:rPr>
        <w:t>6</w:t>
      </w:r>
      <w:r w:rsidRPr="00565EC3">
        <w:rPr>
          <w:lang w:val="en-US"/>
        </w:rPr>
        <w:t xml:space="preserve"> and </w:t>
      </w:r>
      <w:r w:rsidRPr="00565EC3">
        <w:rPr>
          <w:b/>
          <w:lang w:val="en-US"/>
        </w:rPr>
        <w:t>7</w:t>
      </w:r>
      <w:r w:rsidRPr="00565EC3">
        <w:rPr>
          <w:lang w:val="en-US"/>
        </w:rPr>
        <w:t xml:space="preserve"> are only produced during </w:t>
      </w:r>
      <w:proofErr w:type="spellStart"/>
      <w:r w:rsidRPr="00565EC3">
        <w:rPr>
          <w:lang w:val="en-US"/>
        </w:rPr>
        <w:t>mesitylation</w:t>
      </w:r>
      <w:proofErr w:type="spellEnd"/>
      <w:r w:rsidRPr="00565EC3">
        <w:rPr>
          <w:lang w:val="en-US"/>
        </w:rPr>
        <w:t>/</w:t>
      </w:r>
      <w:proofErr w:type="spellStart"/>
      <w:r w:rsidRPr="00565EC3">
        <w:rPr>
          <w:i/>
          <w:lang w:val="en-US"/>
        </w:rPr>
        <w:t>i</w:t>
      </w:r>
      <w:r w:rsidRPr="00565EC3">
        <w:rPr>
          <w:lang w:val="en-US"/>
        </w:rPr>
        <w:t>PrOH</w:t>
      </w:r>
      <w:proofErr w:type="spellEnd"/>
      <w:r w:rsidRPr="00565EC3">
        <w:rPr>
          <w:lang w:val="en-US"/>
        </w:rPr>
        <w:t xml:space="preserve"> quenching. This process is presumably promoted by the formation of tetracoordinated boron intermediates,</w:t>
      </w:r>
      <w:r w:rsidRPr="00565EC3">
        <w:rPr>
          <w:lang w:val="en-US"/>
        </w:rPr>
        <w:fldChar w:fldCharType="begin" w:fldLock="1"/>
      </w:r>
      <w:r w:rsidRPr="00565EC3">
        <w:rPr>
          <w:lang w:val="en-US"/>
        </w:rPr>
        <w:instrText>ADDIN CSL_CITATION {"citationItems":[{"id":"ITEM-1","itemData":{"author":[{"dropping-particle":"","family":"EZ2_B","given":"","non-dropping-particle":"","parse-names":false,"suffix":""}],"id":"ITEM-1","issued":{"date-parts":[["0"]]},"title":"EZ2_B","type":"article"},"uris":["http://www.mendeley.com/documents/?uuid=434dd3a5-672a-4e2f-9d29-5b0809dfd843"]}],"mendeley":{"formattedCitation":"&lt;sup&gt;23&lt;/sup&gt;","plainTextFormattedCitation":"23","previouslyFormattedCitation":"&lt;sup&gt;23&lt;/sup&gt;"},"properties":{"noteIndex":0},"schema":"https://github.com/citation-style-language/schema/raw/master/csl-citation.json"}</w:instrText>
      </w:r>
      <w:r w:rsidRPr="00565EC3">
        <w:rPr>
          <w:lang w:val="en-US"/>
        </w:rPr>
        <w:fldChar w:fldCharType="separate"/>
      </w:r>
      <w:r w:rsidRPr="00565EC3">
        <w:rPr>
          <w:noProof/>
          <w:vertAlign w:val="superscript"/>
          <w:lang w:val="en-US"/>
        </w:rPr>
        <w:t>23</w:t>
      </w:r>
      <w:r w:rsidRPr="00565EC3">
        <w:rPr>
          <w:lang w:val="en-US"/>
        </w:rPr>
        <w:fldChar w:fldCharType="end"/>
      </w:r>
      <w:r w:rsidRPr="00565EC3">
        <w:rPr>
          <w:lang w:val="en-US"/>
        </w:rPr>
        <w:t xml:space="preserve"> which undergo either </w:t>
      </w:r>
      <w:proofErr w:type="spellStart"/>
      <w:r w:rsidRPr="00565EC3">
        <w:rPr>
          <w:lang w:val="en-US"/>
        </w:rPr>
        <w:t>protodeborylation</w:t>
      </w:r>
      <w:proofErr w:type="spellEnd"/>
      <w:r w:rsidRPr="00565EC3">
        <w:rPr>
          <w:lang w:val="en-US"/>
        </w:rPr>
        <w:t xml:space="preserve"> or reductive elimination at the B(III) center.</w:t>
      </w:r>
    </w:p>
    <w:p w14:paraId="1CF90A92" w14:textId="043A0483" w:rsidR="009D70A3" w:rsidRDefault="009D70A3" w:rsidP="00B42021">
      <w:pPr>
        <w:jc w:val="both"/>
        <w:rPr>
          <w:lang w:val="en-US"/>
        </w:rPr>
      </w:pPr>
    </w:p>
    <w:p w14:paraId="34FB51FB" w14:textId="3EA9A946" w:rsidR="009D70A3" w:rsidRDefault="00280F3F" w:rsidP="00B42021">
      <w:pPr>
        <w:jc w:val="both"/>
        <w:rPr>
          <w:lang w:val="en-US"/>
        </w:rPr>
      </w:pPr>
      <w:r>
        <w:object w:dxaOrig="13109" w:dyaOrig="3636" w14:anchorId="12456222">
          <v:shape id="_x0000_i1027" type="#_x0000_t75" style="width:487pt;height:135pt" o:ole="">
            <v:imagedata r:id="rId11" o:title=""/>
          </v:shape>
          <o:OLEObject Type="Embed" ProgID="ChemDraw.Document.6.0" ShapeID="_x0000_i1027" DrawAspect="Content" ObjectID="_1775491950" r:id="rId12"/>
        </w:object>
      </w:r>
      <w:r w:rsidR="009D70A3" w:rsidRPr="00793C4D">
        <w:rPr>
          <w:b/>
          <w:lang w:val="en-US"/>
        </w:rPr>
        <w:t xml:space="preserve">Scheme </w:t>
      </w:r>
      <w:r w:rsidR="009D70A3" w:rsidRPr="00793C4D">
        <w:rPr>
          <w:b/>
          <w:highlight w:val="magenta"/>
          <w:lang w:val="en-US"/>
        </w:rPr>
        <w:t>3</w:t>
      </w:r>
      <w:r w:rsidR="009D70A3" w:rsidRPr="006B7774">
        <w:rPr>
          <w:lang w:val="en-US"/>
        </w:rPr>
        <w:t xml:space="preserve"> </w:t>
      </w:r>
      <w:bookmarkStart w:id="7" w:name="_Hlk164266054"/>
      <w:r w:rsidR="009D70A3">
        <w:rPr>
          <w:lang w:val="en-US"/>
        </w:rPr>
        <w:t xml:space="preserve">Borylation and rearrangement reactions of </w:t>
      </w:r>
      <w:r w:rsidR="009D70A3">
        <w:rPr>
          <w:b/>
          <w:lang w:val="en-US"/>
        </w:rPr>
        <w:t>5</w:t>
      </w:r>
      <w:r w:rsidR="009D70A3">
        <w:rPr>
          <w:lang w:val="en-US"/>
        </w:rPr>
        <w:t xml:space="preserve">. </w:t>
      </w:r>
      <w:r w:rsidR="009D70A3" w:rsidRPr="006B7774">
        <w:rPr>
          <w:lang w:val="en-US"/>
        </w:rPr>
        <w:t xml:space="preserve">Conditions: </w:t>
      </w:r>
      <w:r w:rsidR="009D70A3">
        <w:rPr>
          <w:lang w:val="en-US"/>
        </w:rPr>
        <w:t>(</w:t>
      </w:r>
      <w:proofErr w:type="spellStart"/>
      <w:r w:rsidR="009D70A3">
        <w:rPr>
          <w:lang w:val="en-US"/>
        </w:rPr>
        <w:t>i</w:t>
      </w:r>
      <w:proofErr w:type="spellEnd"/>
      <w:r w:rsidR="009D70A3">
        <w:rPr>
          <w:lang w:val="en-US"/>
        </w:rPr>
        <w:t>) 1. BBr</w:t>
      </w:r>
      <w:r w:rsidR="009D70A3">
        <w:rPr>
          <w:vertAlign w:val="subscript"/>
          <w:lang w:val="en-US"/>
        </w:rPr>
        <w:t>3</w:t>
      </w:r>
      <w:r w:rsidR="009D70A3">
        <w:rPr>
          <w:lang w:val="en-US"/>
        </w:rPr>
        <w:t xml:space="preserve"> (28 equiv.), C</w:t>
      </w:r>
      <w:r w:rsidR="009D70A3">
        <w:rPr>
          <w:vertAlign w:val="subscript"/>
          <w:lang w:val="en-US"/>
        </w:rPr>
        <w:t>6</w:t>
      </w:r>
      <w:r w:rsidR="009D70A3">
        <w:rPr>
          <w:lang w:val="en-US"/>
        </w:rPr>
        <w:t>H</w:t>
      </w:r>
      <w:r w:rsidR="009D70A3">
        <w:rPr>
          <w:vertAlign w:val="subscript"/>
          <w:lang w:val="en-US"/>
        </w:rPr>
        <w:t>6</w:t>
      </w:r>
      <w:r w:rsidR="009D70A3">
        <w:rPr>
          <w:lang w:val="en-US"/>
        </w:rPr>
        <w:t xml:space="preserve">, 180 °C, 7 d, </w:t>
      </w:r>
      <w:r w:rsidR="00404F91">
        <w:rPr>
          <w:lang w:val="en-US"/>
        </w:rPr>
        <w:t>sealed</w:t>
      </w:r>
      <w:r w:rsidR="009D70A3">
        <w:rPr>
          <w:lang w:val="en-US"/>
        </w:rPr>
        <w:t xml:space="preserve"> ampoule; 2. </w:t>
      </w:r>
      <w:proofErr w:type="spellStart"/>
      <w:r w:rsidR="009D70A3">
        <w:rPr>
          <w:lang w:val="en-US"/>
        </w:rPr>
        <w:t>MesMgBr</w:t>
      </w:r>
      <w:proofErr w:type="spellEnd"/>
      <w:r w:rsidR="009D70A3">
        <w:rPr>
          <w:lang w:val="en-US"/>
        </w:rPr>
        <w:t xml:space="preserve"> (6 equiv.), toluene, –78 °C to room temperature, the product mixture contain</w:t>
      </w:r>
      <w:r w:rsidR="00B33787">
        <w:rPr>
          <w:lang w:val="en-US"/>
        </w:rPr>
        <w:t>ed</w:t>
      </w:r>
      <w:r w:rsidR="009D70A3">
        <w:rPr>
          <w:lang w:val="en-US"/>
        </w:rPr>
        <w:t xml:space="preserve"> </w:t>
      </w:r>
      <w:r w:rsidR="009D70A3">
        <w:rPr>
          <w:b/>
          <w:lang w:val="en-US"/>
        </w:rPr>
        <w:t>6</w:t>
      </w:r>
      <w:r w:rsidR="009D70A3">
        <w:rPr>
          <w:lang w:val="en-US"/>
        </w:rPr>
        <w:t>–</w:t>
      </w:r>
      <w:r w:rsidR="009D70A3">
        <w:rPr>
          <w:b/>
          <w:lang w:val="en-US"/>
        </w:rPr>
        <w:t>8</w:t>
      </w:r>
      <w:r w:rsidR="009D70A3">
        <w:rPr>
          <w:lang w:val="en-US"/>
        </w:rPr>
        <w:t xml:space="preserve">, but only </w:t>
      </w:r>
      <w:r w:rsidR="009D70A3">
        <w:rPr>
          <w:b/>
          <w:lang w:val="en-US"/>
        </w:rPr>
        <w:t>8</w:t>
      </w:r>
      <w:r w:rsidR="009D70A3">
        <w:rPr>
          <w:lang w:val="en-US"/>
        </w:rPr>
        <w:t xml:space="preserve"> c</w:t>
      </w:r>
      <w:r w:rsidR="00B33787">
        <w:rPr>
          <w:lang w:val="en-US"/>
        </w:rPr>
        <w:t>ould</w:t>
      </w:r>
      <w:r w:rsidR="009D70A3">
        <w:rPr>
          <w:lang w:val="en-US"/>
        </w:rPr>
        <w:t xml:space="preserve"> be isolated in 29% yield</w:t>
      </w:r>
      <w:r w:rsidR="00B33787">
        <w:rPr>
          <w:lang w:val="en-US"/>
        </w:rPr>
        <w:t xml:space="preserve"> over two steps</w:t>
      </w:r>
      <w:r w:rsidR="009D70A3">
        <w:rPr>
          <w:lang w:val="en-US"/>
        </w:rPr>
        <w:t xml:space="preserve">; (ii) 1. </w:t>
      </w:r>
      <w:r w:rsidR="009D70A3" w:rsidRPr="003F20BA">
        <w:rPr>
          <w:lang w:val="en-US"/>
        </w:rPr>
        <w:t>BBr</w:t>
      </w:r>
      <w:r w:rsidR="009D70A3" w:rsidRPr="003F20BA">
        <w:rPr>
          <w:vertAlign w:val="subscript"/>
          <w:lang w:val="en-US"/>
        </w:rPr>
        <w:t>3</w:t>
      </w:r>
      <w:r w:rsidR="009D70A3" w:rsidRPr="003F20BA">
        <w:rPr>
          <w:lang w:val="en-US"/>
        </w:rPr>
        <w:t xml:space="preserve"> (30 equiv.), C</w:t>
      </w:r>
      <w:r w:rsidR="009D70A3" w:rsidRPr="003F20BA">
        <w:rPr>
          <w:vertAlign w:val="subscript"/>
          <w:lang w:val="en-US"/>
        </w:rPr>
        <w:t>6</w:t>
      </w:r>
      <w:r w:rsidR="009D70A3" w:rsidRPr="003F20BA">
        <w:rPr>
          <w:lang w:val="en-US"/>
        </w:rPr>
        <w:t>H</w:t>
      </w:r>
      <w:r w:rsidR="009D70A3" w:rsidRPr="003F20BA">
        <w:rPr>
          <w:vertAlign w:val="subscript"/>
          <w:lang w:val="en-US"/>
        </w:rPr>
        <w:t>6</w:t>
      </w:r>
      <w:r w:rsidR="009D70A3" w:rsidRPr="003F20BA">
        <w:rPr>
          <w:lang w:val="en-US"/>
        </w:rPr>
        <w:t xml:space="preserve">, 180 °C, 11 d, </w:t>
      </w:r>
      <w:r w:rsidR="00404F91">
        <w:rPr>
          <w:lang w:val="en-US"/>
        </w:rPr>
        <w:t>sealed</w:t>
      </w:r>
      <w:r w:rsidR="009D70A3" w:rsidRPr="003F20BA">
        <w:rPr>
          <w:lang w:val="en-US"/>
        </w:rPr>
        <w:t xml:space="preserve"> ampoule; 2.</w:t>
      </w:r>
      <w:r w:rsidR="00B33787">
        <w:rPr>
          <w:lang w:val="en-US"/>
        </w:rPr>
        <w:t xml:space="preserve"> </w:t>
      </w:r>
      <w:proofErr w:type="spellStart"/>
      <w:r w:rsidR="009D70A3" w:rsidRPr="003F20BA">
        <w:rPr>
          <w:i/>
          <w:lang w:val="en-US"/>
        </w:rPr>
        <w:t>i</w:t>
      </w:r>
      <w:r w:rsidR="009D70A3" w:rsidRPr="003F20BA">
        <w:rPr>
          <w:lang w:val="en-US"/>
        </w:rPr>
        <w:t>PrOH</w:t>
      </w:r>
      <w:proofErr w:type="spellEnd"/>
      <w:r w:rsidR="009D70A3" w:rsidRPr="003F20BA">
        <w:rPr>
          <w:lang w:val="en-US"/>
        </w:rPr>
        <w:t>,</w:t>
      </w:r>
      <w:r w:rsidR="00B33787">
        <w:rPr>
          <w:lang w:val="en-US"/>
        </w:rPr>
        <w:t xml:space="preserve"> CH</w:t>
      </w:r>
      <w:r w:rsidR="00B33787">
        <w:rPr>
          <w:vertAlign w:val="subscript"/>
          <w:lang w:val="en-US"/>
        </w:rPr>
        <w:t>2</w:t>
      </w:r>
      <w:r w:rsidR="00B33787">
        <w:rPr>
          <w:lang w:val="en-US"/>
        </w:rPr>
        <w:t>Cl</w:t>
      </w:r>
      <w:r w:rsidR="00B33787">
        <w:rPr>
          <w:vertAlign w:val="subscript"/>
          <w:lang w:val="en-US"/>
        </w:rPr>
        <w:t>2</w:t>
      </w:r>
      <w:r w:rsidR="00B33787">
        <w:rPr>
          <w:lang w:val="en-US"/>
        </w:rPr>
        <w:t>,</w:t>
      </w:r>
      <w:r w:rsidR="009D70A3" w:rsidRPr="003F20BA">
        <w:rPr>
          <w:lang w:val="en-US"/>
        </w:rPr>
        <w:t xml:space="preserve"> 6% (</w:t>
      </w:r>
      <w:r w:rsidR="009D70A3" w:rsidRPr="003F20BA">
        <w:rPr>
          <w:b/>
          <w:lang w:val="en-US"/>
        </w:rPr>
        <w:t>6</w:t>
      </w:r>
      <w:r w:rsidR="009D70A3" w:rsidRPr="003F20BA">
        <w:rPr>
          <w:lang w:val="en-US"/>
        </w:rPr>
        <w:t>), 9% (</w:t>
      </w:r>
      <w:r w:rsidR="009D70A3" w:rsidRPr="003F20BA">
        <w:rPr>
          <w:b/>
          <w:lang w:val="en-US"/>
        </w:rPr>
        <w:t>7</w:t>
      </w:r>
      <w:r w:rsidR="009D70A3" w:rsidRPr="003F20BA">
        <w:rPr>
          <w:lang w:val="en-US"/>
        </w:rPr>
        <w:t>); (iii) BBr</w:t>
      </w:r>
      <w:r w:rsidR="009D70A3" w:rsidRPr="003F20BA">
        <w:rPr>
          <w:vertAlign w:val="subscript"/>
          <w:lang w:val="en-US"/>
        </w:rPr>
        <w:t>3</w:t>
      </w:r>
      <w:r w:rsidR="009D70A3" w:rsidRPr="003F20BA">
        <w:rPr>
          <w:lang w:val="en-US"/>
        </w:rPr>
        <w:t xml:space="preserve"> (neat), room temperature, 1 d, closed J. Young vessel, </w:t>
      </w:r>
      <w:r w:rsidR="00B33787">
        <w:rPr>
          <w:lang w:val="en-US"/>
        </w:rPr>
        <w:t>product was used after solvent exchange without further purification</w:t>
      </w:r>
      <w:r w:rsidR="009D70A3" w:rsidRPr="003F20BA">
        <w:rPr>
          <w:lang w:val="en-US"/>
        </w:rPr>
        <w:t xml:space="preserve">; (iv) </w:t>
      </w:r>
      <w:proofErr w:type="spellStart"/>
      <w:r w:rsidR="009D70A3" w:rsidRPr="003F20BA">
        <w:rPr>
          <w:lang w:val="en-US"/>
        </w:rPr>
        <w:t>MesMgBr</w:t>
      </w:r>
      <w:proofErr w:type="spellEnd"/>
      <w:r w:rsidR="009D70A3" w:rsidRPr="003F20BA">
        <w:rPr>
          <w:lang w:val="en-US"/>
        </w:rPr>
        <w:t xml:space="preserve"> (5 equiv. relative to </w:t>
      </w:r>
      <w:r w:rsidR="009D70A3" w:rsidRPr="003F20BA">
        <w:rPr>
          <w:b/>
          <w:lang w:val="en-US"/>
        </w:rPr>
        <w:t>5</w:t>
      </w:r>
      <w:r w:rsidR="009D70A3" w:rsidRPr="003F20BA">
        <w:rPr>
          <w:lang w:val="en-US"/>
        </w:rPr>
        <w:t>), toluene, –78 °C to room temperature, 56% over two steps.</w:t>
      </w:r>
      <w:bookmarkEnd w:id="7"/>
    </w:p>
    <w:p w14:paraId="68244E04" w14:textId="71D0AD66" w:rsidR="00392442" w:rsidRPr="00203254" w:rsidRDefault="00392442" w:rsidP="00392442">
      <w:pPr>
        <w:jc w:val="both"/>
        <w:rPr>
          <w:lang w:val="en-US"/>
        </w:rPr>
      </w:pPr>
      <w:r w:rsidRPr="00565EC3">
        <w:rPr>
          <w:lang w:val="en-US"/>
        </w:rPr>
        <w:t xml:space="preserve">In contrast to </w:t>
      </w:r>
      <w:r w:rsidRPr="00565EC3">
        <w:rPr>
          <w:b/>
          <w:lang w:val="en-US"/>
        </w:rPr>
        <w:t>2</w:t>
      </w:r>
      <w:r w:rsidRPr="00565EC3">
        <w:rPr>
          <w:b/>
          <w:vertAlign w:val="superscript"/>
          <w:lang w:val="en-US"/>
        </w:rPr>
        <w:t>Mes</w:t>
      </w:r>
      <w:r w:rsidRPr="00565EC3">
        <w:rPr>
          <w:lang w:val="en-US"/>
        </w:rPr>
        <w:t xml:space="preserve">, which is synthesized most efficiently through C–H borylation of the </w:t>
      </w:r>
      <w:proofErr w:type="gramStart"/>
      <w:r w:rsidRPr="00565EC3">
        <w:rPr>
          <w:lang w:val="en-US"/>
        </w:rPr>
        <w:t>diaminobenzene</w:t>
      </w:r>
      <w:proofErr w:type="gramEnd"/>
      <w:r w:rsidRPr="00565EC3">
        <w:rPr>
          <w:lang w:val="en-US"/>
        </w:rPr>
        <w:t xml:space="preserve"> </w:t>
      </w:r>
      <w:r w:rsidRPr="00565EC3">
        <w:rPr>
          <w:b/>
          <w:lang w:val="en-US"/>
        </w:rPr>
        <w:t>4</w:t>
      </w:r>
      <w:r w:rsidRPr="00565EC3">
        <w:rPr>
          <w:lang w:val="en-US"/>
        </w:rPr>
        <w:t xml:space="preserve">, </w:t>
      </w:r>
      <w:r w:rsidRPr="00565EC3">
        <w:rPr>
          <w:b/>
          <w:lang w:val="en-US"/>
        </w:rPr>
        <w:t>6</w:t>
      </w:r>
      <w:r w:rsidRPr="00565EC3">
        <w:rPr>
          <w:lang w:val="en-US"/>
        </w:rPr>
        <w:t xml:space="preserve"> and </w:t>
      </w:r>
      <w:r w:rsidRPr="00565EC3">
        <w:rPr>
          <w:b/>
          <w:lang w:val="en-US"/>
        </w:rPr>
        <w:t xml:space="preserve">8 </w:t>
      </w:r>
      <w:r w:rsidRPr="00565EC3">
        <w:rPr>
          <w:lang w:val="en-US"/>
        </w:rPr>
        <w:t>are not</w:t>
      </w:r>
      <w:r w:rsidR="00CC1767">
        <w:rPr>
          <w:lang w:val="en-US"/>
        </w:rPr>
        <w:t xml:space="preserve"> </w:t>
      </w:r>
      <w:r w:rsidR="00CC1767" w:rsidRPr="00F0537C">
        <w:rPr>
          <w:lang w:val="en-US"/>
        </w:rPr>
        <w:t xml:space="preserve">accessible starting from the corresponding </w:t>
      </w:r>
      <w:proofErr w:type="spellStart"/>
      <w:r w:rsidR="00CC1767" w:rsidRPr="00F0537C">
        <w:rPr>
          <w:lang w:val="en-US"/>
        </w:rPr>
        <w:t>triaminobenzene</w:t>
      </w:r>
      <w:proofErr w:type="spellEnd"/>
      <w:r w:rsidR="00CC1767" w:rsidRPr="00F0537C">
        <w:rPr>
          <w:lang w:val="en-US"/>
        </w:rPr>
        <w:t xml:space="preserve"> 1,3,5-(Ph</w:t>
      </w:r>
      <w:r w:rsidR="00CC1767" w:rsidRPr="00F0537C">
        <w:rPr>
          <w:vertAlign w:val="subscript"/>
          <w:lang w:val="en-US"/>
        </w:rPr>
        <w:t>2</w:t>
      </w:r>
      <w:r w:rsidR="00CC1767" w:rsidRPr="00F0537C">
        <w:rPr>
          <w:lang w:val="en-US"/>
        </w:rPr>
        <w:t>N)</w:t>
      </w:r>
      <w:r w:rsidR="00CC1767" w:rsidRPr="00F0537C">
        <w:rPr>
          <w:vertAlign w:val="subscript"/>
          <w:lang w:val="en-US"/>
        </w:rPr>
        <w:t>3</w:t>
      </w:r>
      <w:r w:rsidR="00CC1767" w:rsidRPr="00F0537C">
        <w:rPr>
          <w:lang w:val="en-US"/>
        </w:rPr>
        <w:t>C</w:t>
      </w:r>
      <w:r w:rsidR="00CC1767" w:rsidRPr="00F0537C">
        <w:rPr>
          <w:vertAlign w:val="subscript"/>
          <w:lang w:val="en-US"/>
        </w:rPr>
        <w:t>6</w:t>
      </w:r>
      <w:r w:rsidR="00CC1767" w:rsidRPr="00F0537C">
        <w:rPr>
          <w:lang w:val="en-US"/>
        </w:rPr>
        <w:t>H</w:t>
      </w:r>
      <w:r w:rsidR="00CC1767" w:rsidRPr="00F0537C">
        <w:rPr>
          <w:vertAlign w:val="subscript"/>
          <w:lang w:val="en-US"/>
        </w:rPr>
        <w:t>3</w:t>
      </w:r>
      <w:r w:rsidR="00CC1767" w:rsidRPr="00F0537C">
        <w:rPr>
          <w:lang w:val="en-US"/>
        </w:rPr>
        <w:t xml:space="preserve"> and BBr</w:t>
      </w:r>
      <w:r w:rsidR="00CC1767" w:rsidRPr="00F0537C">
        <w:rPr>
          <w:vertAlign w:val="subscript"/>
          <w:lang w:val="en-US"/>
        </w:rPr>
        <w:t>3</w:t>
      </w:r>
      <w:r w:rsidR="00CC1767" w:rsidRPr="00F0537C">
        <w:rPr>
          <w:lang w:val="en-US"/>
        </w:rPr>
        <w:t xml:space="preserve"> at temperatures below 200 °C. Instead, a literature-known B,N</w:t>
      </w:r>
      <w:r w:rsidR="00CC1767" w:rsidRPr="00F0537C">
        <w:rPr>
          <w:vertAlign w:val="subscript"/>
          <w:lang w:val="en-US"/>
        </w:rPr>
        <w:t>3</w:t>
      </w:r>
      <w:r w:rsidR="00CC1767" w:rsidRPr="00F0537C">
        <w:rPr>
          <w:lang w:val="en-US"/>
        </w:rPr>
        <w:t>-PAH</w:t>
      </w:r>
      <w:r w:rsidR="00CC1767" w:rsidRPr="00F0537C">
        <w:rPr>
          <w:b/>
          <w:lang w:val="en-US"/>
        </w:rPr>
        <w:t xml:space="preserve"> </w:t>
      </w:r>
      <w:r w:rsidR="00CC1767" w:rsidRPr="00F0537C">
        <w:rPr>
          <w:lang w:val="en-US"/>
        </w:rPr>
        <w:t xml:space="preserve">is generated, which is formally derived from </w:t>
      </w:r>
      <w:r w:rsidR="00CC1767" w:rsidRPr="00F0537C">
        <w:rPr>
          <w:b/>
          <w:lang w:val="en-US"/>
        </w:rPr>
        <w:t>6</w:t>
      </w:r>
      <w:r w:rsidR="00CC1767" w:rsidRPr="00F0537C">
        <w:rPr>
          <w:lang w:val="en-US"/>
        </w:rPr>
        <w:t xml:space="preserve"> by replacing one C</w:t>
      </w:r>
      <w:r w:rsidR="00CC1767" w:rsidRPr="00F0537C">
        <w:rPr>
          <w:vertAlign w:val="subscript"/>
          <w:lang w:val="en-US"/>
        </w:rPr>
        <w:t>3</w:t>
      </w:r>
      <w:r w:rsidR="00CC1767" w:rsidRPr="00F0537C">
        <w:rPr>
          <w:lang w:val="en-US"/>
        </w:rPr>
        <w:t>B fragment with three C–H moieties (see the ESI for more details).</w:t>
      </w:r>
      <w:r w:rsidR="00CC1767" w:rsidRPr="00F0537C">
        <w:rPr>
          <w:lang w:val="en-US"/>
        </w:rPr>
        <w:fldChar w:fldCharType="begin" w:fldLock="1"/>
      </w:r>
      <w:r w:rsidR="00CC1767" w:rsidRPr="00F0537C">
        <w:rPr>
          <w:lang w:val="en-US"/>
        </w:rPr>
        <w:instrText>ADDIN CSL_CITATION {"citationItems":[{"id":"ITEM-1","itemData":{"DOI":"10.1016/j.orgel.2021.106275","ISSN":"15661199","author":[{"dropping-particle":"","family":"Wang","given":"Yaxiong","non-dropping-particle":"","parse-names":false,"suffix":""},{"dropping-particle":"","family":"Duan","given":"Yalei","non-dropping-particle":"","parse-names":false,"suffix":""},{"dropping-particle":"","family":"Guo","given":"Runda","non-dropping-particle":"","parse-names":false,"suffix":""},{"dropping-particle":"","family":"Ye","given":"Shaofeng","non-dropping-particle":"","parse-names":false,"suffix":""},{"dropping-particle":"","family":"Di","given":"Kaiyuan","non-dropping-particle":"","parse-names":false,"suffix":""},{"dropping-particle":"","family":"Zhang","given":"Weizhuo","non-dropping-particle":"","parse-names":false,"suffix":""},{"dropping-particle":"","family":"Zhuang","given":"Shaoqing","non-dropping-particle":"","parse-names":false,"suffix":""},{"dropping-particle":"","family":"Wang","given":"Lei","non-dropping-particle":"","parse-names":false,"suffix":""}],"container-title":"Organic Electronics","id":"ITEM-1","issue":"June","issued":{"date-parts":[["2021","10"]]},"page":"106275","publisher":"Elsevier B.V.","title":"A periphery cladding strategy to improve the performance of narrowband emitters, achieving deep-blue OLEDs with CIEy &lt; 0.08 and external quantum efficiency approaching 20%","type":"article-journal","volume":"97"},"uris":["http://www.mendeley.com/documents/?uuid=ab1ac3c3-28ef-48f1-b58a-36c5fe02a325"]}],"mendeley":{"formattedCitation":"&lt;sup&gt;24&lt;/sup&gt;","plainTextFormattedCitation":"24","previouslyFormattedCitation":"&lt;sup&gt;24&lt;/sup&gt;"},"properties":{"noteIndex":0},"schema":"https://github.com/citation-style-language/schema/raw/master/csl-citation.json"}</w:instrText>
      </w:r>
      <w:r w:rsidR="00CC1767" w:rsidRPr="00F0537C">
        <w:rPr>
          <w:lang w:val="en-US"/>
        </w:rPr>
        <w:fldChar w:fldCharType="separate"/>
      </w:r>
      <w:r w:rsidR="00CC1767" w:rsidRPr="00F0537C">
        <w:rPr>
          <w:vertAlign w:val="superscript"/>
          <w:lang w:val="en-US"/>
        </w:rPr>
        <w:t>24</w:t>
      </w:r>
      <w:r w:rsidR="00CC1767" w:rsidRPr="00F0537C">
        <w:fldChar w:fldCharType="end"/>
      </w:r>
    </w:p>
    <w:p w14:paraId="6FB3C3EB" w14:textId="776FFCEE" w:rsidR="0097304A" w:rsidRDefault="00D84F8B" w:rsidP="00B42021">
      <w:pPr>
        <w:spacing w:after="0"/>
        <w:jc w:val="both"/>
        <w:rPr>
          <w:lang w:val="en-US"/>
        </w:rPr>
      </w:pPr>
      <w:r w:rsidRPr="00F0537C">
        <w:rPr>
          <w:lang w:val="en-US"/>
        </w:rPr>
        <w:t xml:space="preserve">The NMR spectra of </w:t>
      </w:r>
      <w:r w:rsidRPr="00F0537C">
        <w:rPr>
          <w:b/>
          <w:lang w:val="en-US"/>
        </w:rPr>
        <w:t>6</w:t>
      </w:r>
      <w:r w:rsidRPr="00F0537C">
        <w:rPr>
          <w:lang w:val="en-US"/>
        </w:rPr>
        <w:t>–</w:t>
      </w:r>
      <w:r w:rsidRPr="00F0537C">
        <w:rPr>
          <w:b/>
          <w:lang w:val="en-US"/>
        </w:rPr>
        <w:t xml:space="preserve">8 </w:t>
      </w:r>
      <w:r w:rsidRPr="00F0537C">
        <w:rPr>
          <w:lang w:val="en-US"/>
        </w:rPr>
        <w:t>show the following characteristic features: (</w:t>
      </w:r>
      <w:proofErr w:type="spellStart"/>
      <w:r w:rsidRPr="00F0537C">
        <w:rPr>
          <w:lang w:val="en-US"/>
        </w:rPr>
        <w:t>i</w:t>
      </w:r>
      <w:proofErr w:type="spellEnd"/>
      <w:r w:rsidRPr="00F0537C">
        <w:rPr>
          <w:lang w:val="en-US"/>
        </w:rPr>
        <w:t xml:space="preserve">) a doublet at </w:t>
      </w:r>
      <w:r w:rsidRPr="00F0537C">
        <w:rPr>
          <w:rFonts w:cstheme="minorHAnsi"/>
          <w:i/>
          <w:lang w:val="en-US"/>
        </w:rPr>
        <w:t>δ</w:t>
      </w:r>
      <w:r w:rsidRPr="00F0537C">
        <w:rPr>
          <w:lang w:val="en-US"/>
        </w:rPr>
        <w:t>(</w:t>
      </w:r>
      <w:r w:rsidRPr="00F0537C">
        <w:rPr>
          <w:vertAlign w:val="superscript"/>
          <w:lang w:val="en-US"/>
        </w:rPr>
        <w:t>1</w:t>
      </w:r>
      <w:r w:rsidRPr="00F0537C">
        <w:rPr>
          <w:lang w:val="en-US"/>
        </w:rPr>
        <w:t xml:space="preserve">H) = 8.31 (2H), assignable to the two extra protons of </w:t>
      </w:r>
      <w:r w:rsidRPr="00F0537C">
        <w:rPr>
          <w:b/>
          <w:lang w:val="en-US"/>
        </w:rPr>
        <w:t>6</w:t>
      </w:r>
      <w:r w:rsidRPr="00F0537C">
        <w:rPr>
          <w:lang w:val="en-US"/>
        </w:rPr>
        <w:t xml:space="preserve">, (ii) a sharp </w:t>
      </w:r>
      <w:r w:rsidRPr="00F0537C">
        <w:rPr>
          <w:vertAlign w:val="superscript"/>
          <w:lang w:val="en-US"/>
        </w:rPr>
        <w:t>13</w:t>
      </w:r>
      <w:r w:rsidRPr="00F0537C">
        <w:rPr>
          <w:lang w:val="en-US"/>
        </w:rPr>
        <w:t xml:space="preserve">C resonance at 125.4 ppm for the quaternary atoms constituting the central C–C bond of the carbazole moiety in </w:t>
      </w:r>
      <w:r w:rsidRPr="00F0537C">
        <w:rPr>
          <w:b/>
          <w:lang w:val="en-US"/>
        </w:rPr>
        <w:t>7</w:t>
      </w:r>
      <w:r w:rsidRPr="00F0537C">
        <w:rPr>
          <w:lang w:val="en-US"/>
        </w:rPr>
        <w:t>, and (iii) broadened MesB</w:t>
      </w:r>
      <w:r w:rsidRPr="00F0537C">
        <w:rPr>
          <w:i/>
          <w:lang w:val="en-US"/>
        </w:rPr>
        <w:t>C</w:t>
      </w:r>
      <w:r w:rsidRPr="00F0537C">
        <w:rPr>
          <w:vertAlign w:val="subscript"/>
          <w:lang w:val="en-US"/>
        </w:rPr>
        <w:t>2</w:t>
      </w:r>
      <w:r w:rsidRPr="00F0537C">
        <w:rPr>
          <w:lang w:val="en-US"/>
        </w:rPr>
        <w:t xml:space="preserve"> signals and </w:t>
      </w:r>
      <w:proofErr w:type="spellStart"/>
      <w:proofErr w:type="gramStart"/>
      <w:r w:rsidRPr="00F0537C">
        <w:rPr>
          <w:lang w:val="en-US"/>
        </w:rPr>
        <w:t>Mes</w:t>
      </w:r>
      <w:proofErr w:type="spellEnd"/>
      <w:proofErr w:type="gramEnd"/>
      <w:r w:rsidRPr="00F0537C">
        <w:rPr>
          <w:lang w:val="en-US"/>
        </w:rPr>
        <w:t xml:space="preserve"> resonances in the case of </w:t>
      </w:r>
      <w:r w:rsidRPr="00F0537C">
        <w:rPr>
          <w:b/>
          <w:lang w:val="en-US"/>
        </w:rPr>
        <w:t>8</w:t>
      </w:r>
      <w:r w:rsidRPr="00F0537C">
        <w:rPr>
          <w:lang w:val="en-US"/>
        </w:rPr>
        <w:t>.</w:t>
      </w:r>
    </w:p>
    <w:p w14:paraId="20073FDD" w14:textId="3261B9BF" w:rsidR="00E04D5C" w:rsidRDefault="001257A8" w:rsidP="00B42021">
      <w:pPr>
        <w:spacing w:before="240" w:after="0"/>
        <w:jc w:val="both"/>
        <w:rPr>
          <w:rFonts w:cstheme="minorHAnsi"/>
          <w:lang w:val="en-US"/>
        </w:rPr>
      </w:pPr>
      <w:bookmarkStart w:id="8" w:name="_Hlk164240826"/>
      <w:bookmarkStart w:id="9" w:name="_Hlk164265625"/>
      <w:r w:rsidRPr="00F0537C">
        <w:rPr>
          <w:lang w:val="en-US"/>
        </w:rPr>
        <w:lastRenderedPageBreak/>
        <w:t xml:space="preserve">The proposed molecular structures of </w:t>
      </w:r>
      <w:r w:rsidRPr="00F0537C">
        <w:rPr>
          <w:b/>
          <w:lang w:val="en-US"/>
        </w:rPr>
        <w:t xml:space="preserve">6 </w:t>
      </w:r>
      <w:r w:rsidRPr="00F0537C">
        <w:rPr>
          <w:lang w:val="en-US"/>
        </w:rPr>
        <w:t xml:space="preserve">(Fig. S63), </w:t>
      </w:r>
      <w:r w:rsidRPr="00F0537C">
        <w:rPr>
          <w:b/>
          <w:lang w:val="en-US"/>
        </w:rPr>
        <w:t>7</w:t>
      </w:r>
      <w:r w:rsidRPr="00F0537C">
        <w:rPr>
          <w:lang w:val="en-US"/>
        </w:rPr>
        <w:t xml:space="preserve"> (Fig. S64), and </w:t>
      </w:r>
      <w:r w:rsidRPr="00F0537C">
        <w:rPr>
          <w:b/>
          <w:lang w:val="en-US"/>
        </w:rPr>
        <w:t>8</w:t>
      </w:r>
      <w:r w:rsidRPr="00F0537C">
        <w:rPr>
          <w:lang w:val="en-US"/>
        </w:rPr>
        <w:t xml:space="preserve"> (Fig. 1) were confirmed by X-ray crystallography (see the ESI for the solid-state structures of </w:t>
      </w:r>
      <w:r w:rsidRPr="00F0537C">
        <w:rPr>
          <w:b/>
          <w:lang w:val="en-US"/>
        </w:rPr>
        <w:t>1</w:t>
      </w:r>
      <w:r w:rsidRPr="00F0537C">
        <w:rPr>
          <w:lang w:val="en-US"/>
        </w:rPr>
        <w:t xml:space="preserve">, </w:t>
      </w:r>
      <w:r w:rsidRPr="00F0537C">
        <w:rPr>
          <w:b/>
          <w:lang w:val="en-US"/>
        </w:rPr>
        <w:t>2</w:t>
      </w:r>
      <w:r w:rsidRPr="00F0537C">
        <w:rPr>
          <w:b/>
          <w:vertAlign w:val="superscript"/>
          <w:lang w:val="en-US"/>
        </w:rPr>
        <w:t>Br</w:t>
      </w:r>
      <w:r w:rsidRPr="00F0537C">
        <w:rPr>
          <w:lang w:val="en-US"/>
        </w:rPr>
        <w:t xml:space="preserve">, </w:t>
      </w:r>
      <w:r w:rsidRPr="00F0537C">
        <w:rPr>
          <w:b/>
          <w:lang w:val="en-US"/>
        </w:rPr>
        <w:t>5</w:t>
      </w:r>
      <w:r w:rsidRPr="00F0537C">
        <w:rPr>
          <w:lang w:val="en-US"/>
        </w:rPr>
        <w:t xml:space="preserve">, and </w:t>
      </w:r>
      <w:r w:rsidRPr="00F0537C">
        <w:rPr>
          <w:b/>
          <w:lang w:val="en-US"/>
        </w:rPr>
        <w:t>9</w:t>
      </w:r>
      <w:r w:rsidRPr="00F0537C">
        <w:rPr>
          <w:b/>
          <w:vertAlign w:val="superscript"/>
          <w:lang w:val="en-US"/>
        </w:rPr>
        <w:t>Mes</w:t>
      </w:r>
      <w:r w:rsidRPr="00F0537C">
        <w:rPr>
          <w:lang w:val="en-US"/>
        </w:rPr>
        <w:t>).</w:t>
      </w:r>
      <w:r w:rsidRPr="00F0537C">
        <w:rPr>
          <w:lang w:val="en-US"/>
        </w:rPr>
        <w:fldChar w:fldCharType="begin" w:fldLock="1"/>
      </w:r>
      <w:r w:rsidRPr="00F0537C">
        <w:rPr>
          <w:lang w:val="en-US"/>
        </w:rPr>
        <w:instrText>ADDIN CSL_CITATION {"citationItems":[{"id":"ITEM-1","itemData":{"author":[{"dropping-particle":"","family":"EZ2_C","given":"","non-dropping-particle":"","parse-names":false,"suffix":""}],"id":"ITEM-1","issued":{"date-parts":[["0"]]},"title":"EZ2_C","type":"article"},"uris":["http://www.mendeley.com/documents/?uuid=aeccfc5e-acfd-4181-a01c-c2a82827cc04"]}],"mendeley":{"formattedCitation":"&lt;sup&gt;25&lt;/sup&gt;","plainTextFormattedCitation":"25","previouslyFormattedCitation":"&lt;sup&gt;25&lt;/sup&gt;"},"properties":{"noteIndex":0},"schema":"https://github.com/citation-style-language/schema/raw/master/csl-citation.json"}</w:instrText>
      </w:r>
      <w:r w:rsidRPr="00F0537C">
        <w:rPr>
          <w:lang w:val="en-US"/>
        </w:rPr>
        <w:fldChar w:fldCharType="separate"/>
      </w:r>
      <w:r w:rsidRPr="00F0537C">
        <w:rPr>
          <w:vertAlign w:val="superscript"/>
          <w:lang w:val="en-US"/>
        </w:rPr>
        <w:t>25</w:t>
      </w:r>
      <w:r w:rsidRPr="00F0537C">
        <w:rPr>
          <w:lang w:val="en-US"/>
        </w:rPr>
        <w:fldChar w:fldCharType="end"/>
      </w:r>
      <w:r w:rsidRPr="00F0537C">
        <w:rPr>
          <w:lang w:val="en-US"/>
        </w:rPr>
        <w:t xml:space="preserve"> The pentacene fragments of </w:t>
      </w:r>
      <w:r w:rsidRPr="00F0537C">
        <w:rPr>
          <w:b/>
          <w:lang w:val="en-US"/>
        </w:rPr>
        <w:t>6</w:t>
      </w:r>
      <w:r w:rsidRPr="00F0537C">
        <w:rPr>
          <w:lang w:val="en-US"/>
        </w:rPr>
        <w:t>–</w:t>
      </w:r>
      <w:r w:rsidRPr="00F0537C">
        <w:rPr>
          <w:b/>
          <w:lang w:val="en-US"/>
        </w:rPr>
        <w:t>8</w:t>
      </w:r>
      <w:r w:rsidRPr="00F0537C">
        <w:rPr>
          <w:lang w:val="en-US"/>
        </w:rPr>
        <w:t xml:space="preserve"> show only small twists with dihedral angles between the two outer 1,2-phenylene rings in the range </w:t>
      </w:r>
      <w:proofErr w:type="spellStart"/>
      <w:r w:rsidRPr="00F0537C">
        <w:rPr>
          <w:lang w:val="en-US"/>
        </w:rPr>
        <w:t>Ar</w:t>
      </w:r>
      <w:proofErr w:type="spellEnd"/>
      <w:r w:rsidRPr="00F0537C">
        <w:rPr>
          <w:lang w:val="en-US"/>
        </w:rPr>
        <w:t>(</w:t>
      </w:r>
      <w:r w:rsidRPr="00F0537C">
        <w:rPr>
          <w:i/>
          <w:lang w:val="en-US"/>
        </w:rPr>
        <w:t>a</w:t>
      </w:r>
      <w:r w:rsidRPr="00F0537C">
        <w:rPr>
          <w:lang w:val="en-US"/>
        </w:rPr>
        <w:t>)//</w:t>
      </w:r>
      <w:proofErr w:type="spellStart"/>
      <w:r w:rsidRPr="00F0537C">
        <w:rPr>
          <w:lang w:val="en-US"/>
        </w:rPr>
        <w:t>Ar</w:t>
      </w:r>
      <w:proofErr w:type="spellEnd"/>
      <w:r w:rsidRPr="00F0537C">
        <w:rPr>
          <w:lang w:val="en-US"/>
        </w:rPr>
        <w:t>(</w:t>
      </w:r>
      <w:r w:rsidRPr="00F0537C">
        <w:rPr>
          <w:i/>
          <w:lang w:val="en-US"/>
        </w:rPr>
        <w:t>b</w:t>
      </w:r>
      <w:r w:rsidRPr="00F0537C">
        <w:rPr>
          <w:lang w:val="en-US"/>
        </w:rPr>
        <w:t xml:space="preserve">) = 4.10(5)–13.98(4)° (see Scheme 3 for the ring labeling). Compound </w:t>
      </w:r>
      <w:r w:rsidRPr="00F0537C">
        <w:rPr>
          <w:b/>
          <w:lang w:val="en-US"/>
        </w:rPr>
        <w:t>6</w:t>
      </w:r>
      <w:r w:rsidRPr="00F0537C">
        <w:rPr>
          <w:lang w:val="en-US"/>
        </w:rPr>
        <w:t xml:space="preserve"> features three [4]helicene substructures (2 × N</w:t>
      </w:r>
      <w:r w:rsidRPr="00F0537C">
        <w:rPr>
          <w:vertAlign w:val="subscript"/>
          <w:lang w:val="en-US"/>
        </w:rPr>
        <w:t>2</w:t>
      </w:r>
      <w:r w:rsidRPr="00F0537C">
        <w:rPr>
          <w:lang w:val="en-US"/>
        </w:rPr>
        <w:t>,B- and 1 × B</w:t>
      </w:r>
      <w:r w:rsidRPr="00F0537C">
        <w:rPr>
          <w:vertAlign w:val="subscript"/>
          <w:lang w:val="en-US"/>
        </w:rPr>
        <w:t>2</w:t>
      </w:r>
      <w:r w:rsidRPr="00F0537C">
        <w:rPr>
          <w:lang w:val="en-US"/>
        </w:rPr>
        <w:t xml:space="preserve">,N-doped) that are linked through the central benzene ring. A large dihedral angle </w:t>
      </w:r>
      <w:proofErr w:type="spellStart"/>
      <w:r w:rsidRPr="00F0537C">
        <w:rPr>
          <w:lang w:val="en-US"/>
        </w:rPr>
        <w:t>Ar</w:t>
      </w:r>
      <w:proofErr w:type="spellEnd"/>
      <w:r w:rsidRPr="00F0537C">
        <w:rPr>
          <w:lang w:val="en-US"/>
        </w:rPr>
        <w:t>(</w:t>
      </w:r>
      <w:r w:rsidRPr="00F0537C">
        <w:rPr>
          <w:i/>
          <w:lang w:val="en-US"/>
        </w:rPr>
        <w:t>c</w:t>
      </w:r>
      <w:r w:rsidRPr="00F0537C">
        <w:rPr>
          <w:lang w:val="en-US"/>
        </w:rPr>
        <w:t>)//</w:t>
      </w:r>
      <w:proofErr w:type="spellStart"/>
      <w:r w:rsidRPr="00F0537C">
        <w:rPr>
          <w:lang w:val="en-US"/>
        </w:rPr>
        <w:t>Ar</w:t>
      </w:r>
      <w:proofErr w:type="spellEnd"/>
      <w:r w:rsidRPr="00F0537C">
        <w:rPr>
          <w:lang w:val="en-US"/>
        </w:rPr>
        <w:t>(</w:t>
      </w:r>
      <w:r w:rsidRPr="00F0537C">
        <w:rPr>
          <w:i/>
          <w:lang w:val="en-US"/>
        </w:rPr>
        <w:t>d</w:t>
      </w:r>
      <w:r w:rsidRPr="00F0537C">
        <w:rPr>
          <w:lang w:val="en-US"/>
        </w:rPr>
        <w:t>) of 48.97(7)° is caused by steric repulsion of the two extra H atoms in the cove</w:t>
      </w:r>
      <w:r w:rsidRPr="00F0537C">
        <w:rPr>
          <w:lang w:val="en-US"/>
        </w:rPr>
        <w:fldChar w:fldCharType="begin" w:fldLock="1"/>
      </w:r>
      <w:r w:rsidRPr="00F0537C">
        <w:rPr>
          <w:lang w:val="en-US"/>
        </w:rPr>
        <w:instrText>ADDIN CSL_CITATION {"citationItems":[{"id":"ITEM-1","itemData":{"DOI":"10.1002/poc.1644","ISSN":"0894-3230","abstract":"Polycyclic aromatic hydrocarbons (PAHs) are popular research subjects due to their high stability, their rigid planar structure, and their characteristic optical spectra. The recent discovery of graphene, which can be regarded as giant PAH, has further stimulated the interest in this area. For this reason, the relationship between the geometric and electronic structure and the optical spectra of PAHs are reviewed, pointing out the versatile properties of this class of molecules. Extremely stable fully‐benzenoid PAHs with high optical gaps are encountered on the one side and the very reactive acenes with low optical gaps on the other side. A huge range of molecular sizes is covered from the simplest case benzene with its six carbon atoms up to disks containing as much as 96 carbon atoms. Furthermore, the impact of non‐planarity is discussed as model cases for the highly important fullerenes and carbon nanotubes. The detailed analysis of the electronic structure of PAHs is very important with regard to their application as fluorescent dyes or organic semiconductors. The presented research results shall encourage developments of new PAH structures to exploit novel materials properties. Copyright © 2010 John Wiley &amp; Sons, Ltd.","author":[{"dropping-particle":"","family":"Rieger","given":"R.","non-dropping-particle":"","parse-names":false,"suffix":""},{"dropping-particle":"","family":"Müllen","given":"K.","non-dropping-particle":"","parse-names":false,"suffix":""}],"container-title":"Journal of Physical Organic Chemistry","id":"ITEM-1","issue":"4","issued":{"date-parts":[["2010","4","24"]]},"page":"315-325","title":"Forever young: polycyclic aromatic hydrocarbons as model cases for structural and optical studies","type":"article-journal","volume":"23"},"uris":["http://www.mendeley.com/documents/?uuid=00886399-4ab5-4385-a156-8fe7320d3516"]}],"mendeley":{"formattedCitation":"&lt;sup&gt;26&lt;/sup&gt;","plainTextFormattedCitation":"26","previouslyFormattedCitation":"&lt;sup&gt;26&lt;/sup&gt;"},"properties":{"noteIndex":0},"schema":"https://github.com/citation-style-language/schema/raw/master/csl-citation.json"}</w:instrText>
      </w:r>
      <w:r w:rsidRPr="00F0537C">
        <w:rPr>
          <w:lang w:val="en-US"/>
        </w:rPr>
        <w:fldChar w:fldCharType="separate"/>
      </w:r>
      <w:r w:rsidRPr="00F0537C">
        <w:rPr>
          <w:vertAlign w:val="superscript"/>
          <w:lang w:val="en-US"/>
        </w:rPr>
        <w:t>26</w:t>
      </w:r>
      <w:r w:rsidRPr="00F0537C">
        <w:rPr>
          <w:lang w:val="en-US"/>
        </w:rPr>
        <w:fldChar w:fldCharType="end"/>
      </w:r>
      <w:r w:rsidRPr="00F0537C">
        <w:rPr>
          <w:lang w:val="en-US"/>
        </w:rPr>
        <w:t xml:space="preserve"> region. Replacement of these H atoms with a C–C bond in </w:t>
      </w:r>
      <w:r w:rsidRPr="00F0537C">
        <w:rPr>
          <w:b/>
          <w:lang w:val="en-US"/>
        </w:rPr>
        <w:t>7</w:t>
      </w:r>
      <w:r w:rsidRPr="00F0537C">
        <w:rPr>
          <w:lang w:val="en-US"/>
        </w:rPr>
        <w:t xml:space="preserve"> renders </w:t>
      </w:r>
      <w:proofErr w:type="spellStart"/>
      <w:r w:rsidRPr="00F0537C">
        <w:rPr>
          <w:lang w:val="en-US"/>
        </w:rPr>
        <w:t>Ar</w:t>
      </w:r>
      <w:proofErr w:type="spellEnd"/>
      <w:r w:rsidRPr="00F0537C">
        <w:rPr>
          <w:lang w:val="en-US"/>
        </w:rPr>
        <w:t>(</w:t>
      </w:r>
      <w:r w:rsidRPr="00F0537C">
        <w:rPr>
          <w:i/>
          <w:lang w:val="en-US"/>
        </w:rPr>
        <w:t>c</w:t>
      </w:r>
      <w:r w:rsidRPr="00F0537C">
        <w:rPr>
          <w:lang w:val="en-US"/>
        </w:rPr>
        <w:t xml:space="preserve">) and </w:t>
      </w:r>
      <w:proofErr w:type="spellStart"/>
      <w:r w:rsidRPr="00F0537C">
        <w:rPr>
          <w:lang w:val="en-US"/>
        </w:rPr>
        <w:t>Ar</w:t>
      </w:r>
      <w:proofErr w:type="spellEnd"/>
      <w:r w:rsidRPr="00F0537C">
        <w:rPr>
          <w:lang w:val="en-US"/>
        </w:rPr>
        <w:t>(</w:t>
      </w:r>
      <w:r w:rsidRPr="00F0537C">
        <w:rPr>
          <w:i/>
          <w:lang w:val="en-US"/>
        </w:rPr>
        <w:t>d</w:t>
      </w:r>
      <w:r w:rsidRPr="00F0537C">
        <w:rPr>
          <w:lang w:val="en-US"/>
        </w:rPr>
        <w:t xml:space="preserve">) essentially coplanar. Concomitantly, the substantial dihedral angles </w:t>
      </w:r>
      <w:proofErr w:type="spellStart"/>
      <w:r w:rsidRPr="00F0537C">
        <w:rPr>
          <w:lang w:val="en-US"/>
        </w:rPr>
        <w:t>Ar</w:t>
      </w:r>
      <w:proofErr w:type="spellEnd"/>
      <w:r w:rsidRPr="00F0537C">
        <w:rPr>
          <w:lang w:val="en-US"/>
        </w:rPr>
        <w:t>(</w:t>
      </w:r>
      <w:r w:rsidRPr="00F0537C">
        <w:rPr>
          <w:i/>
          <w:lang w:val="en-US"/>
        </w:rPr>
        <w:t>a</w:t>
      </w:r>
      <w:r w:rsidRPr="00F0537C">
        <w:rPr>
          <w:lang w:val="en-US"/>
        </w:rPr>
        <w:t>)//</w:t>
      </w:r>
      <w:proofErr w:type="spellStart"/>
      <w:r w:rsidRPr="00F0537C">
        <w:rPr>
          <w:lang w:val="en-US"/>
        </w:rPr>
        <w:t>Ar</w:t>
      </w:r>
      <w:proofErr w:type="spellEnd"/>
      <w:r w:rsidRPr="00F0537C">
        <w:rPr>
          <w:lang w:val="en-US"/>
        </w:rPr>
        <w:t>(</w:t>
      </w:r>
      <w:r w:rsidRPr="00F0537C">
        <w:rPr>
          <w:i/>
          <w:lang w:val="en-US"/>
        </w:rPr>
        <w:t>c</w:t>
      </w:r>
      <w:r w:rsidRPr="00F0537C">
        <w:rPr>
          <w:lang w:val="en-US"/>
        </w:rPr>
        <w:t xml:space="preserve">) and </w:t>
      </w:r>
      <w:proofErr w:type="spellStart"/>
      <w:r w:rsidRPr="00F0537C">
        <w:rPr>
          <w:lang w:val="en-US"/>
        </w:rPr>
        <w:t>Ar</w:t>
      </w:r>
      <w:proofErr w:type="spellEnd"/>
      <w:r w:rsidRPr="00F0537C">
        <w:rPr>
          <w:lang w:val="en-US"/>
        </w:rPr>
        <w:t>(</w:t>
      </w:r>
      <w:r w:rsidRPr="00F0537C">
        <w:rPr>
          <w:i/>
          <w:lang w:val="en-US"/>
        </w:rPr>
        <w:t>b</w:t>
      </w:r>
      <w:r w:rsidRPr="00F0537C">
        <w:rPr>
          <w:lang w:val="en-US"/>
        </w:rPr>
        <w:t>)//</w:t>
      </w:r>
      <w:proofErr w:type="spellStart"/>
      <w:r w:rsidRPr="00F0537C">
        <w:rPr>
          <w:lang w:val="en-US"/>
        </w:rPr>
        <w:t>Ar</w:t>
      </w:r>
      <w:proofErr w:type="spellEnd"/>
      <w:r w:rsidRPr="00F0537C">
        <w:rPr>
          <w:lang w:val="en-US"/>
        </w:rPr>
        <w:t>(</w:t>
      </w:r>
      <w:r w:rsidRPr="00F0537C">
        <w:rPr>
          <w:i/>
          <w:lang w:val="en-US"/>
        </w:rPr>
        <w:t>d</w:t>
      </w:r>
      <w:r w:rsidRPr="00F0537C">
        <w:rPr>
          <w:lang w:val="en-US"/>
        </w:rPr>
        <w:t xml:space="preserve">) of avg. 29.41° in </w:t>
      </w:r>
      <w:r w:rsidRPr="00F0537C">
        <w:rPr>
          <w:b/>
          <w:lang w:val="en-US"/>
        </w:rPr>
        <w:t>6</w:t>
      </w:r>
      <w:r w:rsidRPr="00F0537C">
        <w:rPr>
          <w:lang w:val="en-US"/>
        </w:rPr>
        <w:t xml:space="preserve"> are reduced to values of 3.43(5)–17.99(4)° in </w:t>
      </w:r>
      <w:r w:rsidRPr="00F0537C">
        <w:rPr>
          <w:b/>
          <w:lang w:val="en-US"/>
        </w:rPr>
        <w:t>7</w:t>
      </w:r>
      <w:r w:rsidRPr="00F0537C">
        <w:rPr>
          <w:lang w:val="en-US"/>
        </w:rPr>
        <w:t xml:space="preserve">. Once </w:t>
      </w:r>
      <w:proofErr w:type="spellStart"/>
      <w:r w:rsidRPr="00F0537C">
        <w:rPr>
          <w:lang w:val="en-US"/>
        </w:rPr>
        <w:t>Ar</w:t>
      </w:r>
      <w:proofErr w:type="spellEnd"/>
      <w:r w:rsidRPr="00F0537C">
        <w:rPr>
          <w:lang w:val="en-US"/>
        </w:rPr>
        <w:t>(</w:t>
      </w:r>
      <w:r w:rsidRPr="00F0537C">
        <w:rPr>
          <w:i/>
          <w:lang w:val="en-US"/>
        </w:rPr>
        <w:t>c</w:t>
      </w:r>
      <w:r w:rsidRPr="00F0537C">
        <w:rPr>
          <w:lang w:val="en-US"/>
        </w:rPr>
        <w:t xml:space="preserve">) and </w:t>
      </w:r>
      <w:proofErr w:type="spellStart"/>
      <w:r w:rsidRPr="00F0537C">
        <w:rPr>
          <w:lang w:val="en-US"/>
        </w:rPr>
        <w:t>Ar</w:t>
      </w:r>
      <w:proofErr w:type="spellEnd"/>
      <w:r w:rsidRPr="00F0537C">
        <w:rPr>
          <w:lang w:val="en-US"/>
        </w:rPr>
        <w:t>(</w:t>
      </w:r>
      <w:r w:rsidRPr="00F0537C">
        <w:rPr>
          <w:i/>
          <w:lang w:val="en-US"/>
        </w:rPr>
        <w:t>d</w:t>
      </w:r>
      <w:r w:rsidRPr="00F0537C">
        <w:rPr>
          <w:lang w:val="en-US"/>
        </w:rPr>
        <w:t xml:space="preserve">) are not connected by a direct C–C bond but by a </w:t>
      </w:r>
      <w:proofErr w:type="spellStart"/>
      <w:r w:rsidRPr="00F0537C">
        <w:rPr>
          <w:lang w:val="en-US"/>
        </w:rPr>
        <w:t>BMes</w:t>
      </w:r>
      <w:proofErr w:type="spellEnd"/>
      <w:r w:rsidRPr="00F0537C">
        <w:rPr>
          <w:lang w:val="en-US"/>
        </w:rPr>
        <w:t xml:space="preserve"> bridge, the reduced contraction and increased conformational flexibility in the newly formed BNC</w:t>
      </w:r>
      <w:r w:rsidRPr="00F0537C">
        <w:rPr>
          <w:vertAlign w:val="subscript"/>
          <w:lang w:val="en-US"/>
        </w:rPr>
        <w:t>4</w:t>
      </w:r>
      <w:r w:rsidRPr="00F0537C">
        <w:rPr>
          <w:lang w:val="en-US"/>
        </w:rPr>
        <w:t xml:space="preserve"> ring restores the helicity in </w:t>
      </w:r>
      <w:r w:rsidRPr="00F0537C">
        <w:rPr>
          <w:b/>
          <w:lang w:val="en-US"/>
        </w:rPr>
        <w:t>8</w:t>
      </w:r>
      <w:r w:rsidRPr="00F0537C">
        <w:rPr>
          <w:lang w:val="en-US"/>
        </w:rPr>
        <w:t xml:space="preserve"> with angles of </w:t>
      </w:r>
      <w:proofErr w:type="spellStart"/>
      <w:r w:rsidRPr="00F0537C">
        <w:rPr>
          <w:lang w:val="en-US"/>
        </w:rPr>
        <w:t>Ar</w:t>
      </w:r>
      <w:proofErr w:type="spellEnd"/>
      <w:r w:rsidRPr="00F0537C">
        <w:rPr>
          <w:lang w:val="en-US"/>
        </w:rPr>
        <w:t>(</w:t>
      </w:r>
      <w:r w:rsidRPr="00F0537C">
        <w:rPr>
          <w:i/>
          <w:lang w:val="en-US"/>
        </w:rPr>
        <w:t>a</w:t>
      </w:r>
      <w:r w:rsidRPr="00F0537C">
        <w:rPr>
          <w:lang w:val="en-US"/>
        </w:rPr>
        <w:t>)//</w:t>
      </w:r>
      <w:proofErr w:type="spellStart"/>
      <w:r w:rsidRPr="00F0537C">
        <w:rPr>
          <w:lang w:val="en-US"/>
        </w:rPr>
        <w:t>Ar</w:t>
      </w:r>
      <w:proofErr w:type="spellEnd"/>
      <w:r w:rsidRPr="00F0537C">
        <w:rPr>
          <w:lang w:val="en-US"/>
        </w:rPr>
        <w:t>(</w:t>
      </w:r>
      <w:r w:rsidRPr="00F0537C">
        <w:rPr>
          <w:i/>
          <w:lang w:val="en-US"/>
        </w:rPr>
        <w:t>c</w:t>
      </w:r>
      <w:r w:rsidRPr="00F0537C">
        <w:rPr>
          <w:lang w:val="en-US"/>
        </w:rPr>
        <w:t xml:space="preserve">) and </w:t>
      </w:r>
      <w:proofErr w:type="spellStart"/>
      <w:r w:rsidRPr="00F0537C">
        <w:rPr>
          <w:lang w:val="en-US"/>
        </w:rPr>
        <w:t>Ar</w:t>
      </w:r>
      <w:proofErr w:type="spellEnd"/>
      <w:r w:rsidRPr="00F0537C">
        <w:rPr>
          <w:lang w:val="en-US"/>
        </w:rPr>
        <w:t>(</w:t>
      </w:r>
      <w:r w:rsidRPr="00F0537C">
        <w:rPr>
          <w:i/>
          <w:lang w:val="en-US"/>
        </w:rPr>
        <w:t>b</w:t>
      </w:r>
      <w:r w:rsidRPr="00F0537C">
        <w:rPr>
          <w:lang w:val="en-US"/>
        </w:rPr>
        <w:t>)//</w:t>
      </w:r>
      <w:proofErr w:type="spellStart"/>
      <w:r w:rsidRPr="00F0537C">
        <w:rPr>
          <w:lang w:val="en-US"/>
        </w:rPr>
        <w:t>Ar</w:t>
      </w:r>
      <w:proofErr w:type="spellEnd"/>
      <w:r w:rsidRPr="00F0537C">
        <w:rPr>
          <w:lang w:val="en-US"/>
        </w:rPr>
        <w:t>(</w:t>
      </w:r>
      <w:r w:rsidRPr="00F0537C">
        <w:rPr>
          <w:i/>
          <w:lang w:val="en-US"/>
        </w:rPr>
        <w:t>d</w:t>
      </w:r>
      <w:r w:rsidRPr="00F0537C">
        <w:rPr>
          <w:lang w:val="en-US"/>
        </w:rPr>
        <w:t xml:space="preserve">) of avg. 29.01° and </w:t>
      </w:r>
      <w:proofErr w:type="spellStart"/>
      <w:r w:rsidRPr="00F0537C">
        <w:rPr>
          <w:lang w:val="en-US"/>
        </w:rPr>
        <w:t>Ar</w:t>
      </w:r>
      <w:proofErr w:type="spellEnd"/>
      <w:r w:rsidRPr="00F0537C">
        <w:rPr>
          <w:lang w:val="en-US"/>
        </w:rPr>
        <w:t>(</w:t>
      </w:r>
      <w:r w:rsidRPr="00F0537C">
        <w:rPr>
          <w:i/>
          <w:lang w:val="en-US"/>
        </w:rPr>
        <w:t>c</w:t>
      </w:r>
      <w:r w:rsidRPr="00F0537C">
        <w:rPr>
          <w:lang w:val="en-US"/>
        </w:rPr>
        <w:t>)//</w:t>
      </w:r>
      <w:proofErr w:type="spellStart"/>
      <w:r w:rsidRPr="00F0537C">
        <w:rPr>
          <w:lang w:val="en-US"/>
        </w:rPr>
        <w:t>Ar</w:t>
      </w:r>
      <w:proofErr w:type="spellEnd"/>
      <w:r w:rsidRPr="00F0537C">
        <w:rPr>
          <w:lang w:val="en-US"/>
        </w:rPr>
        <w:t>(</w:t>
      </w:r>
      <w:r w:rsidRPr="00F0537C">
        <w:rPr>
          <w:i/>
          <w:lang w:val="en-US"/>
        </w:rPr>
        <w:t>d</w:t>
      </w:r>
      <w:r w:rsidRPr="00F0537C">
        <w:rPr>
          <w:lang w:val="en-US"/>
        </w:rPr>
        <w:t xml:space="preserve">) of 23.57(15)°. In the crystal lattice, the molecules of </w:t>
      </w:r>
      <w:r w:rsidRPr="00F0537C">
        <w:rPr>
          <w:b/>
          <w:lang w:val="en-US"/>
        </w:rPr>
        <w:t>8</w:t>
      </w:r>
      <w:r w:rsidRPr="00F0537C">
        <w:rPr>
          <w:lang w:val="en-US"/>
        </w:rPr>
        <w:t xml:space="preserve"> are pairwise connected by π-π-stacking interactions with an off-set geometry (Fig. 1c). The intradimer distance between the B(3) atom and the C</w:t>
      </w:r>
      <w:r w:rsidRPr="00F0537C">
        <w:rPr>
          <w:vertAlign w:val="subscript"/>
          <w:lang w:val="en-US"/>
        </w:rPr>
        <w:t>6</w:t>
      </w:r>
      <w:r w:rsidRPr="00F0537C">
        <w:rPr>
          <w:lang w:val="en-US"/>
        </w:rPr>
        <w:t>H</w:t>
      </w:r>
      <w:r w:rsidRPr="00F0537C">
        <w:rPr>
          <w:vertAlign w:val="subscript"/>
          <w:lang w:val="en-US"/>
        </w:rPr>
        <w:t>4</w:t>
      </w:r>
      <w:r w:rsidRPr="00F0537C">
        <w:rPr>
          <w:lang w:val="en-US"/>
        </w:rPr>
        <w:t xml:space="preserve"> plane C(51)-to-C(56) is 3.403(4) Å (see pink dashed line in Fig. 1c). The (</w:t>
      </w:r>
      <w:r w:rsidRPr="00F0537C">
        <w:rPr>
          <w:b/>
          <w:lang w:val="en-US"/>
        </w:rPr>
        <w:t>8</w:t>
      </w:r>
      <w:r w:rsidRPr="00F0537C">
        <w:rPr>
          <w:lang w:val="en-US"/>
        </w:rPr>
        <w:t>)</w:t>
      </w:r>
      <w:r w:rsidRPr="00F0537C">
        <w:rPr>
          <w:vertAlign w:val="subscript"/>
          <w:lang w:val="en-US"/>
        </w:rPr>
        <w:t>2</w:t>
      </w:r>
      <w:r w:rsidRPr="00F0537C">
        <w:rPr>
          <w:lang w:val="en-US"/>
        </w:rPr>
        <w:t xml:space="preserve"> dimers are arranged into</w:t>
      </w:r>
      <w:bookmarkEnd w:id="8"/>
      <w:r w:rsidR="00EF741D" w:rsidRPr="00EF741D">
        <w:rPr>
          <w:lang w:val="en-US"/>
        </w:rPr>
        <w:t xml:space="preserve"> </w:t>
      </w:r>
      <w:r w:rsidR="00EF741D" w:rsidRPr="00F0537C">
        <w:rPr>
          <w:lang w:val="en-US"/>
        </w:rPr>
        <w:t>infinite one-dimensional arrays with shortest interdimer contacts of 3.610(3) Å (Fig. S67).</w:t>
      </w:r>
    </w:p>
    <w:bookmarkEnd w:id="9"/>
    <w:p w14:paraId="59ABEA26" w14:textId="674EFCEB" w:rsidR="00CF399F" w:rsidRDefault="00A470F6" w:rsidP="00B42021">
      <w:pPr>
        <w:spacing w:before="240" w:after="0"/>
        <w:jc w:val="both"/>
        <w:rPr>
          <w:lang w:val="en-US"/>
        </w:rPr>
      </w:pPr>
      <w:r>
        <w:rPr>
          <w:noProof/>
          <w:lang w:val="en-US"/>
        </w:rPr>
        <w:drawing>
          <wp:inline distT="0" distB="0" distL="0" distR="0" wp14:anchorId="18D57298" wp14:editId="5C49A381">
            <wp:extent cx="2448709" cy="2884170"/>
            <wp:effectExtent l="0" t="0" r="0" b="0"/>
            <wp:docPr id="163520870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208703" name="Grafik 1635208703"/>
                    <pic:cNvPicPr/>
                  </pic:nvPicPr>
                  <pic:blipFill rotWithShape="1">
                    <a:blip r:embed="rId13" cstate="print">
                      <a:extLst>
                        <a:ext uri="{28A0092B-C50C-407E-A947-70E740481C1C}">
                          <a14:useLocalDpi xmlns:a14="http://schemas.microsoft.com/office/drawing/2010/main" val="0"/>
                        </a:ext>
                      </a:extLst>
                    </a:blip>
                    <a:srcRect l="10489" r="46996" b="11011"/>
                    <a:stretch/>
                  </pic:blipFill>
                  <pic:spPr bwMode="auto">
                    <a:xfrm>
                      <a:off x="0" y="0"/>
                      <a:ext cx="2449172" cy="2884715"/>
                    </a:xfrm>
                    <a:prstGeom prst="rect">
                      <a:avLst/>
                    </a:prstGeom>
                    <a:ln>
                      <a:noFill/>
                    </a:ln>
                    <a:extLst>
                      <a:ext uri="{53640926-AAD7-44D8-BBD7-CCE9431645EC}">
                        <a14:shadowObscured xmlns:a14="http://schemas.microsoft.com/office/drawing/2010/main"/>
                      </a:ext>
                    </a:extLst>
                  </pic:spPr>
                </pic:pic>
              </a:graphicData>
            </a:graphic>
          </wp:inline>
        </w:drawing>
      </w:r>
    </w:p>
    <w:p w14:paraId="1E2F14A7" w14:textId="12627444" w:rsidR="00CF399F" w:rsidRPr="00BF698F" w:rsidRDefault="00CF399F" w:rsidP="00B42021">
      <w:pPr>
        <w:spacing w:before="240" w:after="0"/>
        <w:jc w:val="both"/>
        <w:rPr>
          <w:lang w:val="en-US"/>
        </w:rPr>
      </w:pPr>
      <w:bookmarkStart w:id="10" w:name="_Hlk164267881"/>
      <w:r w:rsidRPr="00CF399F">
        <w:rPr>
          <w:b/>
          <w:lang w:val="en-US"/>
        </w:rPr>
        <w:t>Fig. 1</w:t>
      </w:r>
      <w:r>
        <w:rPr>
          <w:b/>
          <w:lang w:val="en-US"/>
        </w:rPr>
        <w:t xml:space="preserve"> </w:t>
      </w:r>
      <w:r w:rsidR="005F2066">
        <w:rPr>
          <w:lang w:val="en-US"/>
        </w:rPr>
        <w:t xml:space="preserve">Molecular structure of </w:t>
      </w:r>
      <w:r w:rsidR="005F2066">
        <w:rPr>
          <w:b/>
          <w:lang w:val="en-US"/>
        </w:rPr>
        <w:t>8</w:t>
      </w:r>
      <w:r w:rsidR="005F2066">
        <w:rPr>
          <w:lang w:val="en-US"/>
        </w:rPr>
        <w:t xml:space="preserve"> in the solid state</w:t>
      </w:r>
      <w:r w:rsidR="007565B6">
        <w:rPr>
          <w:lang w:val="en-US"/>
        </w:rPr>
        <w:t xml:space="preserve">; </w:t>
      </w:r>
      <w:r w:rsidR="005F2066">
        <w:rPr>
          <w:lang w:val="en-US"/>
        </w:rPr>
        <w:t>a</w:t>
      </w:r>
      <w:r w:rsidR="007565B6">
        <w:rPr>
          <w:lang w:val="en-US"/>
        </w:rPr>
        <w:t>)</w:t>
      </w:r>
      <w:r w:rsidR="005F2066">
        <w:rPr>
          <w:lang w:val="en-US"/>
        </w:rPr>
        <w:t xml:space="preserve"> front view</w:t>
      </w:r>
      <w:r w:rsidR="007565B6">
        <w:rPr>
          <w:lang w:val="en-US"/>
        </w:rPr>
        <w:t>,</w:t>
      </w:r>
      <w:r w:rsidR="005F2066">
        <w:rPr>
          <w:lang w:val="en-US"/>
        </w:rPr>
        <w:t xml:space="preserve"> b</w:t>
      </w:r>
      <w:r w:rsidR="007565B6">
        <w:rPr>
          <w:lang w:val="en-US"/>
        </w:rPr>
        <w:t>)</w:t>
      </w:r>
      <w:r w:rsidR="005F2066">
        <w:rPr>
          <w:lang w:val="en-US"/>
        </w:rPr>
        <w:t xml:space="preserve"> side view</w:t>
      </w:r>
      <w:r w:rsidR="007565B6">
        <w:rPr>
          <w:lang w:val="en-US"/>
        </w:rPr>
        <w:t>,</w:t>
      </w:r>
      <w:r w:rsidR="005F2066">
        <w:rPr>
          <w:lang w:val="en-US"/>
        </w:rPr>
        <w:t xml:space="preserve"> </w:t>
      </w:r>
      <w:r w:rsidR="00356AE5">
        <w:rPr>
          <w:lang w:val="en-US"/>
        </w:rPr>
        <w:t xml:space="preserve">and </w:t>
      </w:r>
      <w:r w:rsidR="005F2066">
        <w:rPr>
          <w:lang w:val="en-US"/>
        </w:rPr>
        <w:t>c</w:t>
      </w:r>
      <w:r w:rsidR="007565B6">
        <w:rPr>
          <w:lang w:val="en-US"/>
        </w:rPr>
        <w:t>)</w:t>
      </w:r>
      <w:r w:rsidR="00356AE5">
        <w:rPr>
          <w:lang w:val="en-US"/>
        </w:rPr>
        <w:t xml:space="preserve"> s</w:t>
      </w:r>
      <w:r w:rsidR="00356AE5" w:rsidRPr="00356AE5">
        <w:rPr>
          <w:lang w:val="en-US"/>
        </w:rPr>
        <w:t xml:space="preserve">ection of the crystal lattice showing the pairwise </w:t>
      </w:r>
      <w:r w:rsidR="00356AE5" w:rsidRPr="0089796D">
        <w:rPr>
          <w:rFonts w:cstheme="minorHAnsi"/>
          <w:lang w:val="en-US"/>
        </w:rPr>
        <w:t>π-π-stacking</w:t>
      </w:r>
      <w:r w:rsidR="00356AE5">
        <w:rPr>
          <w:rFonts w:cstheme="minorHAnsi"/>
          <w:lang w:val="en-US"/>
        </w:rPr>
        <w:t>.</w:t>
      </w:r>
      <w:r w:rsidR="00356AE5">
        <w:rPr>
          <w:lang w:val="en-US"/>
        </w:rPr>
        <w:t xml:space="preserve"> </w:t>
      </w:r>
      <w:r w:rsidR="005F2066">
        <w:rPr>
          <w:lang w:val="en-US"/>
        </w:rPr>
        <w:t>H atoms are omitted</w:t>
      </w:r>
      <w:r w:rsidR="00C01857">
        <w:rPr>
          <w:lang w:val="en-US"/>
        </w:rPr>
        <w:t xml:space="preserve"> for</w:t>
      </w:r>
      <w:r w:rsidR="005F2066">
        <w:rPr>
          <w:lang w:val="en-US"/>
        </w:rPr>
        <w:t xml:space="preserve"> clarity</w:t>
      </w:r>
      <w:r w:rsidR="00436CD4">
        <w:rPr>
          <w:lang w:val="en-US"/>
        </w:rPr>
        <w:t>;</w:t>
      </w:r>
      <w:r w:rsidR="00356AE5">
        <w:rPr>
          <w:lang w:val="en-US"/>
        </w:rPr>
        <w:t xml:space="preserve"> in c),</w:t>
      </w:r>
      <w:r w:rsidR="00436CD4">
        <w:rPr>
          <w:lang w:val="en-US"/>
        </w:rPr>
        <w:t xml:space="preserve"> the </w:t>
      </w:r>
      <w:proofErr w:type="spellStart"/>
      <w:r w:rsidR="00436CD4">
        <w:rPr>
          <w:lang w:val="en-US"/>
        </w:rPr>
        <w:t>Mes</w:t>
      </w:r>
      <w:proofErr w:type="spellEnd"/>
      <w:r w:rsidR="00436CD4">
        <w:rPr>
          <w:lang w:val="en-US"/>
        </w:rPr>
        <w:t xml:space="preserve"> </w:t>
      </w:r>
      <w:r w:rsidR="00356AE5">
        <w:rPr>
          <w:lang w:val="en-US"/>
        </w:rPr>
        <w:t xml:space="preserve">and Ph </w:t>
      </w:r>
      <w:r w:rsidR="00436CD4">
        <w:rPr>
          <w:lang w:val="en-US"/>
        </w:rPr>
        <w:t>substituent</w:t>
      </w:r>
      <w:r w:rsidR="00356AE5">
        <w:rPr>
          <w:lang w:val="en-US"/>
        </w:rPr>
        <w:t>s are also omitted.</w:t>
      </w:r>
      <w:r w:rsidR="005F2066">
        <w:rPr>
          <w:lang w:val="en-US"/>
        </w:rPr>
        <w:t xml:space="preserve"> </w:t>
      </w:r>
      <w:r w:rsidR="005F2066" w:rsidRPr="00BF698F">
        <w:rPr>
          <w:lang w:val="en-US"/>
        </w:rPr>
        <w:t>B: green, C: black, N: cyan</w:t>
      </w:r>
      <w:bookmarkEnd w:id="10"/>
      <w:r w:rsidR="005F2066" w:rsidRPr="00BF698F">
        <w:rPr>
          <w:lang w:val="en-US"/>
        </w:rPr>
        <w:t>.</w:t>
      </w:r>
      <w:r w:rsidR="007565B6" w:rsidRPr="00BF698F">
        <w:rPr>
          <w:lang w:val="en-US"/>
        </w:rPr>
        <w:t xml:space="preserve"> </w:t>
      </w:r>
    </w:p>
    <w:p w14:paraId="7D0A76F8" w14:textId="77777777" w:rsidR="00A97594" w:rsidRPr="00F0537C" w:rsidRDefault="00A97594" w:rsidP="00A97594">
      <w:pPr>
        <w:pStyle w:val="RSCB02ArticleText"/>
        <w:rPr>
          <w:lang w:val="en-US"/>
        </w:rPr>
      </w:pPr>
      <w:bookmarkStart w:id="11" w:name="_Hlk164266360"/>
      <w:r w:rsidRPr="00F0537C">
        <w:rPr>
          <w:lang w:val="en-US"/>
        </w:rPr>
        <w:t xml:space="preserve">Of the molecules </w:t>
      </w:r>
      <w:r w:rsidRPr="00F0537C">
        <w:rPr>
          <w:b/>
          <w:lang w:val="en-US"/>
        </w:rPr>
        <w:t>6</w:t>
      </w:r>
      <w:r w:rsidRPr="00F0537C">
        <w:rPr>
          <w:lang w:val="en-US"/>
        </w:rPr>
        <w:t>–</w:t>
      </w:r>
      <w:r w:rsidRPr="00F0537C">
        <w:rPr>
          <w:b/>
          <w:lang w:val="en-US"/>
        </w:rPr>
        <w:t>8</w:t>
      </w:r>
      <w:r w:rsidRPr="00F0537C">
        <w:rPr>
          <w:lang w:val="en-US"/>
        </w:rPr>
        <w:t xml:space="preserve">, only </w:t>
      </w:r>
      <w:r w:rsidRPr="00F0537C">
        <w:rPr>
          <w:b/>
          <w:lang w:val="en-US"/>
        </w:rPr>
        <w:t>8</w:t>
      </w:r>
      <w:r w:rsidRPr="00F0537C">
        <w:rPr>
          <w:lang w:val="en-US"/>
        </w:rPr>
        <w:t xml:space="preserve"> represents a new structural motif, while derivatives of </w:t>
      </w:r>
      <w:r w:rsidRPr="00F0537C">
        <w:rPr>
          <w:b/>
          <w:lang w:val="en-US"/>
        </w:rPr>
        <w:t>6</w:t>
      </w:r>
      <w:r w:rsidRPr="00F0537C">
        <w:rPr>
          <w:lang w:val="en-US"/>
        </w:rPr>
        <w:t xml:space="preserve"> and </w:t>
      </w:r>
      <w:r w:rsidRPr="00F0537C">
        <w:rPr>
          <w:b/>
          <w:lang w:val="en-US"/>
        </w:rPr>
        <w:t>7</w:t>
      </w:r>
      <w:r w:rsidRPr="00F0537C">
        <w:rPr>
          <w:lang w:val="en-US"/>
        </w:rPr>
        <w:t xml:space="preserve"> with alkyl and/or aryl substituents have already been reported.</w:t>
      </w:r>
      <w:r w:rsidRPr="00F0537C">
        <w:rPr>
          <w:lang w:val="en-US"/>
        </w:rPr>
        <w:fldChar w:fldCharType="begin" w:fldLock="1"/>
      </w:r>
      <w:r w:rsidRPr="00F0537C">
        <w:rPr>
          <w:lang w:val="en-US"/>
        </w:rPr>
        <w:instrText>ADDIN CSL_CITATION {"citationItems":[{"id":"ITEM-1","itemData":{"author":[{"dropping-particle":"","family":"EZ2_A","given":"","non-dropping-particle":"","parse-names":false,"suffix":""}],"id":"ITEM-1","issued":{"date-parts":[["0"]]},"title":"EZ2_A","type":"article"},"uris":["http://www.mendeley.com/documents/?uuid=81c29718-025d-4ec9-84e1-f8b0cc403284"]},{"id":"ITEM-2","itemData":{"DOI":"10.1002/anie.202012891","ISSN":"1433-7851","PMID":"33180369","abstract":"Carbazole‐based DABNA analogues ( CzDABNA s) were synthesized from triarylamine by regioselective one‐shot single and double borylation. The reaction proceeded selectively at the ortho position of the carbazolyl group, where the highest occupied molecular orbital is mainly localized owing to the difference in the electron‐donating abilities of the diarylamino and carbazolyl groups. The facile and scalable method enabled synthesis of CzDABNA s, exhibiting narrowband thermally activated delayed fluorescence with emission spectra ranging from deep blue to green. The organic light‐emitting diode devices employing these products as emitters exhibited deep‐blue, sky‐blue, and green emission with high external quantum efficiencies of 19.5, 21.8, and 26.7 %, respectively.","author":[{"dropping-particle":"","family":"Oda","given":"Susumu","non-dropping-particle":"","parse-names":false,"suffix":""},{"dropping-particle":"","family":"Kumano","given":"Wataru","non-dropping-particle":"","parse-names":false,"suffix":""},{"dropping-particle":"","family":"Hama","given":"Toshiki","non-dropping-particle":"","parse-names":false,"suffix":""},{"dropping-particle":"","family":"Kawasumi","given":"Ryosuke","non-dropping-particle":"","parse-names":false,"suffix":""},{"dropping-particle":"","family":"Yoshiura","given":"Kazuki","non-dropping-particle":"","parse-names":false,"suffix":""},{"dropping-particle":"","family":"Hatakeyama","given":"Takuji","non-dropping-particle":"","parse-names":false,"suffix":""}],"container-title":"Angewandte Chemie International Edition","id":"ITEM-2","issue":"6","issued":{"date-parts":[["2021","2","8"]]},"page":"2882-2886","title":"Carbazole‐Based DABNA Analogues as Highly Efficient Thermally Activated Delayed Fluorescence Materials for Narrowband Organic Light‐Emitting Diodes","type":"article-journal","volume":"60"},"uris":["http://www.mendeley.com/documents/?uuid=4c86ba38-7d3d-4335-8a02-e967ae61510b"]},{"id":"ITEM-3","itemData":{"author":[{"dropping-particle":"","family":"Hatakeyama","given":"Takuji","non-dropping-particle":"","parse-names":false,"suffix":""},{"dropping-particle":"","family":"Mizutani","given":"Akihide","non-dropping-particle":"","parse-names":false,"suffix":""},{"dropping-particle":"","family":"Koike","given":"Toshihiro","non-dropping-particle":"","parse-names":false,"suffix":""}],"id":"ITEM-3","issued":{"date-parts":[["2017"]]},"number":"WO 2017188111 A1","title":"Organic Electroluminescent Element","type":"patent"},"uris":["http://www.mendeley.com/documents/?uuid=5efe3537-0cda-4e4b-a9f5-ff7ef27564a6"]}],"mendeley":{"formattedCitation":"&lt;sup&gt;22,27,28&lt;/sup&gt;","plainTextFormattedCitation":"22,27,28","previouslyFormattedCitation":"&lt;sup&gt;22,27,28&lt;/sup&gt;"},"properties":{"noteIndex":0},"schema":"https://github.com/citation-style-language/schema/raw/master/csl-citation.json"}</w:instrText>
      </w:r>
      <w:r w:rsidRPr="00F0537C">
        <w:rPr>
          <w:lang w:val="en-US"/>
        </w:rPr>
        <w:fldChar w:fldCharType="separate"/>
      </w:r>
      <w:r w:rsidRPr="00F0537C">
        <w:rPr>
          <w:vertAlign w:val="superscript"/>
          <w:lang w:val="en-US"/>
        </w:rPr>
        <w:t>22,27,28</w:t>
      </w:r>
      <w:r w:rsidRPr="00F0537C">
        <w:rPr>
          <w:lang w:val="en-US"/>
        </w:rPr>
        <w:fldChar w:fldCharType="end"/>
      </w:r>
      <w:r w:rsidRPr="00F0537C">
        <w:rPr>
          <w:lang w:val="en-US"/>
        </w:rPr>
        <w:t xml:space="preserve"> However, the series of maximally comparable compounds </w:t>
      </w:r>
      <w:r w:rsidRPr="00F0537C">
        <w:rPr>
          <w:b/>
          <w:lang w:val="en-US"/>
        </w:rPr>
        <w:t>6</w:t>
      </w:r>
      <w:r w:rsidRPr="00F0537C">
        <w:rPr>
          <w:lang w:val="en-US"/>
        </w:rPr>
        <w:t>–</w:t>
      </w:r>
      <w:r w:rsidRPr="00F0537C">
        <w:rPr>
          <w:b/>
          <w:lang w:val="en-US"/>
        </w:rPr>
        <w:t>8</w:t>
      </w:r>
      <w:r w:rsidRPr="00F0537C">
        <w:rPr>
          <w:lang w:val="en-US"/>
        </w:rPr>
        <w:t xml:space="preserve"> now makes it possible to study the effects of intramolecular linking (by a C–C bond or a </w:t>
      </w:r>
      <w:proofErr w:type="spellStart"/>
      <w:r w:rsidRPr="00F0537C">
        <w:rPr>
          <w:lang w:val="en-US"/>
        </w:rPr>
        <w:t>BMes</w:t>
      </w:r>
      <w:proofErr w:type="spellEnd"/>
      <w:r w:rsidRPr="00F0537C">
        <w:rPr>
          <w:lang w:val="en-US"/>
        </w:rPr>
        <w:t xml:space="preserve"> bridge) on the optoelectronic properties of the core structure</w:t>
      </w:r>
      <w:r>
        <w:rPr>
          <w:lang w:val="en-US"/>
        </w:rPr>
        <w:t xml:space="preserve"> </w:t>
      </w:r>
      <w:r>
        <w:rPr>
          <w:b/>
          <w:lang w:val="en-US"/>
        </w:rPr>
        <w:t>6</w:t>
      </w:r>
      <w:r w:rsidRPr="00F0537C">
        <w:rPr>
          <w:lang w:val="en-US"/>
        </w:rPr>
        <w:t xml:space="preserve"> without the result being influenced by subtle effects of peripheral groups.</w:t>
      </w:r>
    </w:p>
    <w:p w14:paraId="2AA8B168" w14:textId="1582F0FF" w:rsidR="00C31118" w:rsidRPr="00731166" w:rsidRDefault="00A97594" w:rsidP="00A97594">
      <w:pPr>
        <w:spacing w:after="0"/>
        <w:jc w:val="both"/>
        <w:rPr>
          <w:lang w:val="en-US"/>
        </w:rPr>
      </w:pPr>
      <w:r w:rsidRPr="00F0537C">
        <w:rPr>
          <w:lang w:val="en-US"/>
        </w:rPr>
        <w:t xml:space="preserve">Cyclic voltammograms of </w:t>
      </w:r>
      <w:r w:rsidRPr="00F0537C">
        <w:rPr>
          <w:b/>
          <w:lang w:val="en-US"/>
        </w:rPr>
        <w:t>2</w:t>
      </w:r>
      <w:r w:rsidRPr="00F0537C">
        <w:rPr>
          <w:b/>
          <w:vertAlign w:val="superscript"/>
          <w:lang w:val="en-US"/>
        </w:rPr>
        <w:t>Mes</w:t>
      </w:r>
      <w:r w:rsidRPr="00F0537C">
        <w:rPr>
          <w:b/>
          <w:lang w:val="en-US"/>
        </w:rPr>
        <w:t xml:space="preserve"> </w:t>
      </w:r>
      <w:r w:rsidRPr="00F0537C">
        <w:rPr>
          <w:lang w:val="en-US"/>
        </w:rPr>
        <w:t>and</w:t>
      </w:r>
      <w:r w:rsidRPr="00F0537C">
        <w:rPr>
          <w:b/>
          <w:lang w:val="en-US"/>
        </w:rPr>
        <w:t xml:space="preserve"> 6</w:t>
      </w:r>
      <w:r w:rsidRPr="00F0537C">
        <w:rPr>
          <w:lang w:val="en-US"/>
        </w:rPr>
        <w:t>–</w:t>
      </w:r>
      <w:r w:rsidRPr="00F0537C">
        <w:rPr>
          <w:b/>
          <w:lang w:val="en-US"/>
        </w:rPr>
        <w:t>8</w:t>
      </w:r>
      <w:r w:rsidRPr="00F0537C">
        <w:rPr>
          <w:lang w:val="en-US"/>
        </w:rPr>
        <w:t xml:space="preserve"> showed a reversible first (least cathodic) reduction wave in all four cases (THF, [</w:t>
      </w:r>
      <w:r w:rsidRPr="00F0537C">
        <w:rPr>
          <w:i/>
          <w:lang w:val="en-US"/>
        </w:rPr>
        <w:t>n</w:t>
      </w:r>
      <w:r w:rsidRPr="00F0537C">
        <w:rPr>
          <w:lang w:val="en-US"/>
        </w:rPr>
        <w:t>Bu</w:t>
      </w:r>
      <w:r w:rsidRPr="00F0537C">
        <w:rPr>
          <w:vertAlign w:val="subscript"/>
          <w:lang w:val="en-US"/>
        </w:rPr>
        <w:t>4</w:t>
      </w:r>
      <w:r w:rsidRPr="00F0537C">
        <w:rPr>
          <w:lang w:val="en-US"/>
        </w:rPr>
        <w:t>N][PF</w:t>
      </w:r>
      <w:r w:rsidRPr="00F0537C">
        <w:rPr>
          <w:vertAlign w:val="subscript"/>
          <w:lang w:val="en-US"/>
        </w:rPr>
        <w:t>6</w:t>
      </w:r>
      <w:r w:rsidRPr="00F0537C">
        <w:rPr>
          <w:lang w:val="en-US"/>
        </w:rPr>
        <w:t xml:space="preserve">], vs. </w:t>
      </w:r>
      <w:proofErr w:type="spellStart"/>
      <w:r w:rsidRPr="00F0537C">
        <w:rPr>
          <w:lang w:val="en-US"/>
        </w:rPr>
        <w:t>FcH</w:t>
      </w:r>
      <w:proofErr w:type="spellEnd"/>
      <w:r w:rsidRPr="00F0537C">
        <w:rPr>
          <w:lang w:val="en-US"/>
        </w:rPr>
        <w:t>/</w:t>
      </w:r>
      <w:proofErr w:type="spellStart"/>
      <w:r w:rsidRPr="00F0537C">
        <w:rPr>
          <w:lang w:val="en-US"/>
        </w:rPr>
        <w:t>FcH</w:t>
      </w:r>
      <w:proofErr w:type="spellEnd"/>
      <w:r w:rsidRPr="00F0537C">
        <w:rPr>
          <w:vertAlign w:val="superscript"/>
          <w:lang w:val="en-US"/>
        </w:rPr>
        <w:t>+</w:t>
      </w:r>
      <w:r w:rsidRPr="00F0537C">
        <w:rPr>
          <w:lang w:val="en-US"/>
        </w:rPr>
        <w:t>; Fig. S53–S57). The B</w:t>
      </w:r>
      <w:r w:rsidRPr="00F0537C">
        <w:rPr>
          <w:vertAlign w:val="subscript"/>
          <w:lang w:val="en-US"/>
        </w:rPr>
        <w:t>2</w:t>
      </w:r>
      <w:r w:rsidRPr="00F0537C">
        <w:rPr>
          <w:lang w:val="en-US"/>
        </w:rPr>
        <w:t>,N</w:t>
      </w:r>
      <w:r w:rsidRPr="00F0537C">
        <w:rPr>
          <w:vertAlign w:val="subscript"/>
          <w:lang w:val="en-US"/>
        </w:rPr>
        <w:t>2</w:t>
      </w:r>
      <w:r w:rsidRPr="00F0537C">
        <w:rPr>
          <w:lang w:val="en-US"/>
        </w:rPr>
        <w:t xml:space="preserve">-PAH </w:t>
      </w:r>
      <w:r w:rsidRPr="00F0537C">
        <w:rPr>
          <w:b/>
          <w:lang w:val="en-US"/>
        </w:rPr>
        <w:t>2</w:t>
      </w:r>
      <w:r w:rsidRPr="00F0537C">
        <w:rPr>
          <w:b/>
          <w:vertAlign w:val="superscript"/>
          <w:lang w:val="en-US"/>
        </w:rPr>
        <w:t>Mes</w:t>
      </w:r>
      <w:r w:rsidRPr="00F0537C">
        <w:rPr>
          <w:lang w:val="en-US"/>
        </w:rPr>
        <w:t xml:space="preserve"> is the worst electron acceptor with </w:t>
      </w:r>
      <w:r w:rsidRPr="00F0537C">
        <w:rPr>
          <w:i/>
          <w:lang w:val="en-US"/>
        </w:rPr>
        <w:t>E</w:t>
      </w:r>
      <w:r w:rsidRPr="00F0537C">
        <w:rPr>
          <w:vertAlign w:val="subscript"/>
          <w:lang w:val="en-US"/>
        </w:rPr>
        <w:t>1/2</w:t>
      </w:r>
      <w:r w:rsidRPr="00F0537C">
        <w:rPr>
          <w:lang w:val="en-US"/>
        </w:rPr>
        <w:t xml:space="preserve"> = –2.60 V (Table 1). The B</w:t>
      </w:r>
      <w:r w:rsidRPr="00F0537C">
        <w:rPr>
          <w:vertAlign w:val="subscript"/>
          <w:lang w:val="en-US"/>
        </w:rPr>
        <w:t>2</w:t>
      </w:r>
      <w:r w:rsidRPr="00F0537C">
        <w:rPr>
          <w:lang w:val="en-US"/>
        </w:rPr>
        <w:t>,N</w:t>
      </w:r>
      <w:r w:rsidRPr="00F0537C">
        <w:rPr>
          <w:vertAlign w:val="subscript"/>
          <w:lang w:val="en-US"/>
        </w:rPr>
        <w:t>3</w:t>
      </w:r>
      <w:r w:rsidRPr="00F0537C">
        <w:rPr>
          <w:lang w:val="en-US"/>
        </w:rPr>
        <w:t xml:space="preserve">-PAH </w:t>
      </w:r>
      <w:r w:rsidRPr="00F0537C">
        <w:rPr>
          <w:b/>
          <w:lang w:val="en-US"/>
        </w:rPr>
        <w:t xml:space="preserve">6 </w:t>
      </w:r>
      <w:r w:rsidRPr="00F0537C">
        <w:rPr>
          <w:lang w:val="en-US"/>
        </w:rPr>
        <w:t xml:space="preserve">is easier to reduce by 40 mV. Here, the higher degree of delocalization seems to outcompete the presence of a formally π-electron-rich third N atom. The increased planarity of </w:t>
      </w:r>
      <w:r w:rsidRPr="00F0537C">
        <w:rPr>
          <w:b/>
          <w:lang w:val="en-US"/>
        </w:rPr>
        <w:t>7</w:t>
      </w:r>
      <w:r w:rsidRPr="00F0537C">
        <w:rPr>
          <w:lang w:val="en-US"/>
        </w:rPr>
        <w:t xml:space="preserve"> due to the presence of a direct C–C bond further improves the electron-accepting ability by 210 mV. Finally, the </w:t>
      </w:r>
      <w:r>
        <w:rPr>
          <w:lang w:val="en-US"/>
        </w:rPr>
        <w:t>presence</w:t>
      </w:r>
      <w:r w:rsidRPr="00F0537C">
        <w:rPr>
          <w:lang w:val="en-US"/>
        </w:rPr>
        <w:t xml:space="preserve"> of a third B(sp</w:t>
      </w:r>
      <w:r w:rsidRPr="00F0537C">
        <w:rPr>
          <w:vertAlign w:val="superscript"/>
          <w:lang w:val="en-US"/>
        </w:rPr>
        <w:t>2</w:t>
      </w:r>
      <w:r w:rsidRPr="00F0537C">
        <w:rPr>
          <w:lang w:val="en-US"/>
        </w:rPr>
        <w:t>) center in the B</w:t>
      </w:r>
      <w:r w:rsidRPr="00F0537C">
        <w:rPr>
          <w:vertAlign w:val="subscript"/>
          <w:lang w:val="en-US"/>
        </w:rPr>
        <w:t>3</w:t>
      </w:r>
      <w:r w:rsidRPr="00F0537C">
        <w:rPr>
          <w:lang w:val="en-US"/>
        </w:rPr>
        <w:t>,N</w:t>
      </w:r>
      <w:r w:rsidRPr="00F0537C">
        <w:rPr>
          <w:vertAlign w:val="subscript"/>
          <w:lang w:val="en-US"/>
        </w:rPr>
        <w:t>3</w:t>
      </w:r>
      <w:r w:rsidRPr="00F0537C">
        <w:rPr>
          <w:lang w:val="en-US"/>
        </w:rPr>
        <w:t xml:space="preserve">-PAH </w:t>
      </w:r>
      <w:r w:rsidRPr="00F0537C">
        <w:rPr>
          <w:b/>
          <w:lang w:val="en-US"/>
        </w:rPr>
        <w:t xml:space="preserve">8 </w:t>
      </w:r>
      <w:r w:rsidRPr="00F0537C">
        <w:rPr>
          <w:lang w:val="en-US"/>
        </w:rPr>
        <w:t>facilitates reduction to the largest extent (</w:t>
      </w:r>
      <w:r w:rsidRPr="00F0537C">
        <w:rPr>
          <w:i/>
          <w:lang w:val="en-US"/>
        </w:rPr>
        <w:t>E</w:t>
      </w:r>
      <w:r w:rsidRPr="00F0537C">
        <w:rPr>
          <w:vertAlign w:val="subscript"/>
          <w:lang w:val="en-US"/>
        </w:rPr>
        <w:t>1/2</w:t>
      </w:r>
      <w:r w:rsidRPr="00F0537C">
        <w:rPr>
          <w:lang w:val="en-US"/>
        </w:rPr>
        <w:t xml:space="preserve"> = –2.19 V). The general trend found for the experimentally </w:t>
      </w:r>
      <w:r w:rsidRPr="00F0537C">
        <w:rPr>
          <w:lang w:val="en-US"/>
        </w:rPr>
        <w:lastRenderedPageBreak/>
        <w:t>determined redox potentials is consistent with the trend in the calculated LUMO</w:t>
      </w:r>
      <w:r>
        <w:rPr>
          <w:lang w:val="en-US"/>
        </w:rPr>
        <w:t>-</w:t>
      </w:r>
      <w:r w:rsidRPr="00F0537C">
        <w:rPr>
          <w:lang w:val="en-US"/>
        </w:rPr>
        <w:t>energy levels (Table S7).</w:t>
      </w:r>
      <w:r w:rsidR="00DA00C1" w:rsidRPr="00731166">
        <w:rPr>
          <w:lang w:val="en-US"/>
        </w:rPr>
        <w:t xml:space="preserve"> </w:t>
      </w:r>
      <w:bookmarkEnd w:id="11"/>
    </w:p>
    <w:p w14:paraId="51A6F356" w14:textId="77777777" w:rsidR="00C35D25" w:rsidRPr="00C35D25" w:rsidRDefault="002946BC" w:rsidP="00C35D25">
      <w:pPr>
        <w:jc w:val="both"/>
        <w:rPr>
          <w:bCs/>
          <w:lang w:val="en-US"/>
        </w:rPr>
      </w:pPr>
      <w:bookmarkStart w:id="12" w:name="_Hlk164266418"/>
      <w:r w:rsidRPr="00C35D25">
        <w:rPr>
          <w:lang w:val="en-US"/>
        </w:rPr>
        <w:t xml:space="preserve">Absorption and emission spectra were recorded in THF. Compound </w:t>
      </w:r>
      <w:r w:rsidRPr="00C35D25">
        <w:rPr>
          <w:b/>
          <w:lang w:val="en-US"/>
        </w:rPr>
        <w:t>6</w:t>
      </w:r>
      <w:r w:rsidRPr="00C35D25">
        <w:rPr>
          <w:lang w:val="en-US"/>
        </w:rPr>
        <w:t xml:space="preserve"> has its longest-wavelength absorption maximum and its emission maximum at </w:t>
      </w:r>
      <w:proofErr w:type="spellStart"/>
      <w:r w:rsidRPr="00C35D25">
        <w:rPr>
          <w:i/>
          <w:lang w:val="en-US"/>
        </w:rPr>
        <w:t>λ</w:t>
      </w:r>
      <w:r w:rsidRPr="00C35D25">
        <w:rPr>
          <w:vertAlign w:val="subscript"/>
          <w:lang w:val="en-US"/>
        </w:rPr>
        <w:t>abs</w:t>
      </w:r>
      <w:proofErr w:type="spellEnd"/>
      <w:r w:rsidRPr="00C35D25">
        <w:rPr>
          <w:lang w:val="en-US"/>
        </w:rPr>
        <w:t xml:space="preserve"> = 424 nm and </w:t>
      </w:r>
      <w:proofErr w:type="spellStart"/>
      <w:r w:rsidRPr="00C35D25">
        <w:rPr>
          <w:i/>
          <w:lang w:val="en-US"/>
        </w:rPr>
        <w:t>λ</w:t>
      </w:r>
      <w:r w:rsidRPr="00C35D25">
        <w:rPr>
          <w:vertAlign w:val="subscript"/>
          <w:lang w:val="en-US"/>
        </w:rPr>
        <w:t>em</w:t>
      </w:r>
      <w:proofErr w:type="spellEnd"/>
      <w:r w:rsidRPr="00C35D25">
        <w:rPr>
          <w:lang w:val="en-US"/>
        </w:rPr>
        <w:t xml:space="preserve"> = 447 nm</w:t>
      </w:r>
      <w:r w:rsidR="00C31118" w:rsidRPr="00C35D25">
        <w:rPr>
          <w:rFonts w:cstheme="minorHAnsi"/>
          <w:lang w:val="en-US"/>
        </w:rPr>
        <w:t xml:space="preserve"> </w:t>
      </w:r>
      <w:r w:rsidR="00C35D25" w:rsidRPr="00C35D25">
        <w:rPr>
          <w:lang w:val="en-US"/>
        </w:rPr>
        <w:t xml:space="preserve">(Fig. 2 top, Table 1). The presence of the C–C bond in </w:t>
      </w:r>
      <w:r w:rsidR="00C35D25" w:rsidRPr="00C35D25">
        <w:rPr>
          <w:b/>
          <w:lang w:val="en-US"/>
        </w:rPr>
        <w:t>7</w:t>
      </w:r>
      <w:r w:rsidR="00C35D25" w:rsidRPr="00C35D25">
        <w:rPr>
          <w:lang w:val="en-US"/>
        </w:rPr>
        <w:t xml:space="preserve"> results in pronounced bathochromic shifts of </w:t>
      </w:r>
      <w:proofErr w:type="spellStart"/>
      <w:r w:rsidR="00C35D25" w:rsidRPr="00C35D25">
        <w:rPr>
          <w:lang w:val="en-US"/>
        </w:rPr>
        <w:t>Δ</w:t>
      </w:r>
      <w:r w:rsidR="00C35D25" w:rsidRPr="00C35D25">
        <w:rPr>
          <w:i/>
          <w:lang w:val="en-US"/>
        </w:rPr>
        <w:t>λ</w:t>
      </w:r>
      <w:r w:rsidR="00C35D25" w:rsidRPr="00C35D25">
        <w:rPr>
          <w:vertAlign w:val="subscript"/>
          <w:lang w:val="en-US"/>
        </w:rPr>
        <w:t>abs</w:t>
      </w:r>
      <w:proofErr w:type="spellEnd"/>
      <w:r w:rsidR="00C35D25" w:rsidRPr="00C35D25">
        <w:rPr>
          <w:lang w:val="en-US"/>
        </w:rPr>
        <w:t xml:space="preserve"> = 0.20 eV and </w:t>
      </w:r>
      <w:proofErr w:type="spellStart"/>
      <w:r w:rsidR="00C35D25" w:rsidRPr="00C35D25">
        <w:rPr>
          <w:lang w:val="en-US"/>
        </w:rPr>
        <w:t>Δ</w:t>
      </w:r>
      <w:r w:rsidR="00C35D25" w:rsidRPr="00C35D25">
        <w:rPr>
          <w:i/>
          <w:lang w:val="en-US"/>
        </w:rPr>
        <w:t>λ</w:t>
      </w:r>
      <w:r w:rsidR="00C35D25" w:rsidRPr="00C35D25">
        <w:rPr>
          <w:vertAlign w:val="subscript"/>
          <w:lang w:val="en-US"/>
        </w:rPr>
        <w:t>em</w:t>
      </w:r>
      <w:proofErr w:type="spellEnd"/>
      <w:r w:rsidR="00C35D25" w:rsidRPr="00C35D25">
        <w:rPr>
          <w:lang w:val="en-US"/>
        </w:rPr>
        <w:t xml:space="preserve"> = 0.18 eV. In comparison, the effect of an introduced </w:t>
      </w:r>
      <w:proofErr w:type="spellStart"/>
      <w:r w:rsidR="00C35D25" w:rsidRPr="00C35D25">
        <w:rPr>
          <w:lang w:val="en-US"/>
        </w:rPr>
        <w:t>BMes</w:t>
      </w:r>
      <w:proofErr w:type="spellEnd"/>
      <w:r w:rsidR="00C35D25" w:rsidRPr="00C35D25">
        <w:rPr>
          <w:lang w:val="en-US"/>
        </w:rPr>
        <w:t xml:space="preserve"> bridge (</w:t>
      </w:r>
      <w:r w:rsidR="00C35D25" w:rsidRPr="00C35D25">
        <w:rPr>
          <w:b/>
          <w:lang w:val="en-US"/>
        </w:rPr>
        <w:t xml:space="preserve">8 </w:t>
      </w:r>
      <w:r w:rsidR="00C35D25" w:rsidRPr="00C35D25">
        <w:rPr>
          <w:i/>
          <w:lang w:val="en-US"/>
        </w:rPr>
        <w:t>vs</w:t>
      </w:r>
      <w:r w:rsidR="00C35D25" w:rsidRPr="00C35D25">
        <w:rPr>
          <w:lang w:val="en-US"/>
        </w:rPr>
        <w:t>.</w:t>
      </w:r>
      <w:r w:rsidR="00C35D25" w:rsidRPr="00C35D25">
        <w:rPr>
          <w:b/>
          <w:lang w:val="en-US"/>
        </w:rPr>
        <w:t xml:space="preserve"> 6</w:t>
      </w:r>
      <w:r w:rsidR="00C35D25" w:rsidRPr="00C35D25">
        <w:rPr>
          <w:lang w:val="en-US"/>
        </w:rPr>
        <w:t xml:space="preserve">) is even larger with band shifts of </w:t>
      </w:r>
      <w:proofErr w:type="spellStart"/>
      <w:r w:rsidR="00C35D25" w:rsidRPr="00C35D25">
        <w:rPr>
          <w:lang w:val="en-US"/>
        </w:rPr>
        <w:t>Δ</w:t>
      </w:r>
      <w:r w:rsidR="00C35D25" w:rsidRPr="00C35D25">
        <w:rPr>
          <w:i/>
          <w:lang w:val="en-US"/>
        </w:rPr>
        <w:t>λ</w:t>
      </w:r>
      <w:r w:rsidR="00C35D25" w:rsidRPr="00C35D25">
        <w:rPr>
          <w:vertAlign w:val="subscript"/>
          <w:lang w:val="en-US"/>
        </w:rPr>
        <w:t>abs</w:t>
      </w:r>
      <w:proofErr w:type="spellEnd"/>
      <w:r w:rsidR="00C35D25" w:rsidRPr="00C35D25">
        <w:rPr>
          <w:lang w:val="en-US"/>
        </w:rPr>
        <w:t xml:space="preserve"> = 0.23 eV and </w:t>
      </w:r>
      <w:proofErr w:type="spellStart"/>
      <w:r w:rsidR="00C35D25" w:rsidRPr="00C35D25">
        <w:rPr>
          <w:lang w:val="en-US"/>
        </w:rPr>
        <w:t>Δ</w:t>
      </w:r>
      <w:r w:rsidR="00C35D25" w:rsidRPr="00C35D25">
        <w:rPr>
          <w:i/>
          <w:lang w:val="en-US"/>
        </w:rPr>
        <w:t>λ</w:t>
      </w:r>
      <w:r w:rsidR="00C35D25" w:rsidRPr="00C35D25">
        <w:rPr>
          <w:vertAlign w:val="subscript"/>
          <w:lang w:val="en-US"/>
        </w:rPr>
        <w:t>em</w:t>
      </w:r>
      <w:proofErr w:type="spellEnd"/>
      <w:r w:rsidR="00C35D25" w:rsidRPr="00C35D25">
        <w:rPr>
          <w:lang w:val="en-US"/>
        </w:rPr>
        <w:t xml:space="preserve"> = 0.26 eV. While </w:t>
      </w:r>
      <w:r w:rsidR="00C35D25" w:rsidRPr="00C35D25">
        <w:rPr>
          <w:b/>
          <w:lang w:val="en-US"/>
        </w:rPr>
        <w:t>6</w:t>
      </w:r>
      <w:r w:rsidR="00C35D25" w:rsidRPr="00C35D25">
        <w:rPr>
          <w:lang w:val="en-US"/>
        </w:rPr>
        <w:t xml:space="preserve"> shows a moderate </w:t>
      </w:r>
      <w:proofErr w:type="spellStart"/>
      <w:r w:rsidR="00C35D25" w:rsidRPr="00C35D25">
        <w:rPr>
          <w:lang w:val="en-US"/>
        </w:rPr>
        <w:t>photoluminescene</w:t>
      </w:r>
      <w:proofErr w:type="spellEnd"/>
      <w:r w:rsidR="00C35D25" w:rsidRPr="00C35D25">
        <w:rPr>
          <w:lang w:val="en-US"/>
        </w:rPr>
        <w:t xml:space="preserve"> quantum yield of </w:t>
      </w:r>
      <w:r w:rsidR="00C35D25" w:rsidRPr="00C35D25">
        <w:rPr>
          <w:i/>
          <w:lang w:val="en-US"/>
        </w:rPr>
        <w:t>Φ</w:t>
      </w:r>
      <w:r w:rsidR="00C35D25" w:rsidRPr="00C35D25">
        <w:rPr>
          <w:bCs/>
          <w:vertAlign w:val="subscript"/>
          <w:lang w:val="en-US"/>
        </w:rPr>
        <w:t>PL</w:t>
      </w:r>
      <w:r w:rsidR="00C35D25" w:rsidRPr="00C35D25">
        <w:rPr>
          <w:bCs/>
          <w:lang w:val="en-US"/>
        </w:rPr>
        <w:t xml:space="preserve"> = 18%, </w:t>
      </w:r>
      <w:r w:rsidR="00C35D25" w:rsidRPr="00C35D25">
        <w:rPr>
          <w:b/>
          <w:bCs/>
          <w:lang w:val="en-US"/>
        </w:rPr>
        <w:t>7</w:t>
      </w:r>
      <w:r w:rsidR="00C35D25" w:rsidRPr="00C35D25">
        <w:rPr>
          <w:bCs/>
          <w:lang w:val="en-US"/>
        </w:rPr>
        <w:t xml:space="preserve"> and </w:t>
      </w:r>
      <w:r w:rsidR="00C35D25" w:rsidRPr="00C35D25">
        <w:rPr>
          <w:b/>
          <w:bCs/>
          <w:lang w:val="en-US"/>
        </w:rPr>
        <w:t>8</w:t>
      </w:r>
      <w:r w:rsidR="00C35D25" w:rsidRPr="00C35D25">
        <w:rPr>
          <w:bCs/>
          <w:lang w:val="en-US"/>
        </w:rPr>
        <w:t xml:space="preserve"> have large </w:t>
      </w:r>
      <w:r w:rsidR="00C35D25" w:rsidRPr="00C35D25">
        <w:rPr>
          <w:i/>
          <w:lang w:val="en-US"/>
        </w:rPr>
        <w:t>Φ</w:t>
      </w:r>
      <w:r w:rsidR="00C35D25" w:rsidRPr="00C35D25">
        <w:rPr>
          <w:bCs/>
          <w:vertAlign w:val="subscript"/>
          <w:lang w:val="en-US"/>
        </w:rPr>
        <w:t>PL</w:t>
      </w:r>
      <w:r w:rsidR="00C35D25" w:rsidRPr="00C35D25">
        <w:rPr>
          <w:bCs/>
          <w:lang w:val="en-US"/>
        </w:rPr>
        <w:t xml:space="preserve"> values of 84%. We attribute the lower </w:t>
      </w:r>
      <w:r w:rsidR="00C35D25" w:rsidRPr="00C35D25">
        <w:rPr>
          <w:i/>
          <w:lang w:val="en-US"/>
        </w:rPr>
        <w:t>Φ</w:t>
      </w:r>
      <w:r w:rsidR="00C35D25" w:rsidRPr="00C35D25">
        <w:rPr>
          <w:bCs/>
          <w:vertAlign w:val="subscript"/>
          <w:lang w:val="en-US"/>
        </w:rPr>
        <w:t>PL</w:t>
      </w:r>
      <w:r w:rsidR="00C35D25" w:rsidRPr="00C35D25">
        <w:rPr>
          <w:bCs/>
          <w:lang w:val="en-US"/>
        </w:rPr>
        <w:t xml:space="preserve"> of </w:t>
      </w:r>
      <w:r w:rsidR="00C35D25" w:rsidRPr="00C35D25">
        <w:rPr>
          <w:b/>
          <w:bCs/>
          <w:lang w:val="en-US"/>
        </w:rPr>
        <w:t>6</w:t>
      </w:r>
      <w:r w:rsidR="00C35D25" w:rsidRPr="00C35D25">
        <w:rPr>
          <w:bCs/>
          <w:lang w:val="en-US"/>
        </w:rPr>
        <w:t xml:space="preserve"> to two possible reasons: (</w:t>
      </w:r>
      <w:proofErr w:type="spellStart"/>
      <w:r w:rsidR="00C35D25" w:rsidRPr="00C35D25">
        <w:rPr>
          <w:bCs/>
          <w:lang w:val="en-US"/>
        </w:rPr>
        <w:t>i</w:t>
      </w:r>
      <w:proofErr w:type="spellEnd"/>
      <w:r w:rsidR="00C35D25" w:rsidRPr="00C35D25">
        <w:rPr>
          <w:bCs/>
          <w:lang w:val="en-US"/>
        </w:rPr>
        <w:t>) The larger singlet-triplet (S</w:t>
      </w:r>
      <w:r w:rsidR="00C35D25" w:rsidRPr="00C35D25">
        <w:rPr>
          <w:bCs/>
          <w:vertAlign w:val="subscript"/>
          <w:lang w:val="en-US"/>
        </w:rPr>
        <w:t>1</w:t>
      </w:r>
      <w:r w:rsidR="00C35D25" w:rsidRPr="00C35D25">
        <w:rPr>
          <w:bCs/>
          <w:lang w:val="en-US"/>
        </w:rPr>
        <w:t>-T</w:t>
      </w:r>
      <w:r w:rsidR="00C35D25" w:rsidRPr="00C35D25">
        <w:rPr>
          <w:bCs/>
          <w:vertAlign w:val="subscript"/>
          <w:lang w:val="en-US"/>
        </w:rPr>
        <w:t>1</w:t>
      </w:r>
      <w:r w:rsidR="00C35D25" w:rsidRPr="00C35D25">
        <w:rPr>
          <w:bCs/>
          <w:lang w:val="en-US"/>
        </w:rPr>
        <w:t xml:space="preserve">) spin-orbit coupling (SOC) of </w:t>
      </w:r>
      <w:r w:rsidR="00C35D25" w:rsidRPr="00C35D25">
        <w:rPr>
          <w:b/>
          <w:bCs/>
          <w:lang w:val="en-US"/>
        </w:rPr>
        <w:t>6</w:t>
      </w:r>
      <w:r w:rsidR="00C35D25" w:rsidRPr="00C35D25">
        <w:rPr>
          <w:bCs/>
          <w:lang w:val="en-US"/>
        </w:rPr>
        <w:t xml:space="preserve"> compared to </w:t>
      </w:r>
      <w:r w:rsidR="00C35D25" w:rsidRPr="00C35D25">
        <w:rPr>
          <w:b/>
          <w:bCs/>
          <w:lang w:val="en-US"/>
        </w:rPr>
        <w:t>7</w:t>
      </w:r>
      <w:r w:rsidR="00C35D25" w:rsidRPr="00C35D25">
        <w:rPr>
          <w:bCs/>
          <w:lang w:val="en-US"/>
        </w:rPr>
        <w:t xml:space="preserve"> and </w:t>
      </w:r>
      <w:r w:rsidR="00C35D25" w:rsidRPr="00C35D25">
        <w:rPr>
          <w:b/>
          <w:bCs/>
          <w:lang w:val="en-US"/>
        </w:rPr>
        <w:t>8</w:t>
      </w:r>
      <w:r w:rsidR="00C35D25" w:rsidRPr="00C35D25">
        <w:rPr>
          <w:bCs/>
          <w:lang w:val="en-US"/>
        </w:rPr>
        <w:t xml:space="preserve"> (see below) could lead to a faster intersystem crossing process and potentially generate a large population of the non-emissive triplet state. (ii) The ready inversion of the B</w:t>
      </w:r>
      <w:r w:rsidR="00C35D25" w:rsidRPr="00C35D25">
        <w:rPr>
          <w:bCs/>
          <w:vertAlign w:val="subscript"/>
          <w:lang w:val="en-US"/>
        </w:rPr>
        <w:t>2</w:t>
      </w:r>
      <w:r w:rsidR="00C35D25" w:rsidRPr="00C35D25">
        <w:rPr>
          <w:bCs/>
          <w:lang w:val="en-US"/>
        </w:rPr>
        <w:t xml:space="preserve">,N-[4]helicene subunit of </w:t>
      </w:r>
      <w:r w:rsidR="00C35D25" w:rsidRPr="00C35D25">
        <w:rPr>
          <w:b/>
          <w:bCs/>
          <w:lang w:val="en-US"/>
        </w:rPr>
        <w:t>6</w:t>
      </w:r>
      <w:r w:rsidR="00C35D25" w:rsidRPr="00C35D25">
        <w:rPr>
          <w:bCs/>
          <w:lang w:val="en-US"/>
        </w:rPr>
        <w:t xml:space="preserve"> should open efficient non-radiative decay channels. </w:t>
      </w:r>
    </w:p>
    <w:p w14:paraId="5E01C78C" w14:textId="0CD21A1D" w:rsidR="00B6685F" w:rsidRPr="00831025" w:rsidRDefault="00C35D25" w:rsidP="00C35D25">
      <w:pPr>
        <w:jc w:val="both"/>
        <w:rPr>
          <w:rFonts w:cstheme="minorHAnsi"/>
          <w:lang w:val="en-US"/>
        </w:rPr>
      </w:pPr>
      <w:r w:rsidRPr="00C35D25">
        <w:rPr>
          <w:bCs/>
          <w:lang w:val="en-US"/>
        </w:rPr>
        <w:t>A comparison of the approximately isomeric B</w:t>
      </w:r>
      <w:r w:rsidRPr="00C35D25">
        <w:rPr>
          <w:bCs/>
          <w:vertAlign w:val="subscript"/>
          <w:lang w:val="en-US"/>
        </w:rPr>
        <w:t>3</w:t>
      </w:r>
      <w:r w:rsidRPr="00C35D25">
        <w:rPr>
          <w:bCs/>
          <w:lang w:val="en-US"/>
        </w:rPr>
        <w:t>,N</w:t>
      </w:r>
      <w:r w:rsidRPr="00C35D25">
        <w:rPr>
          <w:bCs/>
          <w:vertAlign w:val="subscript"/>
          <w:lang w:val="en-US"/>
        </w:rPr>
        <w:t>3</w:t>
      </w:r>
      <w:r w:rsidRPr="00C35D25">
        <w:rPr>
          <w:bCs/>
          <w:lang w:val="en-US"/>
        </w:rPr>
        <w:t xml:space="preserve">-PAHs </w:t>
      </w:r>
      <w:r w:rsidRPr="00C35D25">
        <w:rPr>
          <w:b/>
          <w:bCs/>
          <w:lang w:val="en-US"/>
        </w:rPr>
        <w:t>9</w:t>
      </w:r>
      <w:r w:rsidRPr="00C35D25">
        <w:rPr>
          <w:b/>
          <w:bCs/>
          <w:vertAlign w:val="superscript"/>
          <w:lang w:val="en-US"/>
        </w:rPr>
        <w:t>Mes</w:t>
      </w:r>
      <w:r w:rsidRPr="00C35D25">
        <w:rPr>
          <w:b/>
          <w:bCs/>
          <w:lang w:val="en-US"/>
        </w:rPr>
        <w:t xml:space="preserve"> </w:t>
      </w:r>
      <w:r w:rsidRPr="00C35D25">
        <w:rPr>
          <w:bCs/>
          <w:lang w:val="en-US"/>
        </w:rPr>
        <w:t>and</w:t>
      </w:r>
      <w:r w:rsidRPr="00C35D25">
        <w:rPr>
          <w:b/>
          <w:bCs/>
          <w:lang w:val="en-US"/>
        </w:rPr>
        <w:t xml:space="preserve"> 8</w:t>
      </w:r>
      <w:r w:rsidRPr="00C35D25">
        <w:rPr>
          <w:bCs/>
          <w:lang w:val="en-US"/>
        </w:rPr>
        <w:t xml:space="preserve"> reveals that the rearrangement-induced expansion of the </w:t>
      </w:r>
      <w:r w:rsidRPr="00C35D25">
        <w:rPr>
          <w:lang w:val="en-US"/>
        </w:rPr>
        <w:t>π</w:t>
      </w:r>
      <w:r w:rsidRPr="00C35D25">
        <w:rPr>
          <w:bCs/>
          <w:lang w:val="en-US"/>
        </w:rPr>
        <w:t xml:space="preserve">-electron system causes a huge bathochromic shift of the absorption and emission bands by </w:t>
      </w:r>
      <w:r w:rsidRPr="00C35D25">
        <w:rPr>
          <w:lang w:val="en-US"/>
        </w:rPr>
        <w:t>0.51 and 0.61 eV, respectively (Fig. 2 bottom, Table 1). The B</w:t>
      </w:r>
      <w:r w:rsidRPr="00C35D25">
        <w:rPr>
          <w:vertAlign w:val="subscript"/>
          <w:lang w:val="en-US"/>
        </w:rPr>
        <w:t>2</w:t>
      </w:r>
      <w:r w:rsidRPr="00C35D25">
        <w:rPr>
          <w:lang w:val="en-US"/>
        </w:rPr>
        <w:t>,N</w:t>
      </w:r>
      <w:r w:rsidRPr="00C35D25">
        <w:rPr>
          <w:vertAlign w:val="subscript"/>
          <w:lang w:val="en-US"/>
        </w:rPr>
        <w:t>2</w:t>
      </w:r>
      <w:r w:rsidRPr="00C35D25">
        <w:rPr>
          <w:lang w:val="en-US"/>
        </w:rPr>
        <w:t xml:space="preserve">-PAH </w:t>
      </w:r>
      <w:r w:rsidRPr="00C35D25">
        <w:rPr>
          <w:b/>
          <w:lang w:val="en-US"/>
        </w:rPr>
        <w:t>2</w:t>
      </w:r>
      <w:r w:rsidRPr="00C35D25">
        <w:rPr>
          <w:b/>
          <w:vertAlign w:val="superscript"/>
          <w:lang w:val="en-US"/>
        </w:rPr>
        <w:t>Mes</w:t>
      </w:r>
      <w:r w:rsidRPr="00C35D25">
        <w:rPr>
          <w:lang w:val="en-US"/>
        </w:rPr>
        <w:t xml:space="preserve"> adopts an intermediate position with </w:t>
      </w:r>
      <w:proofErr w:type="spellStart"/>
      <w:r w:rsidRPr="00C35D25">
        <w:rPr>
          <w:i/>
          <w:lang w:val="en-US"/>
        </w:rPr>
        <w:t>λ</w:t>
      </w:r>
      <w:r w:rsidRPr="00C35D25">
        <w:rPr>
          <w:vertAlign w:val="subscript"/>
          <w:lang w:val="en-US"/>
        </w:rPr>
        <w:t>abs</w:t>
      </w:r>
      <w:proofErr w:type="spellEnd"/>
      <w:r w:rsidRPr="00C35D25">
        <w:rPr>
          <w:lang w:val="en-US"/>
        </w:rPr>
        <w:t xml:space="preserve"> = 419 nm and </w:t>
      </w:r>
      <w:proofErr w:type="spellStart"/>
      <w:r w:rsidRPr="00C35D25">
        <w:rPr>
          <w:i/>
          <w:lang w:val="en-US"/>
        </w:rPr>
        <w:t>λ</w:t>
      </w:r>
      <w:r w:rsidRPr="00C35D25">
        <w:rPr>
          <w:vertAlign w:val="subscript"/>
          <w:lang w:val="en-US"/>
        </w:rPr>
        <w:t>em</w:t>
      </w:r>
      <w:proofErr w:type="spellEnd"/>
      <w:r w:rsidRPr="00C35D25">
        <w:rPr>
          <w:lang w:val="en-US"/>
        </w:rPr>
        <w:t xml:space="preserve"> = 440 nm.</w:t>
      </w:r>
    </w:p>
    <w:bookmarkEnd w:id="12"/>
    <w:p w14:paraId="52F62751" w14:textId="77777777" w:rsidR="00557BC8" w:rsidRPr="00831025" w:rsidRDefault="00557BC8" w:rsidP="00B42021">
      <w:pPr>
        <w:spacing w:after="0"/>
        <w:jc w:val="both"/>
        <w:rPr>
          <w:rFonts w:cstheme="minorHAnsi"/>
          <w:lang w:val="en-US"/>
        </w:rPr>
      </w:pPr>
    </w:p>
    <w:p w14:paraId="4B86667E" w14:textId="1FBC47E4" w:rsidR="00C164C2" w:rsidRDefault="00B6685F" w:rsidP="00B42021">
      <w:pPr>
        <w:jc w:val="both"/>
        <w:rPr>
          <w:lang w:val="en-US"/>
        </w:rPr>
      </w:pPr>
      <w:r>
        <w:rPr>
          <w:noProof/>
          <w:lang w:val="en-US"/>
        </w:rPr>
        <w:drawing>
          <wp:inline distT="0" distB="0" distL="0" distR="0" wp14:anchorId="417E73E9" wp14:editId="52A45006">
            <wp:extent cx="2896666" cy="2268000"/>
            <wp:effectExtent l="0" t="0" r="0" b="0"/>
            <wp:docPr id="888500102"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500102" name="Grafik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96666" cy="2268000"/>
                    </a:xfrm>
                    <a:prstGeom prst="rect">
                      <a:avLst/>
                    </a:prstGeom>
                  </pic:spPr>
                </pic:pic>
              </a:graphicData>
            </a:graphic>
          </wp:inline>
        </w:drawing>
      </w:r>
    </w:p>
    <w:p w14:paraId="24543668" w14:textId="2BDCDA02" w:rsidR="00B6685F" w:rsidRPr="00AA7FE6" w:rsidRDefault="00B6685F" w:rsidP="00B42021">
      <w:pPr>
        <w:jc w:val="both"/>
        <w:rPr>
          <w:lang w:val="en-US"/>
        </w:rPr>
      </w:pPr>
      <w:bookmarkStart w:id="13" w:name="_Hlk164269030"/>
      <w:r w:rsidRPr="00793C4D">
        <w:rPr>
          <w:b/>
          <w:lang w:val="en-US"/>
        </w:rPr>
        <w:t>Fig</w:t>
      </w:r>
      <w:r w:rsidR="00793C4D" w:rsidRPr="000E4B54">
        <w:rPr>
          <w:b/>
          <w:lang w:val="en-US"/>
        </w:rPr>
        <w:t>.</w:t>
      </w:r>
      <w:r w:rsidRPr="000E4B54">
        <w:rPr>
          <w:b/>
          <w:lang w:val="en-US"/>
        </w:rPr>
        <w:t xml:space="preserve"> </w:t>
      </w:r>
      <w:r w:rsidR="00E060E5" w:rsidRPr="000E4B54">
        <w:rPr>
          <w:b/>
          <w:lang w:val="en-US"/>
        </w:rPr>
        <w:t>2</w:t>
      </w:r>
      <w:r w:rsidRPr="007B2B1E">
        <w:rPr>
          <w:lang w:val="en-US"/>
        </w:rPr>
        <w:t xml:space="preserve"> Normalized UV</w:t>
      </w:r>
      <w:r>
        <w:rPr>
          <w:lang w:val="en-US"/>
        </w:rPr>
        <w:t>/v</w:t>
      </w:r>
      <w:r w:rsidRPr="007B2B1E">
        <w:rPr>
          <w:lang w:val="en-US"/>
        </w:rPr>
        <w:t>is a</w:t>
      </w:r>
      <w:r>
        <w:rPr>
          <w:lang w:val="en-US"/>
        </w:rPr>
        <w:t xml:space="preserve">bsorption and emission spectra of </w:t>
      </w:r>
      <w:r w:rsidR="00793C4D">
        <w:rPr>
          <w:b/>
          <w:lang w:val="en-US"/>
        </w:rPr>
        <w:t>6</w:t>
      </w:r>
      <w:r w:rsidR="00793C4D">
        <w:rPr>
          <w:lang w:val="en-US"/>
        </w:rPr>
        <w:t xml:space="preserve"> (orange), </w:t>
      </w:r>
      <w:r w:rsidR="00793C4D">
        <w:rPr>
          <w:b/>
          <w:lang w:val="en-US"/>
        </w:rPr>
        <w:t>7</w:t>
      </w:r>
      <w:r w:rsidR="00793C4D">
        <w:rPr>
          <w:lang w:val="en-US"/>
        </w:rPr>
        <w:t xml:space="preserve"> (blue), </w:t>
      </w:r>
      <w:r w:rsidR="00793C4D">
        <w:rPr>
          <w:b/>
          <w:lang w:val="en-US"/>
        </w:rPr>
        <w:t>8</w:t>
      </w:r>
      <w:r w:rsidR="00793C4D">
        <w:rPr>
          <w:lang w:val="en-US"/>
        </w:rPr>
        <w:t xml:space="preserve"> (red), </w:t>
      </w:r>
      <w:r w:rsidR="00793C4D">
        <w:rPr>
          <w:b/>
          <w:lang w:val="en-US"/>
        </w:rPr>
        <w:t>9</w:t>
      </w:r>
      <w:r w:rsidR="00793C4D">
        <w:rPr>
          <w:b/>
          <w:vertAlign w:val="superscript"/>
          <w:lang w:val="en-US"/>
        </w:rPr>
        <w:t>Mes</w:t>
      </w:r>
      <w:r w:rsidR="00793C4D">
        <w:rPr>
          <w:lang w:val="en-US"/>
        </w:rPr>
        <w:t xml:space="preserve"> (purple), and </w:t>
      </w:r>
      <w:r w:rsidR="00793C4D">
        <w:rPr>
          <w:b/>
          <w:lang w:val="en-US"/>
        </w:rPr>
        <w:t>2</w:t>
      </w:r>
      <w:r w:rsidR="00793C4D">
        <w:rPr>
          <w:b/>
          <w:vertAlign w:val="superscript"/>
          <w:lang w:val="en-US"/>
        </w:rPr>
        <w:t>Mes</w:t>
      </w:r>
      <w:r w:rsidR="00793C4D">
        <w:rPr>
          <w:lang w:val="en-US"/>
        </w:rPr>
        <w:t xml:space="preserve"> (green)</w:t>
      </w:r>
      <w:r w:rsidR="007F3B6B">
        <w:rPr>
          <w:lang w:val="en-US"/>
        </w:rPr>
        <w:t xml:space="preserve"> </w:t>
      </w:r>
      <w:r w:rsidR="007F3B6B" w:rsidRPr="00AA7FE6">
        <w:rPr>
          <w:lang w:val="en-US"/>
        </w:rPr>
        <w:t>measured in THF</w:t>
      </w:r>
      <w:r w:rsidR="00793C4D" w:rsidRPr="00AA7FE6">
        <w:rPr>
          <w:lang w:val="en-US"/>
        </w:rPr>
        <w:t>.</w:t>
      </w:r>
    </w:p>
    <w:p w14:paraId="6EFB2AF7" w14:textId="7BDB92D9" w:rsidR="00147BA1" w:rsidRPr="00AA7FE6" w:rsidRDefault="00793C4D" w:rsidP="00B42021">
      <w:pPr>
        <w:jc w:val="both"/>
        <w:rPr>
          <w:lang w:val="en-US"/>
        </w:rPr>
      </w:pPr>
      <w:bookmarkStart w:id="14" w:name="_Hlk164268456"/>
      <w:bookmarkEnd w:id="13"/>
      <w:r w:rsidRPr="00AA7FE6">
        <w:rPr>
          <w:b/>
          <w:lang w:val="en-US"/>
        </w:rPr>
        <w:t xml:space="preserve">Table 1 </w:t>
      </w:r>
      <w:r w:rsidRPr="00AA7FE6">
        <w:rPr>
          <w:lang w:val="en-US"/>
        </w:rPr>
        <w:t>Selected</w:t>
      </w:r>
      <w:r w:rsidR="001734F8" w:rsidRPr="00AA7FE6">
        <w:rPr>
          <w:lang w:val="en-US"/>
        </w:rPr>
        <w:t xml:space="preserve"> electrochemical and</w:t>
      </w:r>
      <w:r w:rsidRPr="00AA7FE6">
        <w:rPr>
          <w:lang w:val="en-US"/>
        </w:rPr>
        <w:t xml:space="preserve"> photophysical data of </w:t>
      </w:r>
      <w:r w:rsidRPr="00AA7FE6">
        <w:rPr>
          <w:b/>
          <w:lang w:val="en-US"/>
        </w:rPr>
        <w:t>6</w:t>
      </w:r>
      <w:r w:rsidRPr="00AA7FE6">
        <w:rPr>
          <w:lang w:val="en-US"/>
        </w:rPr>
        <w:t xml:space="preserve">, </w:t>
      </w:r>
      <w:r w:rsidRPr="00AA7FE6">
        <w:rPr>
          <w:b/>
          <w:lang w:val="en-US"/>
        </w:rPr>
        <w:t>7</w:t>
      </w:r>
      <w:r w:rsidRPr="00AA7FE6">
        <w:rPr>
          <w:lang w:val="en-US"/>
        </w:rPr>
        <w:t xml:space="preserve">, </w:t>
      </w:r>
      <w:r w:rsidRPr="00AA7FE6">
        <w:rPr>
          <w:b/>
          <w:lang w:val="en-US"/>
        </w:rPr>
        <w:t>8</w:t>
      </w:r>
      <w:r w:rsidRPr="00AA7FE6">
        <w:rPr>
          <w:lang w:val="en-US"/>
        </w:rPr>
        <w:t xml:space="preserve">, </w:t>
      </w:r>
      <w:r w:rsidRPr="00AA7FE6">
        <w:rPr>
          <w:b/>
          <w:lang w:val="en-US"/>
        </w:rPr>
        <w:t>9</w:t>
      </w:r>
      <w:r w:rsidRPr="00AA7FE6">
        <w:rPr>
          <w:b/>
          <w:vertAlign w:val="superscript"/>
          <w:lang w:val="en-US"/>
        </w:rPr>
        <w:t>Mes</w:t>
      </w:r>
      <w:r w:rsidRPr="00AA7FE6">
        <w:rPr>
          <w:lang w:val="en-US"/>
        </w:rPr>
        <w:t xml:space="preserve">, and </w:t>
      </w:r>
      <w:r w:rsidRPr="00AA7FE6">
        <w:rPr>
          <w:b/>
          <w:lang w:val="en-US"/>
        </w:rPr>
        <w:t>2</w:t>
      </w:r>
      <w:r w:rsidRPr="00AA7FE6">
        <w:rPr>
          <w:b/>
          <w:vertAlign w:val="superscript"/>
          <w:lang w:val="en-US"/>
        </w:rPr>
        <w:t>Mes</w:t>
      </w:r>
      <w:r w:rsidR="00B37300" w:rsidRPr="00AA7FE6">
        <w:rPr>
          <w:b/>
          <w:lang w:val="en-US"/>
        </w:rPr>
        <w:t xml:space="preserve"> </w:t>
      </w:r>
      <w:r w:rsidR="00B37300" w:rsidRPr="00AA7FE6">
        <w:rPr>
          <w:lang w:val="en-US"/>
        </w:rPr>
        <w:t>measured in THF</w:t>
      </w:r>
      <w:r w:rsidRPr="00AA7FE6">
        <w:rPr>
          <w:lang w:val="en-US"/>
        </w:rPr>
        <w:t>.</w:t>
      </w:r>
    </w:p>
    <w:bookmarkEnd w:id="14"/>
    <w:tbl>
      <w:tblPr>
        <w:tblStyle w:val="TableGrid"/>
        <w:tblW w:w="0" w:type="auto"/>
        <w:tblInd w:w="108" w:type="dxa"/>
        <w:tblLook w:val="04A0" w:firstRow="1" w:lastRow="0" w:firstColumn="1" w:lastColumn="0" w:noHBand="0" w:noVBand="1"/>
      </w:tblPr>
      <w:tblGrid>
        <w:gridCol w:w="1148"/>
        <w:gridCol w:w="1155"/>
        <w:gridCol w:w="1161"/>
        <w:gridCol w:w="1161"/>
        <w:gridCol w:w="1148"/>
        <w:gridCol w:w="1214"/>
      </w:tblGrid>
      <w:tr w:rsidR="00574933" w:rsidRPr="00AA7FE6" w14:paraId="059366DD" w14:textId="28CCDD8A" w:rsidTr="00574933">
        <w:trPr>
          <w:trHeight w:val="635"/>
        </w:trPr>
        <w:tc>
          <w:tcPr>
            <w:tcW w:w="1148" w:type="dxa"/>
            <w:vAlign w:val="center"/>
          </w:tcPr>
          <w:p w14:paraId="75110EDF" w14:textId="77777777" w:rsidR="00574933" w:rsidRPr="00AA7FE6" w:rsidRDefault="00574933" w:rsidP="00B42021">
            <w:pPr>
              <w:jc w:val="both"/>
              <w:rPr>
                <w:lang w:val="en-US"/>
              </w:rPr>
            </w:pPr>
          </w:p>
        </w:tc>
        <w:tc>
          <w:tcPr>
            <w:tcW w:w="1155" w:type="dxa"/>
          </w:tcPr>
          <w:p w14:paraId="3D3924E5" w14:textId="54494BFE" w:rsidR="00574933" w:rsidRPr="00AA7FE6" w:rsidRDefault="00574933" w:rsidP="00B42021">
            <w:pPr>
              <w:pStyle w:val="TCTableBody"/>
              <w:rPr>
                <w:rFonts w:asciiTheme="minorHAnsi" w:hAnsiTheme="minorHAnsi" w:cstheme="minorHAnsi"/>
                <w:sz w:val="22"/>
                <w:szCs w:val="22"/>
              </w:rPr>
            </w:pPr>
            <w:r w:rsidRPr="00AA7FE6">
              <w:rPr>
                <w:rFonts w:asciiTheme="minorHAnsi" w:hAnsiTheme="minorHAnsi" w:cstheme="minorHAnsi"/>
                <w:i/>
                <w:sz w:val="22"/>
                <w:szCs w:val="22"/>
              </w:rPr>
              <w:t>E</w:t>
            </w:r>
            <w:r w:rsidRPr="00AA7FE6">
              <w:rPr>
                <w:rFonts w:asciiTheme="minorHAnsi" w:hAnsiTheme="minorHAnsi" w:cstheme="minorHAnsi"/>
                <w:sz w:val="22"/>
                <w:szCs w:val="22"/>
                <w:vertAlign w:val="subscript"/>
              </w:rPr>
              <w:t>1/2</w:t>
            </w:r>
            <w:r w:rsidRPr="00AA7FE6">
              <w:rPr>
                <w:rFonts w:asciiTheme="minorHAnsi" w:hAnsiTheme="minorHAnsi" w:cstheme="minorHAnsi"/>
                <w:i/>
                <w:sz w:val="22"/>
                <w:szCs w:val="22"/>
                <w:vertAlign w:val="superscript"/>
              </w:rPr>
              <w:t>a</w:t>
            </w:r>
            <w:r w:rsidRPr="00AA7FE6">
              <w:rPr>
                <w:rFonts w:asciiTheme="minorHAnsi" w:hAnsiTheme="minorHAnsi" w:cstheme="minorHAnsi"/>
                <w:sz w:val="22"/>
                <w:szCs w:val="22"/>
              </w:rPr>
              <w:t xml:space="preserve"> </w:t>
            </w:r>
          </w:p>
          <w:p w14:paraId="4F2C507A" w14:textId="2EB051A6" w:rsidR="00574933" w:rsidRPr="00AA7FE6" w:rsidRDefault="00574933" w:rsidP="00B42021">
            <w:pPr>
              <w:pStyle w:val="TCTableBody"/>
              <w:rPr>
                <w:rFonts w:asciiTheme="minorHAnsi" w:hAnsiTheme="minorHAnsi" w:cstheme="minorHAnsi"/>
                <w:sz w:val="22"/>
                <w:szCs w:val="22"/>
              </w:rPr>
            </w:pPr>
            <w:r w:rsidRPr="00AA7FE6">
              <w:rPr>
                <w:rFonts w:asciiTheme="minorHAnsi" w:hAnsiTheme="minorHAnsi" w:cstheme="minorHAnsi"/>
                <w:sz w:val="22"/>
                <w:szCs w:val="22"/>
              </w:rPr>
              <w:t>[V]</w:t>
            </w:r>
          </w:p>
        </w:tc>
        <w:tc>
          <w:tcPr>
            <w:tcW w:w="1161" w:type="dxa"/>
            <w:vAlign w:val="center"/>
          </w:tcPr>
          <w:p w14:paraId="21C3D041" w14:textId="49080F23" w:rsidR="00574933" w:rsidRPr="00AA7FE6" w:rsidRDefault="00044623" w:rsidP="00B42021">
            <w:pPr>
              <w:pStyle w:val="TCTableBody"/>
              <w:rPr>
                <w:rFonts w:asciiTheme="minorHAnsi" w:hAnsiTheme="minorHAnsi" w:cstheme="minorHAnsi"/>
                <w:sz w:val="22"/>
                <w:szCs w:val="22"/>
              </w:rPr>
            </w:pPr>
            <w:proofErr w:type="spellStart"/>
            <w:r w:rsidRPr="00044623">
              <w:rPr>
                <w:rFonts w:asciiTheme="minorHAnsi" w:hAnsiTheme="minorHAnsi" w:cstheme="minorHAnsi"/>
                <w:i/>
                <w:sz w:val="22"/>
                <w:szCs w:val="24"/>
              </w:rPr>
              <w:t>λ</w:t>
            </w:r>
            <w:r w:rsidR="00574933" w:rsidRPr="00AA7FE6">
              <w:rPr>
                <w:rFonts w:asciiTheme="minorHAnsi" w:hAnsiTheme="minorHAnsi" w:cstheme="minorHAnsi"/>
                <w:sz w:val="22"/>
                <w:szCs w:val="22"/>
                <w:vertAlign w:val="subscript"/>
              </w:rPr>
              <w:t>abs</w:t>
            </w:r>
            <w:r w:rsidR="00574933" w:rsidRPr="00AA7FE6">
              <w:rPr>
                <w:rFonts w:asciiTheme="minorHAnsi" w:hAnsiTheme="minorHAnsi" w:cstheme="minorHAnsi"/>
                <w:i/>
                <w:sz w:val="22"/>
                <w:szCs w:val="22"/>
                <w:vertAlign w:val="superscript"/>
              </w:rPr>
              <w:t>b</w:t>
            </w:r>
            <w:proofErr w:type="spellEnd"/>
          </w:p>
          <w:p w14:paraId="2A7468A4" w14:textId="70192341" w:rsidR="00574933" w:rsidRPr="00AA7FE6" w:rsidRDefault="00574933" w:rsidP="00B42021">
            <w:pPr>
              <w:jc w:val="both"/>
              <w:rPr>
                <w:lang w:val="en-US"/>
              </w:rPr>
            </w:pPr>
            <w:r w:rsidRPr="00AA7FE6">
              <w:rPr>
                <w:rFonts w:cstheme="minorHAnsi"/>
              </w:rPr>
              <w:t>[nm]</w:t>
            </w:r>
          </w:p>
        </w:tc>
        <w:tc>
          <w:tcPr>
            <w:tcW w:w="1161" w:type="dxa"/>
            <w:vAlign w:val="center"/>
          </w:tcPr>
          <w:p w14:paraId="0F6A660F" w14:textId="45F67EFD" w:rsidR="00574933" w:rsidRPr="00AA7FE6" w:rsidRDefault="00044623" w:rsidP="00B42021">
            <w:pPr>
              <w:pStyle w:val="TCTableBody"/>
              <w:rPr>
                <w:rFonts w:asciiTheme="minorHAnsi" w:hAnsiTheme="minorHAnsi" w:cstheme="minorHAnsi"/>
                <w:sz w:val="22"/>
                <w:szCs w:val="22"/>
                <w:vertAlign w:val="superscript"/>
              </w:rPr>
            </w:pPr>
            <w:proofErr w:type="spellStart"/>
            <w:r w:rsidRPr="00044623">
              <w:rPr>
                <w:rFonts w:asciiTheme="minorHAnsi" w:hAnsiTheme="minorHAnsi" w:cstheme="minorHAnsi"/>
                <w:i/>
                <w:sz w:val="22"/>
                <w:szCs w:val="24"/>
              </w:rPr>
              <w:t>λ</w:t>
            </w:r>
            <w:r w:rsidR="00574933" w:rsidRPr="00AA7FE6">
              <w:rPr>
                <w:rFonts w:asciiTheme="minorHAnsi" w:hAnsiTheme="minorHAnsi" w:cstheme="minorHAnsi"/>
                <w:sz w:val="22"/>
                <w:szCs w:val="22"/>
                <w:vertAlign w:val="subscript"/>
              </w:rPr>
              <w:t>em</w:t>
            </w:r>
            <w:proofErr w:type="spellEnd"/>
          </w:p>
          <w:p w14:paraId="4EDF1725" w14:textId="7FDA0139" w:rsidR="00574933" w:rsidRPr="00AA7FE6" w:rsidRDefault="00574933" w:rsidP="00B42021">
            <w:pPr>
              <w:jc w:val="both"/>
              <w:rPr>
                <w:lang w:val="en-US"/>
              </w:rPr>
            </w:pPr>
            <w:r w:rsidRPr="00AA7FE6">
              <w:rPr>
                <w:rFonts w:cstheme="minorHAnsi"/>
              </w:rPr>
              <w:t>[nm]</w:t>
            </w:r>
          </w:p>
        </w:tc>
        <w:tc>
          <w:tcPr>
            <w:tcW w:w="1148" w:type="dxa"/>
            <w:vAlign w:val="center"/>
          </w:tcPr>
          <w:p w14:paraId="696DD540" w14:textId="40333797" w:rsidR="00574933" w:rsidRPr="00AA7FE6" w:rsidRDefault="00A7508A" w:rsidP="00B42021">
            <w:pPr>
              <w:pStyle w:val="TCTableBody"/>
              <w:rPr>
                <w:rFonts w:asciiTheme="minorHAnsi" w:hAnsiTheme="minorHAnsi" w:cstheme="minorHAnsi"/>
                <w:bCs/>
                <w:color w:val="000000" w:themeColor="text1"/>
                <w:sz w:val="22"/>
                <w:szCs w:val="22"/>
              </w:rPr>
            </w:pPr>
            <w:proofErr w:type="spellStart"/>
            <w:r w:rsidRPr="00A7508A">
              <w:rPr>
                <w:rFonts w:asciiTheme="minorHAnsi" w:hAnsiTheme="minorHAnsi" w:cstheme="minorHAnsi"/>
                <w:i/>
                <w:sz w:val="22"/>
                <w:szCs w:val="24"/>
              </w:rPr>
              <w:t>Φ</w:t>
            </w:r>
            <w:r w:rsidR="00574933" w:rsidRPr="00AA7FE6">
              <w:rPr>
                <w:rFonts w:asciiTheme="minorHAnsi" w:hAnsiTheme="minorHAnsi" w:cstheme="minorHAnsi"/>
                <w:bCs/>
                <w:color w:val="000000" w:themeColor="text1"/>
                <w:sz w:val="22"/>
                <w:szCs w:val="22"/>
                <w:vertAlign w:val="subscript"/>
              </w:rPr>
              <w:t>PL</w:t>
            </w:r>
            <w:r w:rsidR="00B37300" w:rsidRPr="00AA7FE6">
              <w:rPr>
                <w:rFonts w:asciiTheme="minorHAnsi" w:hAnsiTheme="minorHAnsi" w:cstheme="minorHAnsi"/>
                <w:bCs/>
                <w:i/>
                <w:color w:val="000000" w:themeColor="text1"/>
                <w:sz w:val="22"/>
                <w:szCs w:val="22"/>
                <w:vertAlign w:val="superscript"/>
              </w:rPr>
              <w:t>c</w:t>
            </w:r>
            <w:proofErr w:type="spellEnd"/>
          </w:p>
          <w:p w14:paraId="5F87CFCA" w14:textId="359AE7AB" w:rsidR="00574933" w:rsidRPr="00AA7FE6" w:rsidRDefault="00574933" w:rsidP="00B42021">
            <w:pPr>
              <w:jc w:val="both"/>
              <w:rPr>
                <w:lang w:val="en-US"/>
              </w:rPr>
            </w:pPr>
            <w:r w:rsidRPr="00AA7FE6">
              <w:rPr>
                <w:rFonts w:cstheme="minorHAnsi"/>
                <w:bCs/>
                <w:color w:val="000000" w:themeColor="text1"/>
              </w:rPr>
              <w:t>[%]</w:t>
            </w:r>
          </w:p>
        </w:tc>
        <w:tc>
          <w:tcPr>
            <w:tcW w:w="1214" w:type="dxa"/>
            <w:vAlign w:val="center"/>
          </w:tcPr>
          <w:p w14:paraId="7855444B" w14:textId="2354F02A" w:rsidR="00574933" w:rsidRPr="00AA7FE6" w:rsidRDefault="00574933" w:rsidP="00B42021">
            <w:pPr>
              <w:jc w:val="both"/>
              <w:rPr>
                <w:bCs/>
                <w:i/>
                <w:color w:val="000000" w:themeColor="text1"/>
                <w:vertAlign w:val="superscript"/>
              </w:rPr>
            </w:pPr>
            <w:r w:rsidRPr="00AA7FE6">
              <w:rPr>
                <w:bCs/>
                <w:color w:val="000000" w:themeColor="text1"/>
              </w:rPr>
              <w:t>FWHM</w:t>
            </w:r>
            <w:r w:rsidR="00B37300" w:rsidRPr="00AA7FE6">
              <w:rPr>
                <w:bCs/>
                <w:i/>
                <w:color w:val="000000" w:themeColor="text1"/>
                <w:vertAlign w:val="superscript"/>
              </w:rPr>
              <w:t>d</w:t>
            </w:r>
          </w:p>
          <w:p w14:paraId="783B610E" w14:textId="45CA2E0B" w:rsidR="00574933" w:rsidRPr="00AA7FE6" w:rsidRDefault="00574933" w:rsidP="00B42021">
            <w:pPr>
              <w:jc w:val="both"/>
              <w:rPr>
                <w:lang w:val="en-US"/>
              </w:rPr>
            </w:pPr>
            <w:r w:rsidRPr="00AA7FE6">
              <w:rPr>
                <w:bCs/>
                <w:color w:val="000000" w:themeColor="text1"/>
              </w:rPr>
              <w:t>[eV]</w:t>
            </w:r>
          </w:p>
        </w:tc>
      </w:tr>
      <w:tr w:rsidR="00574933" w:rsidRPr="00AA7FE6" w14:paraId="3D335BF8" w14:textId="181CB848" w:rsidTr="00574933">
        <w:trPr>
          <w:trHeight w:val="270"/>
        </w:trPr>
        <w:tc>
          <w:tcPr>
            <w:tcW w:w="1148" w:type="dxa"/>
            <w:vAlign w:val="center"/>
          </w:tcPr>
          <w:p w14:paraId="02DDF14C" w14:textId="0C95D0F1" w:rsidR="00574933" w:rsidRPr="00AA7FE6" w:rsidRDefault="00574933" w:rsidP="00B42021">
            <w:pPr>
              <w:jc w:val="both"/>
              <w:rPr>
                <w:lang w:val="en-US"/>
              </w:rPr>
            </w:pPr>
            <w:r w:rsidRPr="00AA7FE6">
              <w:rPr>
                <w:b/>
              </w:rPr>
              <w:t>6</w:t>
            </w:r>
          </w:p>
        </w:tc>
        <w:tc>
          <w:tcPr>
            <w:tcW w:w="1155" w:type="dxa"/>
          </w:tcPr>
          <w:p w14:paraId="27B324C3" w14:textId="2DA4B2E9" w:rsidR="00574933" w:rsidRPr="00AA7FE6" w:rsidRDefault="00574933" w:rsidP="00B42021">
            <w:pPr>
              <w:jc w:val="both"/>
            </w:pPr>
            <w:r w:rsidRPr="00AA7FE6">
              <w:t>–2.56</w:t>
            </w:r>
          </w:p>
        </w:tc>
        <w:tc>
          <w:tcPr>
            <w:tcW w:w="1161" w:type="dxa"/>
            <w:vAlign w:val="center"/>
          </w:tcPr>
          <w:p w14:paraId="177EAF41" w14:textId="3ECA682F" w:rsidR="00574933" w:rsidRPr="00AA7FE6" w:rsidRDefault="00574933" w:rsidP="00B42021">
            <w:pPr>
              <w:jc w:val="both"/>
              <w:rPr>
                <w:lang w:val="en-US"/>
              </w:rPr>
            </w:pPr>
            <w:r w:rsidRPr="00AA7FE6">
              <w:t>42</w:t>
            </w:r>
            <w:r w:rsidR="00B37300" w:rsidRPr="00AA7FE6">
              <w:t>4</w:t>
            </w:r>
          </w:p>
        </w:tc>
        <w:tc>
          <w:tcPr>
            <w:tcW w:w="1161" w:type="dxa"/>
            <w:vAlign w:val="center"/>
          </w:tcPr>
          <w:p w14:paraId="7215FE65" w14:textId="20951E31" w:rsidR="00574933" w:rsidRPr="00AA7FE6" w:rsidRDefault="00574933" w:rsidP="00B42021">
            <w:pPr>
              <w:jc w:val="both"/>
              <w:rPr>
                <w:lang w:val="en-US"/>
              </w:rPr>
            </w:pPr>
            <w:r w:rsidRPr="00AA7FE6">
              <w:t>447</w:t>
            </w:r>
          </w:p>
        </w:tc>
        <w:tc>
          <w:tcPr>
            <w:tcW w:w="1148" w:type="dxa"/>
            <w:vAlign w:val="center"/>
          </w:tcPr>
          <w:p w14:paraId="50CD58DC" w14:textId="4BF90EDB" w:rsidR="00574933" w:rsidRPr="00AA7FE6" w:rsidRDefault="00574933" w:rsidP="00B42021">
            <w:pPr>
              <w:jc w:val="both"/>
              <w:rPr>
                <w:lang w:val="en-US"/>
              </w:rPr>
            </w:pPr>
            <w:r w:rsidRPr="00AA7FE6">
              <w:rPr>
                <w:lang w:val="en-US"/>
              </w:rPr>
              <w:t>18</w:t>
            </w:r>
          </w:p>
        </w:tc>
        <w:tc>
          <w:tcPr>
            <w:tcW w:w="1214" w:type="dxa"/>
            <w:vAlign w:val="center"/>
          </w:tcPr>
          <w:p w14:paraId="70D6C69C" w14:textId="48C4CFFF" w:rsidR="00574933" w:rsidRPr="00AA7FE6" w:rsidRDefault="00574933" w:rsidP="00B42021">
            <w:pPr>
              <w:jc w:val="both"/>
              <w:rPr>
                <w:lang w:val="en-US"/>
              </w:rPr>
            </w:pPr>
            <w:r w:rsidRPr="00AA7FE6">
              <w:t>0.22</w:t>
            </w:r>
          </w:p>
        </w:tc>
      </w:tr>
      <w:tr w:rsidR="00574933" w:rsidRPr="00AA7FE6" w14:paraId="72E296E9" w14:textId="5D856CA5" w:rsidTr="00574933">
        <w:trPr>
          <w:trHeight w:val="270"/>
        </w:trPr>
        <w:tc>
          <w:tcPr>
            <w:tcW w:w="1148" w:type="dxa"/>
            <w:vAlign w:val="center"/>
          </w:tcPr>
          <w:p w14:paraId="765C0644" w14:textId="58922B02" w:rsidR="00574933" w:rsidRPr="00AA7FE6" w:rsidRDefault="00574933" w:rsidP="00B42021">
            <w:pPr>
              <w:jc w:val="both"/>
              <w:rPr>
                <w:b/>
                <w:lang w:val="en-US"/>
              </w:rPr>
            </w:pPr>
            <w:r w:rsidRPr="00AA7FE6">
              <w:rPr>
                <w:b/>
                <w:lang w:val="en-US"/>
              </w:rPr>
              <w:t>7</w:t>
            </w:r>
          </w:p>
        </w:tc>
        <w:tc>
          <w:tcPr>
            <w:tcW w:w="1155" w:type="dxa"/>
          </w:tcPr>
          <w:p w14:paraId="00BB79DF" w14:textId="6E9FD66F" w:rsidR="00574933" w:rsidRPr="00AA7FE6" w:rsidRDefault="00574933" w:rsidP="00B42021">
            <w:pPr>
              <w:jc w:val="both"/>
            </w:pPr>
            <w:r w:rsidRPr="00AA7FE6">
              <w:t>–2.35</w:t>
            </w:r>
          </w:p>
        </w:tc>
        <w:tc>
          <w:tcPr>
            <w:tcW w:w="1161" w:type="dxa"/>
            <w:vAlign w:val="center"/>
          </w:tcPr>
          <w:p w14:paraId="4369625A" w14:textId="3AE9882D" w:rsidR="00574933" w:rsidRPr="00AA7FE6" w:rsidRDefault="00574933" w:rsidP="00B42021">
            <w:pPr>
              <w:jc w:val="both"/>
              <w:rPr>
                <w:lang w:val="en-US"/>
              </w:rPr>
            </w:pPr>
            <w:r w:rsidRPr="00AA7FE6">
              <w:t>45</w:t>
            </w:r>
            <w:r w:rsidR="00B37300" w:rsidRPr="00AA7FE6">
              <w:t>6</w:t>
            </w:r>
          </w:p>
        </w:tc>
        <w:tc>
          <w:tcPr>
            <w:tcW w:w="1161" w:type="dxa"/>
            <w:vAlign w:val="center"/>
          </w:tcPr>
          <w:p w14:paraId="3CEEF614" w14:textId="7F488521" w:rsidR="00574933" w:rsidRPr="00AA7FE6" w:rsidRDefault="00574933" w:rsidP="00B42021">
            <w:pPr>
              <w:jc w:val="both"/>
              <w:rPr>
                <w:lang w:val="en-US"/>
              </w:rPr>
            </w:pPr>
            <w:r w:rsidRPr="00AA7FE6">
              <w:t>479</w:t>
            </w:r>
          </w:p>
        </w:tc>
        <w:tc>
          <w:tcPr>
            <w:tcW w:w="1148" w:type="dxa"/>
            <w:vAlign w:val="center"/>
          </w:tcPr>
          <w:p w14:paraId="36633FDF" w14:textId="5C579FA2" w:rsidR="00574933" w:rsidRPr="00AA7FE6" w:rsidRDefault="00574933" w:rsidP="00B42021">
            <w:pPr>
              <w:jc w:val="both"/>
              <w:rPr>
                <w:lang w:val="en-US"/>
              </w:rPr>
            </w:pPr>
            <w:r w:rsidRPr="00AA7FE6">
              <w:rPr>
                <w:lang w:val="en-US"/>
              </w:rPr>
              <w:t>84</w:t>
            </w:r>
          </w:p>
        </w:tc>
        <w:tc>
          <w:tcPr>
            <w:tcW w:w="1214" w:type="dxa"/>
            <w:vAlign w:val="center"/>
          </w:tcPr>
          <w:p w14:paraId="1896295A" w14:textId="7031DED4" w:rsidR="00574933" w:rsidRPr="00AA7FE6" w:rsidRDefault="00574933" w:rsidP="00B42021">
            <w:pPr>
              <w:jc w:val="both"/>
              <w:rPr>
                <w:lang w:val="en-US"/>
              </w:rPr>
            </w:pPr>
            <w:r w:rsidRPr="00AA7FE6">
              <w:t>0.19</w:t>
            </w:r>
          </w:p>
        </w:tc>
      </w:tr>
      <w:tr w:rsidR="00574933" w:rsidRPr="00AA7FE6" w14:paraId="6CA558A2" w14:textId="123A2E21" w:rsidTr="00574933">
        <w:trPr>
          <w:trHeight w:val="270"/>
        </w:trPr>
        <w:tc>
          <w:tcPr>
            <w:tcW w:w="1148" w:type="dxa"/>
            <w:vAlign w:val="center"/>
          </w:tcPr>
          <w:p w14:paraId="79C4610D" w14:textId="70546C34" w:rsidR="00574933" w:rsidRPr="00AA7FE6" w:rsidRDefault="00574933" w:rsidP="00B42021">
            <w:pPr>
              <w:jc w:val="both"/>
              <w:rPr>
                <w:b/>
                <w:lang w:val="en-US"/>
              </w:rPr>
            </w:pPr>
            <w:r w:rsidRPr="00AA7FE6">
              <w:rPr>
                <w:b/>
              </w:rPr>
              <w:t>8</w:t>
            </w:r>
          </w:p>
        </w:tc>
        <w:tc>
          <w:tcPr>
            <w:tcW w:w="1155" w:type="dxa"/>
          </w:tcPr>
          <w:p w14:paraId="14A5020E" w14:textId="654FD2A0" w:rsidR="00574933" w:rsidRPr="00AA7FE6" w:rsidRDefault="00574933" w:rsidP="00B42021">
            <w:pPr>
              <w:jc w:val="both"/>
            </w:pPr>
            <w:r w:rsidRPr="00AA7FE6">
              <w:t>–2.19</w:t>
            </w:r>
          </w:p>
        </w:tc>
        <w:tc>
          <w:tcPr>
            <w:tcW w:w="1161" w:type="dxa"/>
            <w:vAlign w:val="center"/>
          </w:tcPr>
          <w:p w14:paraId="7DCC2C06" w14:textId="7E3AEF73" w:rsidR="00574933" w:rsidRPr="00AA7FE6" w:rsidRDefault="00574933" w:rsidP="00B42021">
            <w:pPr>
              <w:jc w:val="both"/>
              <w:rPr>
                <w:lang w:val="en-US"/>
              </w:rPr>
            </w:pPr>
            <w:r w:rsidRPr="00AA7FE6">
              <w:t>46</w:t>
            </w:r>
            <w:r w:rsidR="00B37300" w:rsidRPr="00AA7FE6">
              <w:t>1</w:t>
            </w:r>
          </w:p>
        </w:tc>
        <w:tc>
          <w:tcPr>
            <w:tcW w:w="1161" w:type="dxa"/>
            <w:vAlign w:val="center"/>
          </w:tcPr>
          <w:p w14:paraId="1CC1EF92" w14:textId="3153320F" w:rsidR="00574933" w:rsidRPr="00AA7FE6" w:rsidRDefault="00574933" w:rsidP="00B42021">
            <w:pPr>
              <w:jc w:val="both"/>
              <w:rPr>
                <w:lang w:val="en-US"/>
              </w:rPr>
            </w:pPr>
            <w:r w:rsidRPr="00AA7FE6">
              <w:t>493</w:t>
            </w:r>
          </w:p>
        </w:tc>
        <w:tc>
          <w:tcPr>
            <w:tcW w:w="1148" w:type="dxa"/>
            <w:vAlign w:val="center"/>
          </w:tcPr>
          <w:p w14:paraId="57108496" w14:textId="122CA779" w:rsidR="00574933" w:rsidRPr="00AA7FE6" w:rsidRDefault="00574933" w:rsidP="00B42021">
            <w:pPr>
              <w:jc w:val="both"/>
              <w:rPr>
                <w:lang w:val="en-US"/>
              </w:rPr>
            </w:pPr>
            <w:r w:rsidRPr="00AA7FE6">
              <w:rPr>
                <w:lang w:val="en-US"/>
              </w:rPr>
              <w:t>84</w:t>
            </w:r>
          </w:p>
        </w:tc>
        <w:tc>
          <w:tcPr>
            <w:tcW w:w="1214" w:type="dxa"/>
            <w:vAlign w:val="center"/>
          </w:tcPr>
          <w:p w14:paraId="2FBB5273" w14:textId="357D4CEB" w:rsidR="00574933" w:rsidRPr="00AA7FE6" w:rsidRDefault="00574933" w:rsidP="00B42021">
            <w:pPr>
              <w:jc w:val="both"/>
              <w:rPr>
                <w:lang w:val="en-US"/>
              </w:rPr>
            </w:pPr>
            <w:r w:rsidRPr="00AA7FE6">
              <w:t>0.20</w:t>
            </w:r>
          </w:p>
        </w:tc>
      </w:tr>
      <w:tr w:rsidR="00574933" w14:paraId="2F8068ED" w14:textId="2364E485" w:rsidTr="00574933">
        <w:trPr>
          <w:trHeight w:val="256"/>
        </w:trPr>
        <w:tc>
          <w:tcPr>
            <w:tcW w:w="1148" w:type="dxa"/>
            <w:vAlign w:val="center"/>
          </w:tcPr>
          <w:p w14:paraId="1E4621E9" w14:textId="25AAC715" w:rsidR="00574933" w:rsidRPr="00AA7FE6" w:rsidRDefault="00574933" w:rsidP="00B42021">
            <w:pPr>
              <w:jc w:val="both"/>
              <w:rPr>
                <w:vertAlign w:val="superscript"/>
                <w:lang w:val="en-US"/>
              </w:rPr>
            </w:pPr>
            <w:r w:rsidRPr="00AA7FE6">
              <w:rPr>
                <w:b/>
              </w:rPr>
              <w:t>9</w:t>
            </w:r>
            <w:r w:rsidRPr="00AA7FE6">
              <w:rPr>
                <w:b/>
                <w:vertAlign w:val="superscript"/>
              </w:rPr>
              <w:t>Mes</w:t>
            </w:r>
          </w:p>
        </w:tc>
        <w:tc>
          <w:tcPr>
            <w:tcW w:w="1155" w:type="dxa"/>
          </w:tcPr>
          <w:p w14:paraId="2730AB4B" w14:textId="1080C61D" w:rsidR="00574933" w:rsidRPr="00AA7FE6" w:rsidRDefault="00574933" w:rsidP="00B42021">
            <w:pPr>
              <w:jc w:val="both"/>
            </w:pPr>
            <w:r w:rsidRPr="00AA7FE6">
              <w:t>–2.72</w:t>
            </w:r>
          </w:p>
        </w:tc>
        <w:tc>
          <w:tcPr>
            <w:tcW w:w="1161" w:type="dxa"/>
            <w:vAlign w:val="center"/>
          </w:tcPr>
          <w:p w14:paraId="038FA038" w14:textId="194C8255" w:rsidR="00574933" w:rsidRPr="00AA7FE6" w:rsidRDefault="00574933" w:rsidP="00B42021">
            <w:pPr>
              <w:jc w:val="both"/>
              <w:rPr>
                <w:lang w:val="en-US"/>
              </w:rPr>
            </w:pPr>
            <w:r w:rsidRPr="00AA7FE6">
              <w:t>388</w:t>
            </w:r>
          </w:p>
        </w:tc>
        <w:tc>
          <w:tcPr>
            <w:tcW w:w="1161" w:type="dxa"/>
            <w:vAlign w:val="center"/>
          </w:tcPr>
          <w:p w14:paraId="38023D24" w14:textId="0904B23D" w:rsidR="00574933" w:rsidRPr="00AA7FE6" w:rsidRDefault="00574933" w:rsidP="00B42021">
            <w:pPr>
              <w:jc w:val="both"/>
              <w:rPr>
                <w:lang w:val="en-US"/>
              </w:rPr>
            </w:pPr>
            <w:r w:rsidRPr="00AA7FE6">
              <w:t>398</w:t>
            </w:r>
          </w:p>
        </w:tc>
        <w:tc>
          <w:tcPr>
            <w:tcW w:w="1148" w:type="dxa"/>
            <w:vAlign w:val="center"/>
          </w:tcPr>
          <w:p w14:paraId="48F05BC7" w14:textId="6EC8D930" w:rsidR="00574933" w:rsidRPr="00AA7FE6" w:rsidRDefault="00574933" w:rsidP="00B42021">
            <w:pPr>
              <w:jc w:val="both"/>
              <w:rPr>
                <w:lang w:val="en-US"/>
              </w:rPr>
            </w:pPr>
            <w:r w:rsidRPr="00AA7FE6">
              <w:t>96</w:t>
            </w:r>
          </w:p>
        </w:tc>
        <w:tc>
          <w:tcPr>
            <w:tcW w:w="1214" w:type="dxa"/>
            <w:vAlign w:val="center"/>
          </w:tcPr>
          <w:p w14:paraId="47FDC8FE" w14:textId="58B6D018" w:rsidR="00574933" w:rsidRDefault="00574933" w:rsidP="00B42021">
            <w:pPr>
              <w:jc w:val="both"/>
              <w:rPr>
                <w:lang w:val="en-US"/>
              </w:rPr>
            </w:pPr>
            <w:r w:rsidRPr="00AA7FE6">
              <w:t>0.23</w:t>
            </w:r>
          </w:p>
        </w:tc>
      </w:tr>
      <w:tr w:rsidR="00574933" w14:paraId="1F3A5777" w14:textId="31319603" w:rsidTr="00574933">
        <w:trPr>
          <w:trHeight w:val="270"/>
        </w:trPr>
        <w:tc>
          <w:tcPr>
            <w:tcW w:w="1148" w:type="dxa"/>
            <w:vAlign w:val="center"/>
          </w:tcPr>
          <w:p w14:paraId="6C462675" w14:textId="09367A5C" w:rsidR="00574933" w:rsidRPr="005D3A75" w:rsidRDefault="00574933" w:rsidP="00B42021">
            <w:pPr>
              <w:jc w:val="both"/>
              <w:rPr>
                <w:vertAlign w:val="superscript"/>
                <w:lang w:val="en-US"/>
              </w:rPr>
            </w:pPr>
            <w:r>
              <w:rPr>
                <w:b/>
              </w:rPr>
              <w:t>2</w:t>
            </w:r>
            <w:r>
              <w:rPr>
                <w:b/>
                <w:vertAlign w:val="superscript"/>
              </w:rPr>
              <w:t>Mes</w:t>
            </w:r>
          </w:p>
        </w:tc>
        <w:tc>
          <w:tcPr>
            <w:tcW w:w="1155" w:type="dxa"/>
          </w:tcPr>
          <w:p w14:paraId="4C24A8F5" w14:textId="2CA36450" w:rsidR="00574933" w:rsidRPr="004532E6" w:rsidRDefault="00574933" w:rsidP="00B42021">
            <w:pPr>
              <w:jc w:val="both"/>
            </w:pPr>
            <w:r>
              <w:t>–2.60</w:t>
            </w:r>
          </w:p>
        </w:tc>
        <w:tc>
          <w:tcPr>
            <w:tcW w:w="1161" w:type="dxa"/>
            <w:vAlign w:val="center"/>
          </w:tcPr>
          <w:p w14:paraId="5A3E58F4" w14:textId="5FB45B6E" w:rsidR="00574933" w:rsidRPr="00123E46" w:rsidRDefault="00574933" w:rsidP="00B42021">
            <w:pPr>
              <w:jc w:val="both"/>
              <w:rPr>
                <w:highlight w:val="yellow"/>
                <w:lang w:val="en-US"/>
              </w:rPr>
            </w:pPr>
            <w:r w:rsidRPr="00AA7FE6">
              <w:t>41</w:t>
            </w:r>
            <w:r w:rsidR="00B37300" w:rsidRPr="00AA7FE6">
              <w:t>9</w:t>
            </w:r>
          </w:p>
        </w:tc>
        <w:tc>
          <w:tcPr>
            <w:tcW w:w="1161" w:type="dxa"/>
            <w:vAlign w:val="center"/>
          </w:tcPr>
          <w:p w14:paraId="24E76B9F" w14:textId="43740209" w:rsidR="00574933" w:rsidRPr="001B6199" w:rsidRDefault="00574933" w:rsidP="00B42021">
            <w:pPr>
              <w:jc w:val="both"/>
              <w:rPr>
                <w:lang w:val="en-US"/>
              </w:rPr>
            </w:pPr>
            <w:r w:rsidRPr="001B6199">
              <w:t>440</w:t>
            </w:r>
          </w:p>
        </w:tc>
        <w:tc>
          <w:tcPr>
            <w:tcW w:w="1148" w:type="dxa"/>
            <w:vAlign w:val="center"/>
          </w:tcPr>
          <w:p w14:paraId="5D188A94" w14:textId="51704BBF" w:rsidR="00574933" w:rsidRDefault="00574933" w:rsidP="00B42021">
            <w:pPr>
              <w:jc w:val="both"/>
              <w:rPr>
                <w:lang w:val="en-US"/>
              </w:rPr>
            </w:pPr>
            <w:r>
              <w:rPr>
                <w:lang w:val="en-US"/>
              </w:rPr>
              <w:t>66</w:t>
            </w:r>
          </w:p>
        </w:tc>
        <w:tc>
          <w:tcPr>
            <w:tcW w:w="1214" w:type="dxa"/>
            <w:vAlign w:val="center"/>
          </w:tcPr>
          <w:p w14:paraId="1189251D" w14:textId="04A57D61" w:rsidR="00574933" w:rsidRDefault="00574933" w:rsidP="00B42021">
            <w:pPr>
              <w:jc w:val="both"/>
              <w:rPr>
                <w:lang w:val="en-US"/>
              </w:rPr>
            </w:pPr>
            <w:r w:rsidRPr="004532E6">
              <w:t>0.18</w:t>
            </w:r>
          </w:p>
        </w:tc>
      </w:tr>
    </w:tbl>
    <w:p w14:paraId="28BC741D" w14:textId="4958494A" w:rsidR="00C164C2" w:rsidRDefault="00574933" w:rsidP="00B42021">
      <w:pPr>
        <w:pStyle w:val="FETableFootnote"/>
      </w:pPr>
      <w:bookmarkStart w:id="15" w:name="_Hlk164268886"/>
      <w:proofErr w:type="spellStart"/>
      <w:r w:rsidRPr="00574933">
        <w:rPr>
          <w:i/>
          <w:vertAlign w:val="superscript"/>
        </w:rPr>
        <w:t>a</w:t>
      </w:r>
      <w:r>
        <w:t>THF</w:t>
      </w:r>
      <w:proofErr w:type="spellEnd"/>
      <w:r>
        <w:t>, [</w:t>
      </w:r>
      <w:r w:rsidRPr="00574933">
        <w:rPr>
          <w:i/>
        </w:rPr>
        <w:t>n</w:t>
      </w:r>
      <w:r>
        <w:t>Bu</w:t>
      </w:r>
      <w:r w:rsidRPr="00574933">
        <w:rPr>
          <w:vertAlign w:val="subscript"/>
        </w:rPr>
        <w:t>4</w:t>
      </w:r>
      <w:r>
        <w:t>N]</w:t>
      </w:r>
      <w:r>
        <w:rPr>
          <w:sz w:val="20"/>
          <w:szCs w:val="22"/>
        </w:rPr>
        <w:t>[</w:t>
      </w:r>
      <w:r>
        <w:t>PF</w:t>
      </w:r>
      <w:r>
        <w:rPr>
          <w:vertAlign w:val="subscript"/>
        </w:rPr>
        <w:t>6</w:t>
      </w:r>
      <w:r>
        <w:t xml:space="preserve">], vs. </w:t>
      </w:r>
      <w:proofErr w:type="spellStart"/>
      <w:r>
        <w:t>FcH</w:t>
      </w:r>
      <w:proofErr w:type="spellEnd"/>
      <w:r>
        <w:t>/</w:t>
      </w:r>
      <w:proofErr w:type="spellStart"/>
      <w:r>
        <w:t>FcH</w:t>
      </w:r>
      <w:proofErr w:type="spellEnd"/>
      <w:r>
        <w:rPr>
          <w:vertAlign w:val="superscript"/>
        </w:rPr>
        <w:t>+</w:t>
      </w:r>
      <w:r>
        <w:t>.</w:t>
      </w:r>
      <w:r w:rsidRPr="004532E6">
        <w:t xml:space="preserve"> </w:t>
      </w:r>
      <w:proofErr w:type="spellStart"/>
      <w:r>
        <w:rPr>
          <w:i/>
          <w:vertAlign w:val="superscript"/>
        </w:rPr>
        <w:t>b</w:t>
      </w:r>
      <w:r w:rsidR="001B6199" w:rsidRPr="004532E6">
        <w:t>Only</w:t>
      </w:r>
      <w:proofErr w:type="spellEnd"/>
      <w:r w:rsidR="001B6199" w:rsidRPr="004532E6">
        <w:t xml:space="preserve"> the most </w:t>
      </w:r>
      <w:proofErr w:type="spellStart"/>
      <w:r w:rsidR="001B6199" w:rsidRPr="004532E6">
        <w:t>bathochromically</w:t>
      </w:r>
      <w:proofErr w:type="spellEnd"/>
      <w:r w:rsidR="001B6199" w:rsidRPr="004532E6">
        <w:t xml:space="preserve"> shifted absorption band is given.</w:t>
      </w:r>
      <w:r w:rsidR="001B6199">
        <w:t xml:space="preserve"> </w:t>
      </w:r>
      <w:proofErr w:type="spellStart"/>
      <w:r>
        <w:rPr>
          <w:i/>
          <w:vertAlign w:val="superscript"/>
        </w:rPr>
        <w:t>c</w:t>
      </w:r>
      <w:r w:rsidR="001B6199" w:rsidRPr="004532E6">
        <w:t>Quantum</w:t>
      </w:r>
      <w:proofErr w:type="spellEnd"/>
      <w:r w:rsidR="001B6199" w:rsidRPr="004532E6">
        <w:t xml:space="preserve"> yields were determined by using a calibrated integrating sphere. </w:t>
      </w:r>
      <w:proofErr w:type="spellStart"/>
      <w:r w:rsidR="00B37300">
        <w:rPr>
          <w:i/>
          <w:vertAlign w:val="superscript"/>
        </w:rPr>
        <w:t>d</w:t>
      </w:r>
      <w:r w:rsidR="001B6199" w:rsidRPr="004532E6">
        <w:t>Full</w:t>
      </w:r>
      <w:proofErr w:type="spellEnd"/>
      <w:r w:rsidR="001B6199" w:rsidRPr="004532E6">
        <w:t>-width at half-maximum</w:t>
      </w:r>
      <w:bookmarkEnd w:id="15"/>
      <w:r w:rsidR="001B6199" w:rsidRPr="004532E6">
        <w:t xml:space="preserve">. </w:t>
      </w:r>
    </w:p>
    <w:p w14:paraId="37B771CC" w14:textId="4F527719" w:rsidR="008362DE" w:rsidRDefault="0020225E" w:rsidP="00B42021">
      <w:pPr>
        <w:jc w:val="both"/>
        <w:rPr>
          <w:lang w:val="en-US" w:eastAsia="ja-JP" w:bidi="fa-IR"/>
        </w:rPr>
      </w:pPr>
      <w:bookmarkStart w:id="16" w:name="_Hlk164266439"/>
      <w:bookmarkStart w:id="17" w:name="_Hlk159675872"/>
      <w:r w:rsidRPr="00F0537C">
        <w:rPr>
          <w:lang w:val="en-US"/>
        </w:rPr>
        <w:t>Importantly, the full-width at half-maximum values (FWHM; Table 1) measured for the emission bands of all synthesized compounds meet the standards expected for MR-TADF emitters.</w:t>
      </w:r>
      <w:r w:rsidRPr="00F0537C">
        <w:rPr>
          <w:lang w:val="en-US"/>
        </w:rPr>
        <w:fldChar w:fldCharType="begin" w:fldLock="1"/>
      </w:r>
      <w:r w:rsidRPr="00F0537C">
        <w:rPr>
          <w:lang w:val="en-US"/>
        </w:rPr>
        <w:instrText>ADDIN CSL_CITATION {"citationItems":[{"id":"ITEM-1","itemData":{"author":[{"dropping-particle":"","family":"EZ2_D","given":"","non-dropping-particle":"","parse-names":false,"suffix":""}],"id":"ITEM-1","issued":{"date-parts":[["0"]]},"title":"EZ2_D","type":"article"},"uris":["http://www.mendeley.com/documents/?uuid=d42c74eb-53af-45ff-8514-d70ec81b9f41","http://www.mendeley.com/documents/?uuid=7630fd97-a4c7-47fe-af05-a6c86f54d1c0"]}],"mendeley":{"formattedCitation":"&lt;sup&gt;29&lt;/sup&gt;","plainTextFormattedCitation":"29","previouslyFormattedCitation":"&lt;sup&gt;29&lt;/sup&gt;"},"properties":{"noteIndex":0},"schema":"https://github.com/citation-style-language/schema/raw/master/csl-citation.json"}</w:instrText>
      </w:r>
      <w:r w:rsidRPr="00F0537C">
        <w:rPr>
          <w:lang w:val="en-US"/>
        </w:rPr>
        <w:fldChar w:fldCharType="separate"/>
      </w:r>
      <w:r w:rsidRPr="00F0537C">
        <w:rPr>
          <w:vertAlign w:val="superscript"/>
          <w:lang w:val="en-US"/>
        </w:rPr>
        <w:t>29</w:t>
      </w:r>
      <w:r w:rsidRPr="00F0537C">
        <w:rPr>
          <w:lang w:val="en-US"/>
        </w:rPr>
        <w:fldChar w:fldCharType="end"/>
      </w:r>
      <w:r w:rsidRPr="00F0537C">
        <w:rPr>
          <w:lang w:val="en-US"/>
        </w:rPr>
        <w:t xml:space="preserve"> Furthermore, the transient emission-decay curves of the most extended π-electron systems </w:t>
      </w:r>
      <w:r w:rsidRPr="00F0537C">
        <w:rPr>
          <w:b/>
          <w:lang w:val="en-US"/>
        </w:rPr>
        <w:t>6</w:t>
      </w:r>
      <w:r w:rsidRPr="00F0537C">
        <w:rPr>
          <w:lang w:val="en-US"/>
        </w:rPr>
        <w:t>–</w:t>
      </w:r>
      <w:r w:rsidRPr="00F0537C">
        <w:rPr>
          <w:b/>
          <w:lang w:val="en-US"/>
        </w:rPr>
        <w:t>8</w:t>
      </w:r>
      <w:r w:rsidRPr="00F0537C">
        <w:rPr>
          <w:lang w:val="en-US"/>
        </w:rPr>
        <w:t xml:space="preserve"> show both prompt </w:t>
      </w:r>
      <w:r w:rsidRPr="00F0537C">
        <w:rPr>
          <w:lang w:val="en-US"/>
        </w:rPr>
        <w:lastRenderedPageBreak/>
        <w:t xml:space="preserve">(range: 4.2–14.8 ns) and delayed components (range: 35–136 µs; poly(methyl methacrylate) (PMMA) matrix, 0.1 </w:t>
      </w:r>
      <w:proofErr w:type="spellStart"/>
      <w:r w:rsidRPr="00F0537C">
        <w:rPr>
          <w:lang w:val="en-US"/>
        </w:rPr>
        <w:t>wt</w:t>
      </w:r>
      <w:proofErr w:type="spellEnd"/>
      <w:r w:rsidRPr="00F0537C">
        <w:rPr>
          <w:lang w:val="en-US"/>
        </w:rPr>
        <w:t>% of the respective emitter, 300 K; Table S1), suggesting TADF behavior.</w:t>
      </w:r>
    </w:p>
    <w:p w14:paraId="47C31B8B" w14:textId="77777777" w:rsidR="003B71C7" w:rsidRPr="00CF0A36" w:rsidRDefault="00021E1B" w:rsidP="003B71C7">
      <w:pPr>
        <w:jc w:val="both"/>
        <w:rPr>
          <w:rFonts w:cstheme="minorHAnsi"/>
          <w:lang w:val="en-US"/>
        </w:rPr>
      </w:pPr>
      <w:bookmarkStart w:id="18" w:name="_Hlk164266455"/>
      <w:bookmarkEnd w:id="16"/>
      <w:r w:rsidRPr="00CF0A36">
        <w:rPr>
          <w:rFonts w:cstheme="minorHAnsi"/>
          <w:lang w:val="en-US"/>
        </w:rPr>
        <w:t xml:space="preserve">Further insight into key excited-state properties of </w:t>
      </w:r>
      <w:r w:rsidRPr="00CF0A36">
        <w:rPr>
          <w:rFonts w:cstheme="minorHAnsi"/>
          <w:b/>
          <w:bCs/>
          <w:lang w:val="en-US"/>
        </w:rPr>
        <w:t>6</w:t>
      </w:r>
      <w:r w:rsidRPr="00CF0A36">
        <w:rPr>
          <w:rFonts w:cstheme="minorHAnsi"/>
          <w:lang w:val="en-US"/>
        </w:rPr>
        <w:t>–</w:t>
      </w:r>
      <w:r w:rsidRPr="00CF0A36">
        <w:rPr>
          <w:rFonts w:cstheme="minorHAnsi"/>
          <w:b/>
          <w:bCs/>
          <w:lang w:val="en-US"/>
        </w:rPr>
        <w:t>8</w:t>
      </w:r>
      <w:r w:rsidRPr="00CF0A36">
        <w:rPr>
          <w:rFonts w:cstheme="minorHAnsi"/>
          <w:lang w:val="en-US"/>
        </w:rPr>
        <w:t xml:space="preserve"> and </w:t>
      </w:r>
      <w:r w:rsidRPr="00CF0A36">
        <w:rPr>
          <w:rFonts w:cstheme="minorHAnsi"/>
          <w:b/>
          <w:bCs/>
          <w:lang w:val="en-US"/>
        </w:rPr>
        <w:t>2</w:t>
      </w:r>
      <w:r w:rsidRPr="00CF0A36">
        <w:rPr>
          <w:rFonts w:cstheme="minorHAnsi"/>
          <w:b/>
          <w:bCs/>
          <w:vertAlign w:val="superscript"/>
          <w:lang w:val="en-US"/>
        </w:rPr>
        <w:t>Mes</w:t>
      </w:r>
      <w:r w:rsidRPr="00CF0A36">
        <w:rPr>
          <w:rFonts w:cstheme="minorHAnsi"/>
          <w:lang w:val="en-US"/>
        </w:rPr>
        <w:t xml:space="preserve"> was gained by quantum-chemical calculations using the spin-component scaling second-order algebraic-diagrammatic construction (SCS-ADC(2)) method together with the def2-SVP basis set. For all four compounds, we find that the lowest excited singlet state (S</w:t>
      </w:r>
      <w:r w:rsidRPr="00CF0A36">
        <w:rPr>
          <w:rFonts w:cstheme="minorHAnsi"/>
          <w:vertAlign w:val="subscript"/>
          <w:lang w:val="en-US"/>
        </w:rPr>
        <w:t>1</w:t>
      </w:r>
      <w:r w:rsidRPr="00CF0A36">
        <w:rPr>
          <w:rFonts w:cstheme="minorHAnsi"/>
          <w:lang w:val="en-US"/>
        </w:rPr>
        <w:t>) is mostly described by a HOMO → LUMO transition (&gt; 70% weight) with considerable oscillator strength (</w:t>
      </w:r>
      <w:r w:rsidRPr="00CF0A36">
        <w:rPr>
          <w:rFonts w:cstheme="minorHAnsi"/>
          <w:i/>
          <w:lang w:val="en-US"/>
        </w:rPr>
        <w:t>f</w:t>
      </w:r>
      <w:r w:rsidRPr="00CF0A36">
        <w:rPr>
          <w:rFonts w:cstheme="minorHAnsi"/>
          <w:lang w:val="en-US"/>
        </w:rPr>
        <w:t xml:space="preserve"> &gt; 0.1; </w:t>
      </w:r>
      <w:r w:rsidRPr="00CF0A36">
        <w:rPr>
          <w:rFonts w:cstheme="minorHAnsi"/>
          <w:bCs/>
          <w:lang w:val="en-US"/>
        </w:rPr>
        <w:t>Table S8</w:t>
      </w:r>
      <w:r w:rsidRPr="00CF0A36">
        <w:rPr>
          <w:rFonts w:cstheme="minorHAnsi"/>
          <w:lang w:val="en-US"/>
        </w:rPr>
        <w:t xml:space="preserve"> and </w:t>
      </w:r>
      <w:r w:rsidRPr="00CF0A36">
        <w:rPr>
          <w:rFonts w:cstheme="minorHAnsi"/>
          <w:bCs/>
          <w:lang w:val="en-US"/>
        </w:rPr>
        <w:t>Fig. S69</w:t>
      </w:r>
      <w:r w:rsidRPr="00CF0A36">
        <w:rPr>
          <w:rFonts w:cstheme="minorHAnsi"/>
          <w:lang w:val="en-US"/>
        </w:rPr>
        <w:t>). The trend in computed S</w:t>
      </w:r>
      <w:r w:rsidRPr="00CF0A36">
        <w:rPr>
          <w:rFonts w:cstheme="minorHAnsi"/>
          <w:vertAlign w:val="subscript"/>
          <w:lang w:val="en-US"/>
        </w:rPr>
        <w:t>1</w:t>
      </w:r>
      <w:r w:rsidRPr="00CF0A36">
        <w:rPr>
          <w:rFonts w:cstheme="minorHAnsi"/>
          <w:lang w:val="en-US"/>
        </w:rPr>
        <w:t xml:space="preserve"> energies follows the one experimentally observed in the electronic spectra, with a decrease in energy along the sequence </w:t>
      </w:r>
      <w:r w:rsidRPr="00CF0A36">
        <w:rPr>
          <w:rFonts w:cstheme="minorHAnsi"/>
          <w:b/>
          <w:bCs/>
          <w:lang w:val="en-US"/>
        </w:rPr>
        <w:t>2</w:t>
      </w:r>
      <w:r w:rsidRPr="00CF0A36">
        <w:rPr>
          <w:rFonts w:cstheme="minorHAnsi"/>
          <w:b/>
          <w:bCs/>
          <w:vertAlign w:val="superscript"/>
          <w:lang w:val="en-US"/>
        </w:rPr>
        <w:t>Mes</w:t>
      </w:r>
      <w:r w:rsidRPr="00CF0A36">
        <w:rPr>
          <w:rFonts w:cstheme="minorHAnsi"/>
          <w:lang w:val="en-US"/>
        </w:rPr>
        <w:t xml:space="preserve"> → </w:t>
      </w:r>
      <w:r w:rsidRPr="00CF0A36">
        <w:rPr>
          <w:rFonts w:cstheme="minorHAnsi"/>
          <w:b/>
          <w:bCs/>
          <w:lang w:val="en-US"/>
        </w:rPr>
        <w:t xml:space="preserve">6 </w:t>
      </w:r>
      <w:r w:rsidRPr="00CF0A36">
        <w:rPr>
          <w:rFonts w:cstheme="minorHAnsi"/>
          <w:lang w:val="en-US"/>
        </w:rPr>
        <w:t xml:space="preserve">→ </w:t>
      </w:r>
      <w:r w:rsidRPr="00CF0A36">
        <w:rPr>
          <w:rFonts w:cstheme="minorHAnsi"/>
          <w:b/>
          <w:bCs/>
          <w:lang w:val="en-US"/>
        </w:rPr>
        <w:t xml:space="preserve">7 </w:t>
      </w:r>
      <w:r w:rsidRPr="00CF0A36">
        <w:rPr>
          <w:rFonts w:cstheme="minorHAnsi"/>
          <w:lang w:val="en-US"/>
        </w:rPr>
        <w:t xml:space="preserve">→ </w:t>
      </w:r>
      <w:r w:rsidRPr="00CF0A36">
        <w:rPr>
          <w:rFonts w:cstheme="minorHAnsi"/>
          <w:b/>
          <w:bCs/>
          <w:lang w:val="en-US"/>
        </w:rPr>
        <w:t>8</w:t>
      </w:r>
      <w:r w:rsidRPr="00CF0A36">
        <w:rPr>
          <w:rFonts w:cstheme="minorHAnsi"/>
          <w:lang w:val="en-US"/>
        </w:rPr>
        <w:t>. The lowest excited triplet state (T</w:t>
      </w:r>
      <w:r w:rsidRPr="00CF0A36">
        <w:rPr>
          <w:rFonts w:cstheme="minorHAnsi"/>
          <w:vertAlign w:val="subscript"/>
          <w:lang w:val="en-US"/>
        </w:rPr>
        <w:t>1</w:t>
      </w:r>
      <w:r w:rsidRPr="00CF0A36">
        <w:rPr>
          <w:rFonts w:cstheme="minorHAnsi"/>
          <w:lang w:val="en-US"/>
        </w:rPr>
        <w:t xml:space="preserve">) is also predominantly described by a HOMO → LUMO transition for all compounds except for molecule </w:t>
      </w:r>
      <w:r w:rsidRPr="00CF0A36">
        <w:rPr>
          <w:rFonts w:cstheme="minorHAnsi"/>
          <w:b/>
          <w:bCs/>
          <w:lang w:val="en-US"/>
        </w:rPr>
        <w:t>6</w:t>
      </w:r>
      <w:r w:rsidRPr="00CF0A36">
        <w:rPr>
          <w:rFonts w:cstheme="minorHAnsi"/>
          <w:lang w:val="en-US"/>
        </w:rPr>
        <w:t>, where T</w:t>
      </w:r>
      <w:r w:rsidRPr="00CF0A36">
        <w:rPr>
          <w:rFonts w:cstheme="minorHAnsi"/>
          <w:vertAlign w:val="subscript"/>
          <w:lang w:val="en-US"/>
        </w:rPr>
        <w:t>1</w:t>
      </w:r>
      <w:r w:rsidRPr="00CF0A36">
        <w:rPr>
          <w:rFonts w:cstheme="minorHAnsi"/>
          <w:lang w:val="en-US"/>
        </w:rPr>
        <w:t xml:space="preserve"> is mainly described by a HOMO → LUMO+1 transition (85% weight). In addition, all molecules exhibit short-range charge-transfer (SRCT) excited states that are characterized by an alternating pattern of increasing and decreasing electron density on adjacent atoms, which is a typical feature of multiple resonance TADF compounds. The CT character of an excited state can be quantified by analyzing the CT distance (</w:t>
      </w:r>
      <w:proofErr w:type="spellStart"/>
      <w:r w:rsidRPr="00CF0A36">
        <w:rPr>
          <w:rFonts w:cstheme="minorHAnsi"/>
          <w:lang w:val="en-US"/>
        </w:rPr>
        <w:t>d</w:t>
      </w:r>
      <w:r w:rsidRPr="00CF0A36">
        <w:rPr>
          <w:rFonts w:cstheme="minorHAnsi"/>
          <w:vertAlign w:val="subscript"/>
          <w:lang w:val="en-US"/>
        </w:rPr>
        <w:t>CT</w:t>
      </w:r>
      <w:proofErr w:type="spellEnd"/>
      <w:r w:rsidRPr="00CF0A36">
        <w:rPr>
          <w:rFonts w:cstheme="minorHAnsi"/>
          <w:lang w:val="en-US"/>
        </w:rPr>
        <w:t>) between the positive and negative electron density variation (</w:t>
      </w:r>
      <w:proofErr w:type="spellStart"/>
      <w:r w:rsidRPr="00CF0A36">
        <w:rPr>
          <w:rFonts w:cstheme="minorHAnsi"/>
          <w:lang w:val="en-US"/>
        </w:rPr>
        <w:t>Δρ</w:t>
      </w:r>
      <w:proofErr w:type="spellEnd"/>
      <w:r w:rsidRPr="00CF0A36">
        <w:rPr>
          <w:rFonts w:cstheme="minorHAnsi"/>
          <w:lang w:val="en-US"/>
        </w:rPr>
        <w:t>) and the charge transferred upon excitation (</w:t>
      </w:r>
      <w:proofErr w:type="spellStart"/>
      <w:r w:rsidRPr="00CF0A36">
        <w:rPr>
          <w:rFonts w:cstheme="minorHAnsi"/>
          <w:lang w:val="en-US"/>
        </w:rPr>
        <w:t>q</w:t>
      </w:r>
      <w:r w:rsidRPr="00CF0A36">
        <w:rPr>
          <w:rFonts w:cstheme="minorHAnsi"/>
          <w:vertAlign w:val="subscript"/>
          <w:lang w:val="en-US"/>
        </w:rPr>
        <w:t>CT</w:t>
      </w:r>
      <w:proofErr w:type="spellEnd"/>
      <w:r w:rsidRPr="00CF0A36">
        <w:rPr>
          <w:rFonts w:cstheme="minorHAnsi"/>
          <w:lang w:val="en-US"/>
        </w:rPr>
        <w:t xml:space="preserve">). The computed </w:t>
      </w:r>
      <w:proofErr w:type="spellStart"/>
      <w:r w:rsidRPr="00CF0A36">
        <w:rPr>
          <w:rFonts w:cstheme="minorHAnsi"/>
          <w:lang w:val="en-US"/>
        </w:rPr>
        <w:t>d</w:t>
      </w:r>
      <w:r w:rsidRPr="00CF0A36">
        <w:rPr>
          <w:rFonts w:cstheme="minorHAnsi"/>
          <w:vertAlign w:val="subscript"/>
          <w:lang w:val="en-US"/>
        </w:rPr>
        <w:t>CT</w:t>
      </w:r>
      <w:proofErr w:type="spellEnd"/>
      <w:r w:rsidRPr="00CF0A36">
        <w:rPr>
          <w:rFonts w:cstheme="minorHAnsi"/>
          <w:lang w:val="en-US"/>
        </w:rPr>
        <w:t xml:space="preserve"> for </w:t>
      </w:r>
      <w:r w:rsidRPr="00CF0A36">
        <w:rPr>
          <w:rFonts w:cstheme="minorHAnsi"/>
          <w:b/>
          <w:bCs/>
          <w:lang w:val="en-US"/>
        </w:rPr>
        <w:t>6</w:t>
      </w:r>
      <w:r w:rsidRPr="00CF0A36">
        <w:rPr>
          <w:rFonts w:cstheme="minorHAnsi"/>
          <w:lang w:val="en-US"/>
        </w:rPr>
        <w:t xml:space="preserve"> has the lowest value of ≈ 0.80 Å for both the S</w:t>
      </w:r>
      <w:r w:rsidRPr="00CF0A36">
        <w:rPr>
          <w:rFonts w:cstheme="minorHAnsi"/>
          <w:vertAlign w:val="subscript"/>
          <w:lang w:val="en-US"/>
        </w:rPr>
        <w:t>1</w:t>
      </w:r>
      <w:r w:rsidRPr="00CF0A36">
        <w:rPr>
          <w:rFonts w:cstheme="minorHAnsi"/>
          <w:lang w:val="en-US"/>
        </w:rPr>
        <w:t xml:space="preserve"> and the T</w:t>
      </w:r>
      <w:r w:rsidRPr="00CF0A36">
        <w:rPr>
          <w:rFonts w:cstheme="minorHAnsi"/>
          <w:vertAlign w:val="subscript"/>
          <w:lang w:val="en-US"/>
        </w:rPr>
        <w:t>1</w:t>
      </w:r>
      <w:r w:rsidRPr="00CF0A36">
        <w:rPr>
          <w:rFonts w:cstheme="minorHAnsi"/>
          <w:lang w:val="en-US"/>
        </w:rPr>
        <w:t xml:space="preserve"> state; </w:t>
      </w:r>
      <w:proofErr w:type="spellStart"/>
      <w:r w:rsidRPr="00CF0A36">
        <w:rPr>
          <w:rFonts w:cstheme="minorHAnsi"/>
          <w:lang w:val="en-US"/>
        </w:rPr>
        <w:t>d</w:t>
      </w:r>
      <w:r w:rsidRPr="00CF0A36">
        <w:rPr>
          <w:rFonts w:cstheme="minorHAnsi"/>
          <w:vertAlign w:val="subscript"/>
          <w:lang w:val="en-US"/>
        </w:rPr>
        <w:t>CT</w:t>
      </w:r>
      <w:proofErr w:type="spellEnd"/>
      <w:r w:rsidRPr="00CF0A36">
        <w:rPr>
          <w:rFonts w:cstheme="minorHAnsi"/>
          <w:lang w:val="en-US"/>
        </w:rPr>
        <w:t xml:space="preserve"> increases to 2.35 Å (1.86 Å) for S</w:t>
      </w:r>
      <w:r w:rsidRPr="00CF0A36">
        <w:rPr>
          <w:rFonts w:cstheme="minorHAnsi"/>
          <w:vertAlign w:val="subscript"/>
          <w:lang w:val="en-US"/>
        </w:rPr>
        <w:t>1</w:t>
      </w:r>
      <w:r w:rsidRPr="00CF0A36">
        <w:rPr>
          <w:rFonts w:cstheme="minorHAnsi"/>
          <w:lang w:val="en-US"/>
        </w:rPr>
        <w:t xml:space="preserve"> (T</w:t>
      </w:r>
      <w:r w:rsidRPr="00CF0A36">
        <w:rPr>
          <w:rFonts w:cstheme="minorHAnsi"/>
          <w:vertAlign w:val="subscript"/>
          <w:lang w:val="en-US"/>
        </w:rPr>
        <w:t>1</w:t>
      </w:r>
      <w:r w:rsidRPr="00CF0A36">
        <w:rPr>
          <w:rFonts w:cstheme="minorHAnsi"/>
          <w:lang w:val="en-US"/>
        </w:rPr>
        <w:t xml:space="preserve">) in </w:t>
      </w:r>
      <w:r w:rsidRPr="00CF0A36">
        <w:rPr>
          <w:rFonts w:cstheme="minorHAnsi"/>
          <w:b/>
          <w:bCs/>
          <w:lang w:val="en-US"/>
        </w:rPr>
        <w:t>7</w:t>
      </w:r>
      <w:r w:rsidRPr="00CF0A36">
        <w:rPr>
          <w:rFonts w:cstheme="minorHAnsi"/>
          <w:lang w:val="en-US"/>
        </w:rPr>
        <w:t xml:space="preserve"> and 2.45 Å (2.13 Å) for S</w:t>
      </w:r>
      <w:r w:rsidRPr="00CF0A36">
        <w:rPr>
          <w:rFonts w:cstheme="minorHAnsi"/>
          <w:vertAlign w:val="subscript"/>
          <w:lang w:val="en-US"/>
        </w:rPr>
        <w:t>1</w:t>
      </w:r>
      <w:r w:rsidRPr="00CF0A36">
        <w:rPr>
          <w:rFonts w:cstheme="minorHAnsi"/>
          <w:lang w:val="en-US"/>
        </w:rPr>
        <w:t xml:space="preserve"> (T</w:t>
      </w:r>
      <w:r w:rsidRPr="00CF0A36">
        <w:rPr>
          <w:rFonts w:cstheme="minorHAnsi"/>
          <w:vertAlign w:val="subscript"/>
          <w:lang w:val="en-US"/>
        </w:rPr>
        <w:t>1</w:t>
      </w:r>
      <w:r w:rsidRPr="00CF0A36">
        <w:rPr>
          <w:rFonts w:cstheme="minorHAnsi"/>
          <w:lang w:val="en-US"/>
        </w:rPr>
        <w:t xml:space="preserve">) in </w:t>
      </w:r>
      <w:r w:rsidRPr="00CF0A36">
        <w:rPr>
          <w:rFonts w:cstheme="minorHAnsi"/>
          <w:b/>
          <w:bCs/>
          <w:lang w:val="en-US"/>
        </w:rPr>
        <w:t>8</w:t>
      </w:r>
      <w:r w:rsidRPr="00CF0A36">
        <w:rPr>
          <w:rFonts w:cstheme="minorHAnsi"/>
          <w:bCs/>
          <w:lang w:val="en-US"/>
        </w:rPr>
        <w:t>,</w:t>
      </w:r>
      <w:r w:rsidRPr="00CF0A36">
        <w:rPr>
          <w:rFonts w:cstheme="minorHAnsi"/>
          <w:lang w:val="en-US"/>
        </w:rPr>
        <w:t xml:space="preserve"> likely due to increased π conjugation (Table S9). These results point toward a larger CT character for </w:t>
      </w:r>
      <w:r w:rsidRPr="00CF0A36">
        <w:rPr>
          <w:rFonts w:cstheme="minorHAnsi"/>
          <w:b/>
          <w:bCs/>
          <w:lang w:val="en-US"/>
        </w:rPr>
        <w:t>7</w:t>
      </w:r>
      <w:r w:rsidRPr="00CF0A36">
        <w:rPr>
          <w:rFonts w:cstheme="minorHAnsi"/>
          <w:lang w:val="en-US"/>
        </w:rPr>
        <w:t xml:space="preserve"> and </w:t>
      </w:r>
      <w:r w:rsidRPr="00CF0A36">
        <w:rPr>
          <w:rFonts w:cstheme="minorHAnsi"/>
          <w:b/>
          <w:bCs/>
          <w:lang w:val="en-US"/>
        </w:rPr>
        <w:t>8</w:t>
      </w:r>
      <w:r w:rsidRPr="00CF0A36">
        <w:rPr>
          <w:rFonts w:cstheme="minorHAnsi"/>
          <w:lang w:val="en-US"/>
        </w:rPr>
        <w:t xml:space="preserve"> as compared to </w:t>
      </w:r>
      <w:r w:rsidRPr="00CF0A36">
        <w:rPr>
          <w:rFonts w:cstheme="minorHAnsi"/>
          <w:b/>
          <w:bCs/>
          <w:lang w:val="en-US"/>
        </w:rPr>
        <w:t>6</w:t>
      </w:r>
      <w:r w:rsidRPr="00CF0A36">
        <w:rPr>
          <w:rFonts w:cstheme="minorHAnsi"/>
          <w:bCs/>
          <w:lang w:val="en-US"/>
        </w:rPr>
        <w:t>.</w:t>
      </w:r>
      <w:r w:rsidRPr="00CF0A36">
        <w:rPr>
          <w:rFonts w:cstheme="minorHAnsi"/>
          <w:lang w:val="en-US"/>
        </w:rPr>
        <w:t xml:space="preserve"> For </w:t>
      </w:r>
      <w:r w:rsidRPr="00CF0A36">
        <w:rPr>
          <w:rFonts w:cstheme="minorHAnsi"/>
          <w:b/>
          <w:bCs/>
          <w:lang w:val="en-US"/>
        </w:rPr>
        <w:t>2</w:t>
      </w:r>
      <w:r w:rsidRPr="00CF0A36">
        <w:rPr>
          <w:rFonts w:cstheme="minorHAnsi"/>
          <w:b/>
          <w:bCs/>
          <w:vertAlign w:val="superscript"/>
          <w:lang w:val="en-US"/>
        </w:rPr>
        <w:t>Mes</w:t>
      </w:r>
      <w:r w:rsidRPr="00CF0A36">
        <w:rPr>
          <w:rFonts w:cstheme="minorHAnsi"/>
          <w:bCs/>
          <w:lang w:val="en-US"/>
        </w:rPr>
        <w:t>,</w:t>
      </w:r>
      <w:r w:rsidRPr="00CF0A36">
        <w:rPr>
          <w:rFonts w:cstheme="minorHAnsi"/>
          <w:lang w:val="en-US"/>
        </w:rPr>
        <w:t xml:space="preserve"> </w:t>
      </w:r>
      <w:proofErr w:type="spellStart"/>
      <w:r w:rsidRPr="00CF0A36">
        <w:rPr>
          <w:rFonts w:cstheme="minorHAnsi"/>
          <w:lang w:val="en-US"/>
        </w:rPr>
        <w:t>d</w:t>
      </w:r>
      <w:r w:rsidRPr="00CF0A36">
        <w:rPr>
          <w:rFonts w:cstheme="minorHAnsi"/>
          <w:vertAlign w:val="subscript"/>
          <w:lang w:val="en-US"/>
        </w:rPr>
        <w:t>CT</w:t>
      </w:r>
      <w:proofErr w:type="spellEnd"/>
      <w:r w:rsidRPr="00CF0A36">
        <w:rPr>
          <w:rFonts w:cstheme="minorHAnsi"/>
          <w:lang w:val="en-US"/>
        </w:rPr>
        <w:t xml:space="preserve"> is intermediate [S</w:t>
      </w:r>
      <w:r w:rsidRPr="00CF0A36">
        <w:rPr>
          <w:rFonts w:cstheme="minorHAnsi"/>
          <w:vertAlign w:val="subscript"/>
          <w:lang w:val="en-US"/>
        </w:rPr>
        <w:t>1</w:t>
      </w:r>
      <w:r w:rsidRPr="00CF0A36">
        <w:rPr>
          <w:rFonts w:cstheme="minorHAnsi"/>
          <w:lang w:val="en-US"/>
        </w:rPr>
        <w:t xml:space="preserve"> (T</w:t>
      </w:r>
      <w:r w:rsidRPr="00CF0A36">
        <w:rPr>
          <w:rFonts w:cstheme="minorHAnsi"/>
          <w:vertAlign w:val="subscript"/>
          <w:lang w:val="en-US"/>
        </w:rPr>
        <w:t>1</w:t>
      </w:r>
      <w:r w:rsidRPr="00CF0A36">
        <w:rPr>
          <w:rFonts w:cstheme="minorHAnsi"/>
          <w:lang w:val="en-US"/>
        </w:rPr>
        <w:t>): 1.85 Å (1.63 Å)].</w:t>
      </w:r>
      <w:r w:rsidR="001475D2" w:rsidRPr="00CF0A36">
        <w:rPr>
          <w:rFonts w:eastAsiaTheme="minorEastAsia" w:cstheme="minorHAnsi"/>
          <w:lang w:val="en-US" w:eastAsia="ja-JP" w:bidi="fa-IR"/>
        </w:rPr>
        <w:t xml:space="preserve"> </w:t>
      </w:r>
      <w:r w:rsidR="003B71C7" w:rsidRPr="00CF0A36">
        <w:rPr>
          <w:rFonts w:cstheme="minorHAnsi"/>
          <w:lang w:val="en-US"/>
        </w:rPr>
        <w:t xml:space="preserve">Excited states with large </w:t>
      </w:r>
      <w:proofErr w:type="spellStart"/>
      <w:r w:rsidR="003B71C7" w:rsidRPr="00CF0A36">
        <w:rPr>
          <w:rFonts w:cstheme="minorHAnsi"/>
          <w:lang w:val="en-US"/>
        </w:rPr>
        <w:t>q</w:t>
      </w:r>
      <w:r w:rsidR="003B71C7" w:rsidRPr="00CF0A36">
        <w:rPr>
          <w:rFonts w:cstheme="minorHAnsi"/>
          <w:vertAlign w:val="subscript"/>
          <w:lang w:val="en-US"/>
        </w:rPr>
        <w:t>CT</w:t>
      </w:r>
      <w:proofErr w:type="spellEnd"/>
      <w:r w:rsidR="003B71C7" w:rsidRPr="00CF0A36">
        <w:rPr>
          <w:rFonts w:cstheme="minorHAnsi"/>
          <w:lang w:val="en-US"/>
        </w:rPr>
        <w:t xml:space="preserve"> and/or large </w:t>
      </w:r>
      <w:proofErr w:type="spellStart"/>
      <w:r w:rsidR="003B71C7" w:rsidRPr="00CF0A36">
        <w:rPr>
          <w:rFonts w:cstheme="minorHAnsi"/>
          <w:lang w:val="en-US"/>
        </w:rPr>
        <w:t>d</w:t>
      </w:r>
      <w:r w:rsidR="003B71C7" w:rsidRPr="00CF0A36">
        <w:rPr>
          <w:rFonts w:cstheme="minorHAnsi"/>
          <w:vertAlign w:val="subscript"/>
          <w:lang w:val="en-US"/>
        </w:rPr>
        <w:t>CT</w:t>
      </w:r>
      <w:proofErr w:type="spellEnd"/>
      <w:r w:rsidR="003B71C7" w:rsidRPr="00CF0A36">
        <w:rPr>
          <w:rFonts w:cstheme="minorHAnsi"/>
          <w:lang w:val="en-US"/>
        </w:rPr>
        <w:t xml:space="preserve"> are expected to be more strongly influenced by solvent effects. In line with this expectation and the computed </w:t>
      </w:r>
      <w:proofErr w:type="spellStart"/>
      <w:r w:rsidR="003B71C7" w:rsidRPr="00CF0A36">
        <w:rPr>
          <w:rFonts w:cstheme="minorHAnsi"/>
          <w:lang w:val="en-US"/>
        </w:rPr>
        <w:t>d</w:t>
      </w:r>
      <w:r w:rsidR="003B71C7" w:rsidRPr="00CF0A36">
        <w:rPr>
          <w:rFonts w:cstheme="minorHAnsi"/>
          <w:vertAlign w:val="subscript"/>
          <w:lang w:val="en-US"/>
        </w:rPr>
        <w:t>CT</w:t>
      </w:r>
      <w:proofErr w:type="spellEnd"/>
      <w:r w:rsidR="003B71C7" w:rsidRPr="00CF0A36">
        <w:rPr>
          <w:rFonts w:cstheme="minorHAnsi"/>
          <w:lang w:val="en-US"/>
        </w:rPr>
        <w:t xml:space="preserve"> values, a comparison of the calculated gas-phase emission spectra and our experimentally obtained spectra (THF, relative permittivity </w:t>
      </w:r>
      <w:r w:rsidR="003B71C7" w:rsidRPr="00CF0A36">
        <w:rPr>
          <w:rFonts w:cstheme="minorHAnsi"/>
          <w:i/>
          <w:lang w:val="en-US"/>
        </w:rPr>
        <w:sym w:font="Symbol" w:char="F065"/>
      </w:r>
      <w:r w:rsidR="003B71C7" w:rsidRPr="00CF0A36">
        <w:rPr>
          <w:rFonts w:cstheme="minorHAnsi"/>
          <w:lang w:val="en-US"/>
        </w:rPr>
        <w:t xml:space="preserve"> = 7.58 at </w:t>
      </w:r>
      <w:r w:rsidR="003B71C7" w:rsidRPr="00CF0A36">
        <w:rPr>
          <w:rFonts w:cstheme="minorHAnsi"/>
          <w:i/>
          <w:lang w:val="en-US"/>
        </w:rPr>
        <w:t>T</w:t>
      </w:r>
      <w:r w:rsidR="003B71C7" w:rsidRPr="00CF0A36">
        <w:rPr>
          <w:rFonts w:cstheme="minorHAnsi"/>
          <w:lang w:val="en-US"/>
        </w:rPr>
        <w:t xml:space="preserve"> = 298.15 K)</w:t>
      </w:r>
      <w:r w:rsidR="003B71C7" w:rsidRPr="00CF0A36">
        <w:rPr>
          <w:rFonts w:cstheme="minorHAnsi"/>
          <w:vertAlign w:val="superscript"/>
          <w:lang w:val="en-US"/>
        </w:rPr>
        <w:t>30</w:t>
      </w:r>
      <w:r w:rsidR="003B71C7" w:rsidRPr="00CF0A36">
        <w:rPr>
          <w:rFonts w:cstheme="minorHAnsi"/>
          <w:lang w:val="en-US"/>
        </w:rPr>
        <w:t xml:space="preserve"> shows the smallest solvent-induced red-shift for </w:t>
      </w:r>
      <w:r w:rsidR="003B71C7" w:rsidRPr="00CF0A36">
        <w:rPr>
          <w:rFonts w:cstheme="minorHAnsi"/>
          <w:b/>
          <w:bCs/>
          <w:lang w:val="en-US"/>
        </w:rPr>
        <w:t>6</w:t>
      </w:r>
      <w:r w:rsidR="003B71C7" w:rsidRPr="00CF0A36">
        <w:rPr>
          <w:rFonts w:cstheme="minorHAnsi"/>
          <w:bCs/>
          <w:lang w:val="en-US"/>
        </w:rPr>
        <w:t>,</w:t>
      </w:r>
      <w:r w:rsidR="003B71C7" w:rsidRPr="00CF0A36">
        <w:rPr>
          <w:rFonts w:cstheme="minorHAnsi"/>
          <w:lang w:val="en-US"/>
        </w:rPr>
        <w:t xml:space="preserve"> followed by </w:t>
      </w:r>
      <w:r w:rsidR="003B71C7" w:rsidRPr="00CF0A36">
        <w:rPr>
          <w:rFonts w:cstheme="minorHAnsi"/>
          <w:b/>
          <w:bCs/>
          <w:lang w:val="en-US"/>
        </w:rPr>
        <w:t>2</w:t>
      </w:r>
      <w:r w:rsidR="003B71C7" w:rsidRPr="00CF0A36">
        <w:rPr>
          <w:rFonts w:cstheme="minorHAnsi"/>
          <w:b/>
          <w:bCs/>
          <w:vertAlign w:val="superscript"/>
          <w:lang w:val="en-US"/>
        </w:rPr>
        <w:t>Mes</w:t>
      </w:r>
      <w:r w:rsidR="003B71C7" w:rsidRPr="00CF0A36">
        <w:rPr>
          <w:rFonts w:cstheme="minorHAnsi"/>
          <w:bCs/>
          <w:lang w:val="en-US"/>
        </w:rPr>
        <w:t>,</w:t>
      </w:r>
      <w:r w:rsidR="003B71C7" w:rsidRPr="00CF0A36">
        <w:rPr>
          <w:rFonts w:cstheme="minorHAnsi"/>
          <w:lang w:val="en-US"/>
        </w:rPr>
        <w:t xml:space="preserve"> </w:t>
      </w:r>
      <w:r w:rsidR="003B71C7" w:rsidRPr="00CF0A36">
        <w:rPr>
          <w:rFonts w:cstheme="minorHAnsi"/>
          <w:b/>
          <w:bCs/>
          <w:lang w:val="en-US"/>
        </w:rPr>
        <w:t>7</w:t>
      </w:r>
      <w:r w:rsidR="003B71C7" w:rsidRPr="00CF0A36">
        <w:rPr>
          <w:rFonts w:cstheme="minorHAnsi"/>
          <w:bCs/>
          <w:lang w:val="en-US"/>
        </w:rPr>
        <w:t>,</w:t>
      </w:r>
      <w:r w:rsidR="003B71C7" w:rsidRPr="00CF0A36">
        <w:rPr>
          <w:rFonts w:cstheme="minorHAnsi"/>
          <w:lang w:val="en-US"/>
        </w:rPr>
        <w:t xml:space="preserve"> and </w:t>
      </w:r>
      <w:r w:rsidR="003B71C7" w:rsidRPr="00CF0A36">
        <w:rPr>
          <w:rFonts w:cstheme="minorHAnsi"/>
          <w:b/>
          <w:bCs/>
          <w:lang w:val="en-US"/>
        </w:rPr>
        <w:t xml:space="preserve">8 </w:t>
      </w:r>
      <w:r w:rsidR="003B71C7" w:rsidRPr="00CF0A36">
        <w:rPr>
          <w:rFonts w:cstheme="minorHAnsi"/>
          <w:bCs/>
          <w:lang w:val="en-US"/>
        </w:rPr>
        <w:t xml:space="preserve">(Fig. S70 and Table 1). </w:t>
      </w:r>
      <w:r w:rsidR="003B71C7" w:rsidRPr="00CF0A36">
        <w:rPr>
          <w:rFonts w:cstheme="minorHAnsi"/>
          <w:lang w:val="en-US"/>
        </w:rPr>
        <w:t>The vertical energy gap between the S</w:t>
      </w:r>
      <w:r w:rsidR="003B71C7" w:rsidRPr="00CF0A36">
        <w:rPr>
          <w:rFonts w:cstheme="minorHAnsi"/>
          <w:vertAlign w:val="subscript"/>
          <w:lang w:val="en-US"/>
        </w:rPr>
        <w:t>1</w:t>
      </w:r>
      <w:r w:rsidR="003B71C7" w:rsidRPr="00CF0A36">
        <w:rPr>
          <w:rFonts w:cstheme="minorHAnsi"/>
          <w:lang w:val="en-US"/>
        </w:rPr>
        <w:t xml:space="preserve"> and T</w:t>
      </w:r>
      <w:r w:rsidR="003B71C7" w:rsidRPr="00CF0A36">
        <w:rPr>
          <w:rFonts w:cstheme="minorHAnsi"/>
          <w:vertAlign w:val="subscript"/>
          <w:lang w:val="en-US"/>
        </w:rPr>
        <w:t>1</w:t>
      </w:r>
      <w:r w:rsidR="003B71C7" w:rsidRPr="00CF0A36">
        <w:rPr>
          <w:rFonts w:cstheme="minorHAnsi"/>
          <w:lang w:val="en-US"/>
        </w:rPr>
        <w:t xml:space="preserve"> states (Δ</w:t>
      </w:r>
      <w:r w:rsidR="003B71C7" w:rsidRPr="00CF0A36">
        <w:rPr>
          <w:rFonts w:cstheme="minorHAnsi"/>
          <w:i/>
          <w:lang w:val="en-US"/>
        </w:rPr>
        <w:t>E</w:t>
      </w:r>
      <w:r w:rsidR="003B71C7" w:rsidRPr="00CF0A36">
        <w:rPr>
          <w:rFonts w:cstheme="minorHAnsi"/>
          <w:vertAlign w:val="subscript"/>
          <w:lang w:val="en-US"/>
        </w:rPr>
        <w:t>ST</w:t>
      </w:r>
      <w:r w:rsidR="003B71C7" w:rsidRPr="00CF0A36">
        <w:rPr>
          <w:rFonts w:cstheme="minorHAnsi"/>
          <w:lang w:val="en-US"/>
        </w:rPr>
        <w:t xml:space="preserve">) is predicted to be small for compounds </w:t>
      </w:r>
      <w:r w:rsidR="003B71C7" w:rsidRPr="00CF0A36">
        <w:rPr>
          <w:rFonts w:cstheme="minorHAnsi"/>
          <w:b/>
          <w:bCs/>
          <w:lang w:val="en-US"/>
        </w:rPr>
        <w:t>6</w:t>
      </w:r>
      <w:r w:rsidR="003B71C7" w:rsidRPr="00CF0A36">
        <w:rPr>
          <w:rFonts w:cstheme="minorHAnsi"/>
          <w:lang w:val="en-US"/>
        </w:rPr>
        <w:t xml:space="preserve"> (0.06 eV), </w:t>
      </w:r>
      <w:r w:rsidR="003B71C7" w:rsidRPr="00CF0A36">
        <w:rPr>
          <w:rFonts w:cstheme="minorHAnsi"/>
          <w:b/>
          <w:bCs/>
          <w:lang w:val="en-US"/>
        </w:rPr>
        <w:t>7</w:t>
      </w:r>
      <w:r w:rsidR="003B71C7" w:rsidRPr="00CF0A36">
        <w:rPr>
          <w:rFonts w:cstheme="minorHAnsi"/>
          <w:lang w:val="en-US"/>
        </w:rPr>
        <w:t xml:space="preserve"> (0.15 eV), and </w:t>
      </w:r>
      <w:r w:rsidR="003B71C7" w:rsidRPr="00CF0A36">
        <w:rPr>
          <w:rFonts w:cstheme="minorHAnsi"/>
          <w:b/>
          <w:bCs/>
          <w:lang w:val="en-US"/>
        </w:rPr>
        <w:t>8</w:t>
      </w:r>
      <w:r w:rsidR="003B71C7" w:rsidRPr="00CF0A36">
        <w:rPr>
          <w:rFonts w:cstheme="minorHAnsi"/>
          <w:lang w:val="en-US"/>
        </w:rPr>
        <w:t xml:space="preserve"> (0.12 eV), but slightly larger for </w:t>
      </w:r>
      <w:r w:rsidR="003B71C7" w:rsidRPr="00CF0A36">
        <w:rPr>
          <w:rFonts w:cstheme="minorHAnsi"/>
          <w:b/>
          <w:bCs/>
          <w:lang w:val="en-US"/>
        </w:rPr>
        <w:t>2</w:t>
      </w:r>
      <w:r w:rsidR="003B71C7" w:rsidRPr="00CF0A36">
        <w:rPr>
          <w:rFonts w:cstheme="minorHAnsi"/>
          <w:b/>
          <w:bCs/>
          <w:vertAlign w:val="superscript"/>
          <w:lang w:val="en-US"/>
        </w:rPr>
        <w:t>Mes</w:t>
      </w:r>
      <w:r w:rsidR="003B71C7" w:rsidRPr="00CF0A36">
        <w:rPr>
          <w:rFonts w:cstheme="minorHAnsi"/>
          <w:lang w:val="en-US"/>
        </w:rPr>
        <w:t xml:space="preserve"> (0.27 eV; Table S8). The adiabatic Δ</w:t>
      </w:r>
      <w:r w:rsidR="003B71C7" w:rsidRPr="00CF0A36">
        <w:rPr>
          <w:rFonts w:cstheme="minorHAnsi"/>
          <w:i/>
          <w:lang w:val="en-US"/>
        </w:rPr>
        <w:t>E</w:t>
      </w:r>
      <w:r w:rsidR="003B71C7" w:rsidRPr="00CF0A36">
        <w:rPr>
          <w:rFonts w:cstheme="minorHAnsi"/>
          <w:vertAlign w:val="subscript"/>
          <w:lang w:val="en-US"/>
        </w:rPr>
        <w:t>ST</w:t>
      </w:r>
      <w:r w:rsidR="003B71C7" w:rsidRPr="00CF0A36">
        <w:rPr>
          <w:rFonts w:cstheme="minorHAnsi"/>
          <w:iCs/>
          <w:lang w:val="en-US"/>
        </w:rPr>
        <w:t xml:space="preserve"> values do not change much compared to the vertical ones for compounds </w:t>
      </w:r>
      <w:r w:rsidR="003B71C7" w:rsidRPr="00CF0A36">
        <w:rPr>
          <w:rFonts w:cstheme="minorHAnsi"/>
          <w:b/>
          <w:bCs/>
          <w:lang w:val="en-US"/>
        </w:rPr>
        <w:t>7</w:t>
      </w:r>
      <w:r w:rsidR="003B71C7" w:rsidRPr="00CF0A36">
        <w:rPr>
          <w:rFonts w:cstheme="minorHAnsi"/>
          <w:lang w:val="en-US"/>
        </w:rPr>
        <w:t xml:space="preserve"> (0.15 eV), </w:t>
      </w:r>
      <w:r w:rsidR="003B71C7" w:rsidRPr="00CF0A36">
        <w:rPr>
          <w:rFonts w:cstheme="minorHAnsi"/>
          <w:b/>
          <w:bCs/>
          <w:lang w:val="en-US"/>
        </w:rPr>
        <w:t>8</w:t>
      </w:r>
      <w:r w:rsidR="003B71C7" w:rsidRPr="00CF0A36">
        <w:rPr>
          <w:rFonts w:cstheme="minorHAnsi"/>
          <w:lang w:val="en-US"/>
        </w:rPr>
        <w:t xml:space="preserve"> (0.12 eV), and </w:t>
      </w:r>
      <w:r w:rsidR="003B71C7" w:rsidRPr="00CF0A36">
        <w:rPr>
          <w:rFonts w:cstheme="minorHAnsi"/>
          <w:b/>
          <w:bCs/>
          <w:lang w:val="en-US"/>
        </w:rPr>
        <w:t>2</w:t>
      </w:r>
      <w:r w:rsidR="003B71C7" w:rsidRPr="00CF0A36">
        <w:rPr>
          <w:rFonts w:cstheme="minorHAnsi"/>
          <w:b/>
          <w:bCs/>
          <w:vertAlign w:val="superscript"/>
          <w:lang w:val="en-US"/>
        </w:rPr>
        <w:t>Mes</w:t>
      </w:r>
      <w:r w:rsidR="003B71C7" w:rsidRPr="00CF0A36">
        <w:rPr>
          <w:rFonts w:cstheme="minorHAnsi"/>
          <w:lang w:val="en-US"/>
        </w:rPr>
        <w:t xml:space="preserve"> (0.34 eV; Table S10). A more pronounced change from 0.06 to</w:t>
      </w:r>
      <w:r w:rsidR="003B71C7" w:rsidRPr="00CF0A36">
        <w:rPr>
          <w:rFonts w:cstheme="minorHAnsi"/>
          <w:iCs/>
          <w:lang w:val="en-US"/>
        </w:rPr>
        <w:t xml:space="preserve"> </w:t>
      </w:r>
      <w:r w:rsidR="003B71C7" w:rsidRPr="00CF0A36">
        <w:rPr>
          <w:rFonts w:cstheme="minorHAnsi"/>
          <w:lang w:val="en-US"/>
        </w:rPr>
        <w:t xml:space="preserve">0.20 eV is computed for </w:t>
      </w:r>
      <w:r w:rsidR="003B71C7" w:rsidRPr="00CF0A36">
        <w:rPr>
          <w:rFonts w:cstheme="minorHAnsi"/>
          <w:b/>
          <w:bCs/>
          <w:lang w:val="en-US"/>
        </w:rPr>
        <w:t xml:space="preserve">6 </w:t>
      </w:r>
      <w:r w:rsidR="003B71C7" w:rsidRPr="00CF0A36">
        <w:rPr>
          <w:rFonts w:cstheme="minorHAnsi"/>
          <w:bCs/>
          <w:lang w:val="en-US"/>
        </w:rPr>
        <w:t>(Table S10)</w:t>
      </w:r>
      <w:r w:rsidR="003B71C7" w:rsidRPr="00CF0A36">
        <w:rPr>
          <w:rFonts w:cstheme="minorHAnsi"/>
          <w:iCs/>
          <w:lang w:val="en-US"/>
        </w:rPr>
        <w:t xml:space="preserve"> </w:t>
      </w:r>
      <w:proofErr w:type="gramStart"/>
      <w:r w:rsidR="003B71C7" w:rsidRPr="00CF0A36">
        <w:rPr>
          <w:rFonts w:cstheme="minorHAnsi"/>
          <w:iCs/>
          <w:lang w:val="en-US"/>
        </w:rPr>
        <w:t>as a consequence of</w:t>
      </w:r>
      <w:proofErr w:type="gramEnd"/>
      <w:r w:rsidR="003B71C7" w:rsidRPr="00CF0A36">
        <w:rPr>
          <w:rFonts w:cstheme="minorHAnsi"/>
          <w:iCs/>
          <w:lang w:val="en-US"/>
        </w:rPr>
        <w:t xml:space="preserve"> the different nature of its S</w:t>
      </w:r>
      <w:r w:rsidR="003B71C7" w:rsidRPr="00CF0A36">
        <w:rPr>
          <w:rFonts w:cstheme="minorHAnsi"/>
          <w:iCs/>
          <w:vertAlign w:val="subscript"/>
          <w:lang w:val="en-US"/>
        </w:rPr>
        <w:t>1</w:t>
      </w:r>
      <w:r w:rsidR="003B71C7" w:rsidRPr="00CF0A36">
        <w:rPr>
          <w:rFonts w:cstheme="minorHAnsi"/>
          <w:iCs/>
          <w:lang w:val="en-US"/>
        </w:rPr>
        <w:t xml:space="preserve"> and T</w:t>
      </w:r>
      <w:r w:rsidR="003B71C7" w:rsidRPr="00CF0A36">
        <w:rPr>
          <w:rFonts w:cstheme="minorHAnsi"/>
          <w:iCs/>
          <w:vertAlign w:val="subscript"/>
          <w:lang w:val="en-US"/>
        </w:rPr>
        <w:t>1</w:t>
      </w:r>
      <w:r w:rsidR="003B71C7" w:rsidRPr="00CF0A36">
        <w:rPr>
          <w:rFonts w:cstheme="minorHAnsi"/>
          <w:iCs/>
          <w:lang w:val="en-US"/>
        </w:rPr>
        <w:t xml:space="preserve"> states, which leads to an asymmetric relaxation towards the minima of their respective potential energy surfaces</w:t>
      </w:r>
      <w:r w:rsidR="003B71C7" w:rsidRPr="00CF0A36">
        <w:rPr>
          <w:rFonts w:cstheme="minorHAnsi"/>
          <w:lang w:val="en-US"/>
        </w:rPr>
        <w:t>. Our computed adiabatic Δ</w:t>
      </w:r>
      <w:r w:rsidR="003B71C7" w:rsidRPr="00CF0A36">
        <w:rPr>
          <w:rFonts w:cstheme="minorHAnsi"/>
          <w:i/>
          <w:lang w:val="en-US"/>
        </w:rPr>
        <w:t>E</w:t>
      </w:r>
      <w:r w:rsidR="003B71C7" w:rsidRPr="00CF0A36">
        <w:rPr>
          <w:rFonts w:cstheme="minorHAnsi"/>
          <w:vertAlign w:val="subscript"/>
          <w:lang w:val="en-US"/>
        </w:rPr>
        <w:t>ST</w:t>
      </w:r>
      <w:r w:rsidR="003B71C7" w:rsidRPr="00CF0A36">
        <w:rPr>
          <w:rFonts w:cstheme="minorHAnsi"/>
          <w:lang w:val="en-US"/>
        </w:rPr>
        <w:t xml:space="preserve"> values are in line with experimentally determined data for derivatives of </w:t>
      </w:r>
      <w:r w:rsidR="003B71C7" w:rsidRPr="00CF0A36">
        <w:rPr>
          <w:rFonts w:cstheme="minorHAnsi"/>
          <w:b/>
          <w:lang w:val="en-US"/>
        </w:rPr>
        <w:t>6</w:t>
      </w:r>
      <w:r w:rsidR="003B71C7" w:rsidRPr="00CF0A36">
        <w:rPr>
          <w:rFonts w:cstheme="minorHAnsi"/>
          <w:lang w:val="en-US"/>
        </w:rPr>
        <w:t xml:space="preserve"> (0.18 eV) and </w:t>
      </w:r>
      <w:r w:rsidR="003B71C7" w:rsidRPr="00CF0A36">
        <w:rPr>
          <w:rFonts w:cstheme="minorHAnsi"/>
          <w:b/>
          <w:lang w:val="en-US"/>
        </w:rPr>
        <w:t>7</w:t>
      </w:r>
      <w:r w:rsidR="003B71C7" w:rsidRPr="00CF0A36">
        <w:rPr>
          <w:rFonts w:cstheme="minorHAnsi"/>
          <w:lang w:val="en-US"/>
        </w:rPr>
        <w:t xml:space="preserve"> (0.11 eV).</w:t>
      </w:r>
      <w:r w:rsidR="003B71C7" w:rsidRPr="00CF0A36">
        <w:rPr>
          <w:rFonts w:cstheme="minorHAnsi"/>
          <w:lang w:val="en-US"/>
        </w:rPr>
        <w:fldChar w:fldCharType="begin" w:fldLock="1"/>
      </w:r>
      <w:r w:rsidR="003B71C7" w:rsidRPr="00CF0A36">
        <w:rPr>
          <w:rFonts w:cstheme="minorHAnsi"/>
          <w:lang w:val="en-US"/>
        </w:rPr>
        <w:instrText>ADDIN CSL_CITATION {"citationItems":[{"id":"ITEM-1","itemData":{"DOI":"10.1039/D3CS00837A","ISSN":"0306-0012","PMID":"38168795","abstract":"This review highlights organoboron-based multiple-resonance compounds’ synthetic strategies classified as one-pot borylation, one-shot borylation, and late-stage functionalisation, and explores material structure–photophysical property correlations.","author":[{"dropping-particle":"","family":"Mamada","given":"Masashi","non-dropping-particle":"","parse-names":false,"suffix":""},{"dropping-particle":"","family":"Hayakawa","given":"Masahiro","non-dropping-particle":"","parse-names":false,"suffix":""},{"dropping-particle":"","family":"Ochi","given":"Junki","non-dropping-particle":"","parse-names":false,"suffix":""},{"dropping-particle":"","family":"Hatakeyama","given":"Takuji","non-dropping-particle":"","parse-names":false,"suffix":""}],"container-title":"Chemical Society Reviews","id":"ITEM-1","issue":"3","issued":{"date-parts":[["2024"]]},"page":"1624-1692","publisher":"Royal Society of Chemistry","title":"Organoboron-based multiple-resonance emitters: synthesis, structure–property correlations, and prospects","type":"article-journal","volume":"53"},"uris":["http://www.mendeley.com/documents/?uuid=0b72b067-1487-43a7-945a-27527c9d70a9"]},{"id":"ITEM-2","itemData":{"DOI":"10.1002/anie.202012891","ISSN":"1433-7851","PMID":"33180369","abstract":"Carbazole‐based DABNA analogues ( CzDABNA s) were synthesized from triarylamine by regioselective one‐shot single and double borylation. The reaction proceeded selectively at the ortho position of the carbazolyl group, where the highest occupied molecular orbital is mainly localized owing to the difference in the electron‐donating abilities of the diarylamino and carbazolyl groups. The facile and scalable method enabled synthesis of CzDABNA s, exhibiting narrowband thermally activated delayed fluorescence with emission spectra ranging from deep blue to green. The organic light‐emitting diode devices employing these products as emitters exhibited deep‐blue, sky‐blue, and green emission with high external quantum efficiencies of 19.5, 21.8, and 26.7 %, respectively.","author":[{"dropping-particle":"","family":"Oda","given":"Susumu","non-dropping-particle":"","parse-names":false,"suffix":""},{"dropping-particle":"","family":"Kumano","given":"Wataru","non-dropping-particle":"","parse-names":false,"suffix":""},{"dropping-particle":"","family":"Hama","given":"Toshiki","non-dropping-particle":"","parse-names":false,"suffix":""},{"dropping-particle":"","family":"Kawasumi","given":"Ryosuke","non-dropping-particle":"","parse-names":false,"suffix":""},{"dropping-particle":"","family":"Yoshiura","given":"Kazuki","non-dropping-particle":"","parse-names":false,"suffix":""},{"dropping-particle":"","family":"Hatakeyama","given":"Takuji","non-dropping-particle":"","parse-names":false,"suffix":""}],"container-title":"Angewandte Chemie International Edition","id":"ITEM-2","issue":"6","issued":{"date-parts":[["2021","2","8"]]},"page":"2882-2886","title":"Carbazole‐Based DABNA Analogues as Highly Efficient Thermally Activated Delayed Fluorescence Materials for Narrowband Organic Light‐Emitting Diodes","type":"article-journal","volume":"60"},"uris":["http://www.mendeley.com/documents/?uuid=4c86ba38-7d3d-4335-8a02-e967ae61510b"]},{"id":"ITEM-3","itemData":{"author":[{"dropping-particle":"","family":"EZ2_A","given":"","non-dropping-particle":"","parse-names":false,"suffix":""}],"id":"ITEM-3","issued":{"date-parts":[["0"]]},"title":"EZ2_A","type":"article"},"uris":["http://www.mendeley.com/documents/?uuid=81c29718-025d-4ec9-84e1-f8b0cc403284"]}],"mendeley":{"formattedCitation":"&lt;sup&gt;15,22,27&lt;/sup&gt;","plainTextFormattedCitation":"15,22,27","previouslyFormattedCitation":"&lt;sup&gt;15,22,27&lt;/sup&gt;"},"properties":{"noteIndex":0},"schema":"https://github.com/citation-style-language/schema/raw/master/csl-citation.json"}</w:instrText>
      </w:r>
      <w:r w:rsidR="003B71C7" w:rsidRPr="00CF0A36">
        <w:rPr>
          <w:rFonts w:cstheme="minorHAnsi"/>
          <w:lang w:val="en-US"/>
        </w:rPr>
        <w:fldChar w:fldCharType="separate"/>
      </w:r>
      <w:r w:rsidR="003B71C7" w:rsidRPr="00CF0A36">
        <w:rPr>
          <w:rFonts w:cstheme="minorHAnsi"/>
          <w:vertAlign w:val="superscript"/>
          <w:lang w:val="en-US"/>
        </w:rPr>
        <w:t>15,22,27</w:t>
      </w:r>
      <w:r w:rsidR="003B71C7" w:rsidRPr="00CF0A36">
        <w:rPr>
          <w:rFonts w:cstheme="minorHAnsi"/>
          <w:lang w:val="en-US"/>
        </w:rPr>
        <w:fldChar w:fldCharType="end"/>
      </w:r>
      <w:r w:rsidR="003B71C7" w:rsidRPr="00CF0A36">
        <w:rPr>
          <w:rFonts w:cstheme="minorHAnsi"/>
          <w:lang w:val="en-US"/>
        </w:rPr>
        <w:t xml:space="preserve"> To further elaborate on a possible (reverse) intersystem-crossing [(r)ISC] mechanism, we emphasize that the computed spin-orbit coupling (SOC) between the S</w:t>
      </w:r>
      <w:r w:rsidR="003B71C7" w:rsidRPr="00CF0A36">
        <w:rPr>
          <w:rFonts w:cstheme="minorHAnsi"/>
          <w:vertAlign w:val="subscript"/>
          <w:lang w:val="en-US"/>
        </w:rPr>
        <w:t>1</w:t>
      </w:r>
      <w:r w:rsidR="003B71C7" w:rsidRPr="00CF0A36">
        <w:rPr>
          <w:rFonts w:cstheme="minorHAnsi"/>
          <w:lang w:val="en-US"/>
        </w:rPr>
        <w:t xml:space="preserve"> and T</w:t>
      </w:r>
      <w:r w:rsidR="003B71C7" w:rsidRPr="00CF0A36">
        <w:rPr>
          <w:rFonts w:cstheme="minorHAnsi"/>
          <w:vertAlign w:val="subscript"/>
          <w:lang w:val="en-US"/>
        </w:rPr>
        <w:t>1</w:t>
      </w:r>
      <w:r w:rsidR="003B71C7" w:rsidRPr="00CF0A36">
        <w:rPr>
          <w:rFonts w:cstheme="minorHAnsi"/>
          <w:lang w:val="en-US"/>
        </w:rPr>
        <w:t xml:space="preserve"> states of </w:t>
      </w:r>
      <w:r w:rsidR="003B71C7" w:rsidRPr="00CF0A36">
        <w:rPr>
          <w:rFonts w:cstheme="minorHAnsi"/>
          <w:b/>
          <w:lang w:val="en-US"/>
        </w:rPr>
        <w:t>6</w:t>
      </w:r>
      <w:r w:rsidR="003B71C7" w:rsidRPr="00CF0A36">
        <w:rPr>
          <w:rFonts w:cstheme="minorHAnsi"/>
          <w:lang w:val="en-US"/>
        </w:rPr>
        <w:t xml:space="preserve"> is as large as 0.662 cm</w:t>
      </w:r>
      <w:r w:rsidR="003B71C7" w:rsidRPr="00CF0A36">
        <w:rPr>
          <w:rFonts w:cstheme="minorHAnsi"/>
          <w:vertAlign w:val="superscript"/>
          <w:lang w:val="en-US"/>
        </w:rPr>
        <w:t>–1</w:t>
      </w:r>
      <w:r w:rsidR="003B71C7" w:rsidRPr="00CF0A36">
        <w:rPr>
          <w:rFonts w:cstheme="minorHAnsi"/>
          <w:lang w:val="en-US"/>
        </w:rPr>
        <w:t xml:space="preserve">, and thus about one order of magnitude higher than the SOCs of </w:t>
      </w:r>
      <w:r w:rsidR="003B71C7" w:rsidRPr="00CF0A36">
        <w:rPr>
          <w:rFonts w:cstheme="minorHAnsi"/>
          <w:b/>
          <w:lang w:val="en-US"/>
        </w:rPr>
        <w:t>7</w:t>
      </w:r>
      <w:r w:rsidR="003B71C7" w:rsidRPr="00CF0A36">
        <w:rPr>
          <w:rFonts w:cstheme="minorHAnsi"/>
          <w:lang w:val="en-US"/>
        </w:rPr>
        <w:t>,</w:t>
      </w:r>
      <w:r w:rsidR="003B71C7" w:rsidRPr="00CF0A36">
        <w:rPr>
          <w:rFonts w:cstheme="minorHAnsi"/>
          <w:b/>
          <w:lang w:val="en-US"/>
        </w:rPr>
        <w:t xml:space="preserve"> 8</w:t>
      </w:r>
      <w:r w:rsidR="003B71C7" w:rsidRPr="00CF0A36">
        <w:rPr>
          <w:rFonts w:cstheme="minorHAnsi"/>
          <w:lang w:val="en-US"/>
        </w:rPr>
        <w:t xml:space="preserve">, and </w:t>
      </w:r>
      <w:r w:rsidR="003B71C7" w:rsidRPr="00CF0A36">
        <w:rPr>
          <w:rFonts w:cstheme="minorHAnsi"/>
          <w:b/>
          <w:lang w:val="en-US"/>
        </w:rPr>
        <w:t>2</w:t>
      </w:r>
      <w:r w:rsidR="003B71C7" w:rsidRPr="00CF0A36">
        <w:rPr>
          <w:rFonts w:cstheme="minorHAnsi"/>
          <w:b/>
          <w:vertAlign w:val="superscript"/>
          <w:lang w:val="en-US"/>
        </w:rPr>
        <w:t>Mes</w:t>
      </w:r>
      <w:r w:rsidR="003B71C7" w:rsidRPr="00CF0A36">
        <w:rPr>
          <w:rFonts w:cstheme="minorHAnsi"/>
          <w:lang w:val="en-US"/>
        </w:rPr>
        <w:t xml:space="preserve"> (</w:t>
      </w:r>
      <w:r w:rsidR="003B71C7" w:rsidRPr="00CF0A36">
        <w:rPr>
          <w:rFonts w:cstheme="minorHAnsi"/>
          <w:bCs/>
          <w:lang w:val="en-US"/>
        </w:rPr>
        <w:t>Table S11</w:t>
      </w:r>
      <w:r w:rsidR="003B71C7" w:rsidRPr="00CF0A36">
        <w:rPr>
          <w:rFonts w:cstheme="minorHAnsi"/>
          <w:lang w:val="en-US"/>
        </w:rPr>
        <w:t>). As the (r)ISC rate constant is proportional to the SOC,</w:t>
      </w:r>
      <w:r w:rsidR="003B71C7" w:rsidRPr="00CF0A36">
        <w:rPr>
          <w:rFonts w:cstheme="minorHAnsi"/>
          <w:vertAlign w:val="superscript"/>
          <w:lang w:val="en-US"/>
        </w:rPr>
        <w:t>31</w:t>
      </w:r>
      <w:r w:rsidR="003B71C7" w:rsidRPr="00CF0A36">
        <w:rPr>
          <w:rFonts w:cstheme="minorHAnsi"/>
          <w:lang w:val="en-US"/>
        </w:rPr>
        <w:t xml:space="preserve"> the lower </w:t>
      </w:r>
      <w:r w:rsidR="003B71C7" w:rsidRPr="00CF0A36">
        <w:rPr>
          <w:rFonts w:cstheme="minorHAnsi"/>
          <w:i/>
          <w:lang w:val="en-US"/>
        </w:rPr>
        <w:t>Φ</w:t>
      </w:r>
      <w:r w:rsidR="003B71C7" w:rsidRPr="00CF0A36">
        <w:rPr>
          <w:rFonts w:cstheme="minorHAnsi"/>
          <w:bCs/>
          <w:vertAlign w:val="subscript"/>
          <w:lang w:val="en-US"/>
        </w:rPr>
        <w:t>PL</w:t>
      </w:r>
      <w:r w:rsidR="003B71C7" w:rsidRPr="00CF0A36">
        <w:rPr>
          <w:rFonts w:cstheme="minorHAnsi"/>
          <w:lang w:val="en-US"/>
        </w:rPr>
        <w:t xml:space="preserve"> of </w:t>
      </w:r>
      <w:r w:rsidR="003B71C7" w:rsidRPr="00CF0A36">
        <w:rPr>
          <w:rFonts w:cstheme="minorHAnsi"/>
          <w:b/>
          <w:bCs/>
          <w:lang w:val="en-US"/>
        </w:rPr>
        <w:t>6</w:t>
      </w:r>
      <w:r w:rsidR="003B71C7" w:rsidRPr="00CF0A36">
        <w:rPr>
          <w:rFonts w:cstheme="minorHAnsi"/>
          <w:lang w:val="en-US"/>
        </w:rPr>
        <w:t xml:space="preserve"> can be rationalized by a high ISC rate that successfully competes with the rate of radiative decay. We hypothesize that, despite the large SOC, the </w:t>
      </w:r>
      <w:proofErr w:type="spellStart"/>
      <w:r w:rsidR="003B71C7" w:rsidRPr="00CF0A36">
        <w:rPr>
          <w:rFonts w:cstheme="minorHAnsi"/>
          <w:lang w:val="en-US"/>
        </w:rPr>
        <w:t>rISC</w:t>
      </w:r>
      <w:proofErr w:type="spellEnd"/>
      <w:r w:rsidR="003B71C7" w:rsidRPr="00CF0A36">
        <w:rPr>
          <w:rFonts w:cstheme="minorHAnsi"/>
          <w:lang w:val="en-US"/>
        </w:rPr>
        <w:t xml:space="preserve"> rate might be limited by the high Δ</w:t>
      </w:r>
      <w:r w:rsidR="003B71C7" w:rsidRPr="00CF0A36">
        <w:rPr>
          <w:rFonts w:cstheme="minorHAnsi"/>
          <w:i/>
          <w:lang w:val="en-US"/>
        </w:rPr>
        <w:t>E</w:t>
      </w:r>
      <w:r w:rsidR="003B71C7" w:rsidRPr="00CF0A36">
        <w:rPr>
          <w:rFonts w:cstheme="minorHAnsi"/>
          <w:vertAlign w:val="subscript"/>
          <w:lang w:val="en-US"/>
        </w:rPr>
        <w:t>ST</w:t>
      </w:r>
      <w:r w:rsidR="003B71C7" w:rsidRPr="00CF0A36">
        <w:rPr>
          <w:rFonts w:cstheme="minorHAnsi"/>
          <w:lang w:val="en-US"/>
        </w:rPr>
        <w:t xml:space="preserve">, thereby </w:t>
      </w:r>
      <w:r w:rsidR="003B71C7" w:rsidRPr="00CF0A36">
        <w:rPr>
          <w:rFonts w:cstheme="minorHAnsi"/>
          <w:iCs/>
          <w:lang w:val="en-US"/>
        </w:rPr>
        <w:t xml:space="preserve">hampering triplet </w:t>
      </w:r>
      <w:proofErr w:type="spellStart"/>
      <w:r w:rsidR="003B71C7" w:rsidRPr="00CF0A36">
        <w:rPr>
          <w:rFonts w:cstheme="minorHAnsi"/>
          <w:iCs/>
          <w:lang w:val="en-US"/>
        </w:rPr>
        <w:t>upconversion</w:t>
      </w:r>
      <w:proofErr w:type="spellEnd"/>
      <w:r w:rsidR="003B71C7" w:rsidRPr="00CF0A36">
        <w:rPr>
          <w:rFonts w:cstheme="minorHAnsi"/>
          <w:lang w:val="en-US"/>
        </w:rPr>
        <w:t>. Interestingly, the second excited triplet state T</w:t>
      </w:r>
      <w:r w:rsidR="003B71C7" w:rsidRPr="00CF0A36">
        <w:rPr>
          <w:rFonts w:cstheme="minorHAnsi"/>
          <w:vertAlign w:val="subscript"/>
          <w:lang w:val="en-US"/>
        </w:rPr>
        <w:t>2</w:t>
      </w:r>
      <w:r w:rsidR="003B71C7" w:rsidRPr="00CF0A36">
        <w:rPr>
          <w:rFonts w:cstheme="minorHAnsi"/>
          <w:lang w:val="en-US"/>
        </w:rPr>
        <w:t xml:space="preserve"> is very close in energy to the S</w:t>
      </w:r>
      <w:r w:rsidR="003B71C7" w:rsidRPr="00CF0A36">
        <w:rPr>
          <w:rFonts w:cstheme="minorHAnsi"/>
          <w:vertAlign w:val="subscript"/>
          <w:lang w:val="en-US"/>
        </w:rPr>
        <w:t>1</w:t>
      </w:r>
      <w:r w:rsidR="003B71C7" w:rsidRPr="00CF0A36">
        <w:rPr>
          <w:rFonts w:cstheme="minorHAnsi"/>
          <w:lang w:val="en-US"/>
        </w:rPr>
        <w:t xml:space="preserve"> state in </w:t>
      </w:r>
      <w:r w:rsidR="003B71C7" w:rsidRPr="00CF0A36">
        <w:rPr>
          <w:rFonts w:cstheme="minorHAnsi"/>
          <w:b/>
          <w:bCs/>
          <w:lang w:val="en-US"/>
        </w:rPr>
        <w:t xml:space="preserve">6 </w:t>
      </w:r>
      <w:r w:rsidR="003B71C7" w:rsidRPr="00CF0A36">
        <w:rPr>
          <w:rFonts w:cstheme="minorHAnsi"/>
          <w:bCs/>
          <w:lang w:val="en-US"/>
        </w:rPr>
        <w:t>(</w:t>
      </w:r>
      <w:bookmarkStart w:id="19" w:name="_Hlk164181001"/>
      <w:r w:rsidR="003B71C7" w:rsidRPr="00CF0A36">
        <w:rPr>
          <w:rFonts w:cstheme="minorHAnsi"/>
          <w:bCs/>
          <w:lang w:val="en-US"/>
        </w:rPr>
        <w:t>Δ</w:t>
      </w:r>
      <w:bookmarkEnd w:id="19"/>
      <w:r w:rsidR="003B71C7" w:rsidRPr="00CF0A36">
        <w:rPr>
          <w:rFonts w:cstheme="minorHAnsi"/>
          <w:bCs/>
          <w:lang w:val="en-US"/>
        </w:rPr>
        <w:t xml:space="preserve"> = 0.01 eV), </w:t>
      </w:r>
      <w:r w:rsidR="003B71C7" w:rsidRPr="00CF0A36">
        <w:rPr>
          <w:rFonts w:cstheme="minorHAnsi"/>
          <w:b/>
          <w:bCs/>
          <w:lang w:val="en-US"/>
        </w:rPr>
        <w:t>7</w:t>
      </w:r>
      <w:r w:rsidR="003B71C7" w:rsidRPr="00CF0A36">
        <w:rPr>
          <w:rFonts w:cstheme="minorHAnsi"/>
          <w:bCs/>
          <w:lang w:val="en-US"/>
        </w:rPr>
        <w:t xml:space="preserve"> (Δ = –0.01 eV), and </w:t>
      </w:r>
      <w:r w:rsidR="003B71C7" w:rsidRPr="00CF0A36">
        <w:rPr>
          <w:rFonts w:cstheme="minorHAnsi"/>
          <w:b/>
          <w:bCs/>
          <w:lang w:val="en-US"/>
        </w:rPr>
        <w:t>2</w:t>
      </w:r>
      <w:r w:rsidR="003B71C7" w:rsidRPr="00CF0A36">
        <w:rPr>
          <w:rFonts w:cstheme="minorHAnsi"/>
          <w:b/>
          <w:bCs/>
          <w:vertAlign w:val="superscript"/>
          <w:lang w:val="en-US"/>
        </w:rPr>
        <w:t>Mes</w:t>
      </w:r>
      <w:r w:rsidR="003B71C7" w:rsidRPr="00CF0A36">
        <w:rPr>
          <w:rFonts w:cstheme="minorHAnsi"/>
          <w:b/>
          <w:bCs/>
          <w:lang w:val="en-US"/>
        </w:rPr>
        <w:t xml:space="preserve"> </w:t>
      </w:r>
      <w:r w:rsidR="003B71C7" w:rsidRPr="00CF0A36">
        <w:rPr>
          <w:rFonts w:cstheme="minorHAnsi"/>
          <w:bCs/>
          <w:lang w:val="en-US"/>
        </w:rPr>
        <w:t>(Δ = 0.01 eV)</w:t>
      </w:r>
      <w:r w:rsidR="003B71C7" w:rsidRPr="00CF0A36">
        <w:rPr>
          <w:rFonts w:cstheme="minorHAnsi"/>
          <w:lang w:val="en-US"/>
        </w:rPr>
        <w:t xml:space="preserve">, whereas this energy gap is larger in </w:t>
      </w:r>
      <w:r w:rsidR="003B71C7" w:rsidRPr="00CF0A36">
        <w:rPr>
          <w:rFonts w:cstheme="minorHAnsi"/>
          <w:b/>
          <w:bCs/>
          <w:lang w:val="en-US"/>
        </w:rPr>
        <w:t>8</w:t>
      </w:r>
      <w:r w:rsidR="003B71C7" w:rsidRPr="00CF0A36">
        <w:rPr>
          <w:rFonts w:cstheme="minorHAnsi"/>
          <w:lang w:val="en-US"/>
        </w:rPr>
        <w:t xml:space="preserve"> (</w:t>
      </w:r>
      <w:r w:rsidR="003B71C7" w:rsidRPr="00CF0A36">
        <w:rPr>
          <w:rFonts w:cstheme="minorHAnsi"/>
          <w:bCs/>
          <w:lang w:val="en-US"/>
        </w:rPr>
        <w:t>Δ</w:t>
      </w:r>
      <w:r w:rsidR="003B71C7" w:rsidRPr="00CF0A36">
        <w:rPr>
          <w:rFonts w:cstheme="minorHAnsi"/>
          <w:lang w:val="en-US"/>
        </w:rPr>
        <w:t xml:space="preserve"> = 0.16 eV). Furthermore, the SOC between the S</w:t>
      </w:r>
      <w:r w:rsidR="003B71C7" w:rsidRPr="00CF0A36">
        <w:rPr>
          <w:rFonts w:cstheme="minorHAnsi"/>
          <w:vertAlign w:val="subscript"/>
          <w:lang w:val="en-US"/>
        </w:rPr>
        <w:t>1</w:t>
      </w:r>
      <w:r w:rsidR="003B71C7" w:rsidRPr="00CF0A36">
        <w:rPr>
          <w:rFonts w:cstheme="minorHAnsi"/>
          <w:lang w:val="en-US"/>
        </w:rPr>
        <w:t xml:space="preserve"> and T</w:t>
      </w:r>
      <w:r w:rsidR="003B71C7" w:rsidRPr="00CF0A36">
        <w:rPr>
          <w:rFonts w:cstheme="minorHAnsi"/>
          <w:vertAlign w:val="subscript"/>
          <w:lang w:val="en-US"/>
        </w:rPr>
        <w:t>2</w:t>
      </w:r>
      <w:r w:rsidR="003B71C7" w:rsidRPr="00CF0A36">
        <w:rPr>
          <w:rFonts w:cstheme="minorHAnsi"/>
          <w:lang w:val="en-US"/>
        </w:rPr>
        <w:t xml:space="preserve"> states is comparable to the SOC between S</w:t>
      </w:r>
      <w:r w:rsidR="003B71C7" w:rsidRPr="00CF0A36">
        <w:rPr>
          <w:rFonts w:cstheme="minorHAnsi"/>
          <w:vertAlign w:val="subscript"/>
          <w:lang w:val="en-US"/>
        </w:rPr>
        <w:t>1</w:t>
      </w:r>
      <w:r w:rsidR="003B71C7" w:rsidRPr="00CF0A36">
        <w:rPr>
          <w:rFonts w:cstheme="minorHAnsi"/>
          <w:lang w:val="en-US"/>
        </w:rPr>
        <w:t xml:space="preserve"> and T</w:t>
      </w:r>
      <w:r w:rsidR="003B71C7" w:rsidRPr="00CF0A36">
        <w:rPr>
          <w:rFonts w:cstheme="minorHAnsi"/>
          <w:vertAlign w:val="subscript"/>
          <w:lang w:val="en-US"/>
        </w:rPr>
        <w:t>1</w:t>
      </w:r>
      <w:r w:rsidR="003B71C7" w:rsidRPr="00CF0A36">
        <w:rPr>
          <w:rFonts w:cstheme="minorHAnsi"/>
          <w:lang w:val="en-US"/>
        </w:rPr>
        <w:t xml:space="preserve"> for </w:t>
      </w:r>
      <w:r w:rsidR="003B71C7" w:rsidRPr="00CF0A36">
        <w:rPr>
          <w:rFonts w:cstheme="minorHAnsi"/>
          <w:b/>
          <w:bCs/>
          <w:lang w:val="en-US"/>
        </w:rPr>
        <w:t>2</w:t>
      </w:r>
      <w:r w:rsidR="003B71C7" w:rsidRPr="00CF0A36">
        <w:rPr>
          <w:rFonts w:cstheme="minorHAnsi"/>
          <w:b/>
          <w:bCs/>
          <w:vertAlign w:val="superscript"/>
          <w:lang w:val="en-US"/>
        </w:rPr>
        <w:t>Mes</w:t>
      </w:r>
      <w:r w:rsidR="003B71C7" w:rsidRPr="00CF0A36">
        <w:rPr>
          <w:rFonts w:cstheme="minorHAnsi"/>
          <w:lang w:val="en-US"/>
        </w:rPr>
        <w:t xml:space="preserve"> and </w:t>
      </w:r>
      <w:r w:rsidR="003B71C7" w:rsidRPr="00CF0A36">
        <w:rPr>
          <w:rFonts w:cstheme="minorHAnsi"/>
          <w:b/>
          <w:bCs/>
          <w:lang w:val="en-US"/>
        </w:rPr>
        <w:t>7</w:t>
      </w:r>
      <w:r w:rsidR="003B71C7" w:rsidRPr="00CF0A36">
        <w:rPr>
          <w:rFonts w:cstheme="minorHAnsi"/>
          <w:bCs/>
          <w:lang w:val="en-US"/>
        </w:rPr>
        <w:t>,</w:t>
      </w:r>
      <w:r w:rsidR="003B71C7" w:rsidRPr="00CF0A36">
        <w:rPr>
          <w:rFonts w:cstheme="minorHAnsi"/>
          <w:lang w:val="en-US"/>
        </w:rPr>
        <w:t xml:space="preserve"> but larger (smaller) for </w:t>
      </w:r>
      <w:r w:rsidR="003B71C7" w:rsidRPr="00CF0A36">
        <w:rPr>
          <w:rFonts w:cstheme="minorHAnsi"/>
          <w:b/>
          <w:bCs/>
          <w:lang w:val="en-US"/>
        </w:rPr>
        <w:t xml:space="preserve">8 </w:t>
      </w:r>
      <w:r w:rsidR="003B71C7" w:rsidRPr="00CF0A36">
        <w:rPr>
          <w:rFonts w:cstheme="minorHAnsi"/>
          <w:lang w:val="en-US"/>
        </w:rPr>
        <w:t>(</w:t>
      </w:r>
      <w:r w:rsidR="003B71C7" w:rsidRPr="00CF0A36">
        <w:rPr>
          <w:rFonts w:cstheme="minorHAnsi"/>
          <w:b/>
          <w:bCs/>
          <w:lang w:val="en-US"/>
        </w:rPr>
        <w:t>6</w:t>
      </w:r>
      <w:r w:rsidR="003B71C7" w:rsidRPr="00CF0A36">
        <w:rPr>
          <w:rFonts w:cstheme="minorHAnsi"/>
          <w:lang w:val="en-US"/>
        </w:rPr>
        <w:t>). The reason lies in the fact that S</w:t>
      </w:r>
      <w:r w:rsidR="003B71C7" w:rsidRPr="00CF0A36">
        <w:rPr>
          <w:rFonts w:cstheme="minorHAnsi"/>
          <w:vertAlign w:val="subscript"/>
          <w:lang w:val="en-US"/>
        </w:rPr>
        <w:t>1</w:t>
      </w:r>
      <w:r w:rsidR="003B71C7" w:rsidRPr="00CF0A36">
        <w:rPr>
          <w:rFonts w:cstheme="minorHAnsi"/>
          <w:lang w:val="en-US"/>
        </w:rPr>
        <w:t xml:space="preserve"> and T</w:t>
      </w:r>
      <w:r w:rsidR="003B71C7" w:rsidRPr="00CF0A36">
        <w:rPr>
          <w:rFonts w:cstheme="minorHAnsi"/>
          <w:vertAlign w:val="subscript"/>
          <w:lang w:val="en-US"/>
        </w:rPr>
        <w:t>2</w:t>
      </w:r>
      <w:r w:rsidR="003B71C7" w:rsidRPr="00CF0A36">
        <w:rPr>
          <w:rFonts w:cstheme="minorHAnsi"/>
          <w:lang w:val="en-US"/>
        </w:rPr>
        <w:t xml:space="preserve"> of </w:t>
      </w:r>
      <w:r w:rsidR="003B71C7" w:rsidRPr="00CF0A36">
        <w:rPr>
          <w:rFonts w:cstheme="minorHAnsi"/>
          <w:b/>
          <w:bCs/>
          <w:lang w:val="en-US"/>
        </w:rPr>
        <w:t xml:space="preserve">8 </w:t>
      </w:r>
      <w:r w:rsidR="003B71C7" w:rsidRPr="00CF0A36">
        <w:rPr>
          <w:rFonts w:cstheme="minorHAnsi"/>
          <w:lang w:val="en-US"/>
        </w:rPr>
        <w:t>(</w:t>
      </w:r>
      <w:r w:rsidR="003B71C7" w:rsidRPr="00CF0A36">
        <w:rPr>
          <w:rFonts w:cstheme="minorHAnsi"/>
          <w:b/>
          <w:bCs/>
          <w:lang w:val="en-US"/>
        </w:rPr>
        <w:t>6</w:t>
      </w:r>
      <w:r w:rsidR="003B71C7" w:rsidRPr="00CF0A36">
        <w:rPr>
          <w:rFonts w:cstheme="minorHAnsi"/>
          <w:lang w:val="en-US"/>
        </w:rPr>
        <w:t>) have different (similar) electron-density distribution patterns, as can be seen in the difference-density plots between S</w:t>
      </w:r>
      <w:r w:rsidR="003B71C7" w:rsidRPr="00CF0A36">
        <w:rPr>
          <w:rFonts w:cstheme="minorHAnsi"/>
          <w:vertAlign w:val="subscript"/>
          <w:lang w:val="en-US"/>
        </w:rPr>
        <w:t>1</w:t>
      </w:r>
      <w:r w:rsidR="003B71C7" w:rsidRPr="00CF0A36">
        <w:rPr>
          <w:rFonts w:cstheme="minorHAnsi"/>
          <w:lang w:val="en-US"/>
        </w:rPr>
        <w:t>-T</w:t>
      </w:r>
      <w:r w:rsidR="003B71C7" w:rsidRPr="00CF0A36">
        <w:rPr>
          <w:rFonts w:cstheme="minorHAnsi"/>
          <w:vertAlign w:val="subscript"/>
          <w:lang w:val="en-US"/>
        </w:rPr>
        <w:t>1</w:t>
      </w:r>
      <w:r w:rsidR="003B71C7" w:rsidRPr="00CF0A36">
        <w:rPr>
          <w:rFonts w:cstheme="minorHAnsi"/>
          <w:lang w:val="en-US"/>
        </w:rPr>
        <w:t xml:space="preserve"> and S</w:t>
      </w:r>
      <w:r w:rsidR="003B71C7" w:rsidRPr="00CF0A36">
        <w:rPr>
          <w:rFonts w:cstheme="minorHAnsi"/>
          <w:vertAlign w:val="subscript"/>
          <w:lang w:val="en-US"/>
        </w:rPr>
        <w:t>1</w:t>
      </w:r>
      <w:r w:rsidR="003B71C7" w:rsidRPr="00CF0A36">
        <w:rPr>
          <w:rFonts w:cstheme="minorHAnsi"/>
          <w:lang w:val="en-US"/>
        </w:rPr>
        <w:t>-T</w:t>
      </w:r>
      <w:r w:rsidR="003B71C7" w:rsidRPr="00CF0A36">
        <w:rPr>
          <w:rFonts w:cstheme="minorHAnsi"/>
          <w:vertAlign w:val="subscript"/>
          <w:lang w:val="en-US"/>
        </w:rPr>
        <w:t>2</w:t>
      </w:r>
      <w:r w:rsidR="003B71C7" w:rsidRPr="00CF0A36">
        <w:rPr>
          <w:rFonts w:cstheme="minorHAnsi"/>
          <w:lang w:val="en-US"/>
        </w:rPr>
        <w:t xml:space="preserve"> (</w:t>
      </w:r>
      <w:r w:rsidR="003B71C7" w:rsidRPr="00CF0A36">
        <w:rPr>
          <w:rFonts w:cstheme="minorHAnsi"/>
          <w:bCs/>
          <w:lang w:val="en-US"/>
        </w:rPr>
        <w:t>Fig. 3</w:t>
      </w:r>
      <w:r w:rsidR="003B71C7" w:rsidRPr="00CF0A36">
        <w:rPr>
          <w:rFonts w:cstheme="minorHAnsi"/>
          <w:lang w:val="en-US"/>
        </w:rPr>
        <w:t>). In view of the SOC values and the energy difference of T</w:t>
      </w:r>
      <w:r w:rsidR="003B71C7" w:rsidRPr="00CF0A36">
        <w:rPr>
          <w:rFonts w:cstheme="minorHAnsi"/>
          <w:vertAlign w:val="subscript"/>
          <w:lang w:val="en-US"/>
        </w:rPr>
        <w:t>2</w:t>
      </w:r>
      <w:r w:rsidR="003B71C7" w:rsidRPr="00CF0A36">
        <w:rPr>
          <w:rFonts w:cstheme="minorHAnsi"/>
          <w:lang w:val="en-US"/>
        </w:rPr>
        <w:t xml:space="preserve"> relative to S</w:t>
      </w:r>
      <w:r w:rsidR="003B71C7" w:rsidRPr="00CF0A36">
        <w:rPr>
          <w:rFonts w:cstheme="minorHAnsi"/>
          <w:vertAlign w:val="subscript"/>
          <w:lang w:val="en-US"/>
        </w:rPr>
        <w:t>1</w:t>
      </w:r>
      <w:r w:rsidR="003B71C7" w:rsidRPr="00CF0A36">
        <w:rPr>
          <w:rFonts w:cstheme="minorHAnsi"/>
          <w:lang w:val="en-US"/>
        </w:rPr>
        <w:t>, we propose that T</w:t>
      </w:r>
      <w:r w:rsidR="003B71C7" w:rsidRPr="00CF0A36">
        <w:rPr>
          <w:rFonts w:cstheme="minorHAnsi"/>
          <w:vertAlign w:val="subscript"/>
          <w:lang w:val="en-US"/>
        </w:rPr>
        <w:t>2</w:t>
      </w:r>
      <w:r w:rsidR="003B71C7" w:rsidRPr="00CF0A36">
        <w:rPr>
          <w:rFonts w:cstheme="minorHAnsi"/>
          <w:lang w:val="en-US"/>
        </w:rPr>
        <w:t xml:space="preserve"> could play a major role for the emission behavior of compounds </w:t>
      </w:r>
      <w:r w:rsidR="003B71C7" w:rsidRPr="00CF0A36">
        <w:rPr>
          <w:rFonts w:cstheme="minorHAnsi"/>
          <w:b/>
          <w:bCs/>
          <w:lang w:val="en-US"/>
        </w:rPr>
        <w:t>7</w:t>
      </w:r>
      <w:r w:rsidR="003B71C7" w:rsidRPr="00CF0A36">
        <w:rPr>
          <w:rFonts w:cstheme="minorHAnsi"/>
          <w:lang w:val="en-US"/>
        </w:rPr>
        <w:t xml:space="preserve"> and </w:t>
      </w:r>
      <w:r w:rsidR="003B71C7" w:rsidRPr="00CF0A36">
        <w:rPr>
          <w:rFonts w:cstheme="minorHAnsi"/>
          <w:b/>
          <w:bCs/>
          <w:lang w:val="en-US"/>
        </w:rPr>
        <w:t>8</w:t>
      </w:r>
      <w:r w:rsidR="003B71C7" w:rsidRPr="00CF0A36">
        <w:rPr>
          <w:rFonts w:cstheme="minorHAnsi"/>
          <w:bCs/>
          <w:lang w:val="en-US"/>
        </w:rPr>
        <w:t>,</w:t>
      </w:r>
      <w:r w:rsidR="003B71C7" w:rsidRPr="00CF0A36">
        <w:rPr>
          <w:rFonts w:cstheme="minorHAnsi"/>
          <w:lang w:val="en-US"/>
        </w:rPr>
        <w:t xml:space="preserve"> but less so for that of </w:t>
      </w:r>
      <w:r w:rsidR="003B71C7" w:rsidRPr="00CF0A36">
        <w:rPr>
          <w:rFonts w:cstheme="minorHAnsi"/>
          <w:b/>
          <w:bCs/>
          <w:lang w:val="en-US"/>
        </w:rPr>
        <w:t>6</w:t>
      </w:r>
      <w:r w:rsidR="003B71C7" w:rsidRPr="00CF0A36">
        <w:rPr>
          <w:rFonts w:cstheme="minorHAnsi"/>
          <w:lang w:val="en-US"/>
        </w:rPr>
        <w:t xml:space="preserve">. In the case of compound </w:t>
      </w:r>
      <w:r w:rsidR="003B71C7" w:rsidRPr="00CF0A36">
        <w:rPr>
          <w:rFonts w:cstheme="minorHAnsi"/>
          <w:b/>
          <w:bCs/>
          <w:lang w:val="en-US"/>
        </w:rPr>
        <w:t>2</w:t>
      </w:r>
      <w:r w:rsidR="003B71C7" w:rsidRPr="00CF0A36">
        <w:rPr>
          <w:rFonts w:cstheme="minorHAnsi"/>
          <w:b/>
          <w:bCs/>
          <w:vertAlign w:val="superscript"/>
          <w:lang w:val="en-US"/>
        </w:rPr>
        <w:t>Mes</w:t>
      </w:r>
      <w:r w:rsidR="003B71C7" w:rsidRPr="00CF0A36">
        <w:rPr>
          <w:rFonts w:cstheme="minorHAnsi"/>
          <w:lang w:val="en-US"/>
        </w:rPr>
        <w:t>, both the S</w:t>
      </w:r>
      <w:r w:rsidR="003B71C7" w:rsidRPr="00CF0A36">
        <w:rPr>
          <w:rFonts w:cstheme="minorHAnsi"/>
          <w:vertAlign w:val="subscript"/>
          <w:lang w:val="en-US"/>
        </w:rPr>
        <w:t>1</w:t>
      </w:r>
      <w:r w:rsidR="003B71C7" w:rsidRPr="00CF0A36">
        <w:rPr>
          <w:rFonts w:cstheme="minorHAnsi"/>
          <w:lang w:val="en-US"/>
        </w:rPr>
        <w:t>-T</w:t>
      </w:r>
      <w:r w:rsidR="003B71C7" w:rsidRPr="00CF0A36">
        <w:rPr>
          <w:rFonts w:cstheme="minorHAnsi"/>
          <w:vertAlign w:val="subscript"/>
          <w:lang w:val="en-US"/>
        </w:rPr>
        <w:t>1</w:t>
      </w:r>
      <w:r w:rsidR="003B71C7" w:rsidRPr="00CF0A36">
        <w:rPr>
          <w:rFonts w:cstheme="minorHAnsi"/>
          <w:lang w:val="en-US"/>
        </w:rPr>
        <w:t xml:space="preserve"> and T</w:t>
      </w:r>
      <w:r w:rsidR="003B71C7" w:rsidRPr="00CF0A36">
        <w:rPr>
          <w:rFonts w:cstheme="minorHAnsi"/>
          <w:vertAlign w:val="subscript"/>
          <w:lang w:val="en-US"/>
        </w:rPr>
        <w:t>1</w:t>
      </w:r>
      <w:r w:rsidR="003B71C7" w:rsidRPr="00CF0A36">
        <w:rPr>
          <w:rFonts w:cstheme="minorHAnsi"/>
          <w:lang w:val="en-US"/>
        </w:rPr>
        <w:t>-T</w:t>
      </w:r>
      <w:r w:rsidR="003B71C7" w:rsidRPr="00CF0A36">
        <w:rPr>
          <w:rFonts w:cstheme="minorHAnsi"/>
          <w:vertAlign w:val="subscript"/>
          <w:lang w:val="en-US"/>
        </w:rPr>
        <w:t>2</w:t>
      </w:r>
      <w:r w:rsidR="003B71C7" w:rsidRPr="00CF0A36">
        <w:rPr>
          <w:rFonts w:cstheme="minorHAnsi"/>
          <w:lang w:val="en-US"/>
        </w:rPr>
        <w:t xml:space="preserve"> energy gaps (≈ 0.3 eV) are quite large, thereby limiting reverse intersystem crossing and supporting the observed absence of delayed fluorescence for this compound. </w:t>
      </w:r>
    </w:p>
    <w:p w14:paraId="6F5C6DDE" w14:textId="23048056" w:rsidR="0047418C" w:rsidRPr="001475D2" w:rsidRDefault="003B71C7" w:rsidP="003B71C7">
      <w:pPr>
        <w:jc w:val="both"/>
        <w:rPr>
          <w:rFonts w:eastAsiaTheme="minorEastAsia"/>
          <w:highlight w:val="cyan"/>
          <w:lang w:val="en-US" w:eastAsia="ja-JP" w:bidi="fa-IR"/>
        </w:rPr>
      </w:pPr>
      <w:r w:rsidRPr="00F0537C">
        <w:rPr>
          <w:rFonts w:eastAsiaTheme="minorEastAsia"/>
          <w:lang w:val="en-US" w:eastAsia="ja-JP" w:bidi="fa-IR"/>
        </w:rPr>
        <w:t xml:space="preserve">The </w:t>
      </w:r>
      <w:proofErr w:type="spellStart"/>
      <w:r w:rsidRPr="00F0537C">
        <w:rPr>
          <w:rFonts w:eastAsiaTheme="minorEastAsia"/>
          <w:lang w:val="en-US" w:eastAsia="ja-JP" w:bidi="fa-IR"/>
        </w:rPr>
        <w:t>vibronically</w:t>
      </w:r>
      <w:proofErr w:type="spellEnd"/>
      <w:r w:rsidRPr="00F0537C">
        <w:rPr>
          <w:rFonts w:eastAsiaTheme="minorEastAsia"/>
          <w:lang w:val="en-US" w:eastAsia="ja-JP" w:bidi="fa-IR"/>
        </w:rPr>
        <w:t xml:space="preserve"> resolved absorption and emission spectra of </w:t>
      </w:r>
      <w:r w:rsidRPr="00F0537C">
        <w:rPr>
          <w:b/>
          <w:bCs/>
          <w:lang w:val="en-US" w:eastAsia="ja-JP" w:bidi="fa-IR"/>
        </w:rPr>
        <w:t>6</w:t>
      </w:r>
      <w:r w:rsidRPr="00F0537C">
        <w:rPr>
          <w:lang w:val="en-US" w:eastAsia="ja-JP" w:bidi="fa-IR"/>
        </w:rPr>
        <w:t>–</w:t>
      </w:r>
      <w:r w:rsidRPr="00F0537C">
        <w:rPr>
          <w:b/>
          <w:bCs/>
          <w:lang w:val="en-US" w:eastAsia="ja-JP" w:bidi="fa-IR"/>
        </w:rPr>
        <w:t>8</w:t>
      </w:r>
      <w:r w:rsidRPr="00F0537C">
        <w:rPr>
          <w:lang w:val="en-US" w:eastAsia="ja-JP" w:bidi="fa-IR"/>
        </w:rPr>
        <w:t xml:space="preserve"> and </w:t>
      </w:r>
      <w:r w:rsidRPr="00F0537C">
        <w:rPr>
          <w:b/>
          <w:bCs/>
          <w:lang w:val="en-US" w:eastAsia="ja-JP" w:bidi="fa-IR"/>
        </w:rPr>
        <w:t>2</w:t>
      </w:r>
      <w:r w:rsidRPr="00F0537C">
        <w:rPr>
          <w:b/>
          <w:vertAlign w:val="superscript"/>
          <w:lang w:val="en-US" w:eastAsia="ja-JP" w:bidi="fa-IR"/>
        </w:rPr>
        <w:t>Mes</w:t>
      </w:r>
      <w:r w:rsidRPr="00F0537C">
        <w:rPr>
          <w:lang w:val="en-US" w:eastAsia="ja-JP" w:bidi="fa-IR"/>
        </w:rPr>
        <w:t xml:space="preserve"> were simulated within the Franck-Condon approximation using the normal modes computed at the Time-Dependent Density Functional (TD-DFT) level</w:t>
      </w:r>
      <w:r w:rsidRPr="00F0537C">
        <w:rPr>
          <w:lang w:val="en-US"/>
        </w:rPr>
        <w:t xml:space="preserve"> (see the ESI for further details). As can be seen in Fig. S70a, the experimentally </w:t>
      </w:r>
      <w:r w:rsidRPr="00F0537C">
        <w:rPr>
          <w:lang w:val="en-US"/>
        </w:rPr>
        <w:lastRenderedPageBreak/>
        <w:t>observed trend in the energy of the most bathochromic absorption peak is well reproduced by the S</w:t>
      </w:r>
      <w:r w:rsidRPr="00F0537C">
        <w:rPr>
          <w:vertAlign w:val="subscript"/>
          <w:lang w:val="en-US"/>
        </w:rPr>
        <w:t>1</w:t>
      </w:r>
      <w:r w:rsidRPr="00F0537C">
        <w:rPr>
          <w:lang w:val="en-US"/>
        </w:rPr>
        <w:t xml:space="preserve"> vertical excitation energy computed from the optimized ground-state structure (</w:t>
      </w:r>
      <w:r w:rsidRPr="00F0537C">
        <w:rPr>
          <w:bCs/>
          <w:lang w:val="en-US"/>
        </w:rPr>
        <w:t>Table S8</w:t>
      </w:r>
      <w:r w:rsidRPr="00F0537C">
        <w:rPr>
          <w:lang w:val="en-US"/>
        </w:rPr>
        <w:t xml:space="preserve">). The FWHM values obtained from the simulation of the emission spectra (0.24 eV (31 nm) for </w:t>
      </w:r>
      <w:r w:rsidRPr="00F0537C">
        <w:rPr>
          <w:b/>
          <w:bCs/>
          <w:lang w:val="en-US"/>
        </w:rPr>
        <w:t>6</w:t>
      </w:r>
      <w:r w:rsidRPr="00F0537C">
        <w:rPr>
          <w:lang w:val="en-US"/>
        </w:rPr>
        <w:t>,</w:t>
      </w:r>
      <w:r w:rsidRPr="00F0537C">
        <w:rPr>
          <w:b/>
          <w:bCs/>
          <w:lang w:val="en-US"/>
        </w:rPr>
        <w:t xml:space="preserve"> </w:t>
      </w:r>
      <w:r w:rsidRPr="00F0537C">
        <w:rPr>
          <w:lang w:val="en-US"/>
        </w:rPr>
        <w:t xml:space="preserve">0.20 eV (26 nm) for </w:t>
      </w:r>
      <w:r w:rsidRPr="00F0537C">
        <w:rPr>
          <w:b/>
          <w:bCs/>
          <w:lang w:val="en-US"/>
        </w:rPr>
        <w:t>7</w:t>
      </w:r>
      <w:r w:rsidRPr="00F0537C">
        <w:rPr>
          <w:lang w:val="en-US"/>
        </w:rPr>
        <w:t xml:space="preserve">, 0.21 eV (28 nm) for </w:t>
      </w:r>
      <w:r w:rsidRPr="00F0537C">
        <w:rPr>
          <w:b/>
          <w:bCs/>
          <w:lang w:val="en-US"/>
        </w:rPr>
        <w:t>8</w:t>
      </w:r>
      <w:r w:rsidRPr="00F0537C">
        <w:rPr>
          <w:lang w:val="en-US"/>
        </w:rPr>
        <w:t xml:space="preserve">, and 0.19 eV (23 nm) for </w:t>
      </w:r>
      <w:r w:rsidRPr="00F0537C">
        <w:rPr>
          <w:b/>
          <w:bCs/>
          <w:lang w:val="en-US"/>
        </w:rPr>
        <w:t>2</w:t>
      </w:r>
      <w:r w:rsidRPr="00F0537C">
        <w:rPr>
          <w:b/>
          <w:vertAlign w:val="superscript"/>
          <w:lang w:val="en-US"/>
        </w:rPr>
        <w:t>Mes</w:t>
      </w:r>
      <w:r w:rsidRPr="00F0537C">
        <w:rPr>
          <w:lang w:val="en-US"/>
        </w:rPr>
        <w:t xml:space="preserve">; </w:t>
      </w:r>
      <w:r w:rsidRPr="00F0537C">
        <w:rPr>
          <w:bCs/>
          <w:lang w:val="en-US"/>
        </w:rPr>
        <w:t>Figure S70b</w:t>
      </w:r>
      <w:r w:rsidRPr="00F0537C">
        <w:rPr>
          <w:lang w:val="en-US"/>
        </w:rPr>
        <w:t>) are in excellent agreement with the experiments (</w:t>
      </w:r>
      <w:r w:rsidRPr="00F0537C">
        <w:rPr>
          <w:bCs/>
          <w:lang w:val="en-US"/>
        </w:rPr>
        <w:t>Table 1</w:t>
      </w:r>
      <w:r w:rsidRPr="00F0537C">
        <w:rPr>
          <w:lang w:val="en-US"/>
        </w:rPr>
        <w:t xml:space="preserve">). Moreover, the FWHMs are rather small, in line with the </w:t>
      </w:r>
      <w:proofErr w:type="gramStart"/>
      <w:r w:rsidRPr="00F0537C">
        <w:rPr>
          <w:lang w:val="en-US"/>
        </w:rPr>
        <w:t>small computed</w:t>
      </w:r>
      <w:proofErr w:type="gramEnd"/>
      <w:r w:rsidRPr="00F0537C">
        <w:rPr>
          <w:lang w:val="en-US"/>
        </w:rPr>
        <w:t xml:space="preserve"> reorganization energies of around 0.1 eV, highlighting the rigidity of all compounds (see Figure S71). Apart from molecule </w:t>
      </w:r>
      <w:r w:rsidRPr="00F0537C">
        <w:rPr>
          <w:b/>
          <w:bCs/>
          <w:lang w:val="en-US"/>
        </w:rPr>
        <w:t>7</w:t>
      </w:r>
      <w:r w:rsidRPr="00F0537C">
        <w:rPr>
          <w:lang w:val="en-US"/>
        </w:rPr>
        <w:t xml:space="preserve"> whose emission spectrum is broadened by both low-frequency and high-frequency </w:t>
      </w:r>
      <w:proofErr w:type="gramStart"/>
      <w:r w:rsidRPr="00F0537C">
        <w:rPr>
          <w:lang w:val="en-US"/>
        </w:rPr>
        <w:t>modes,</w:t>
      </w:r>
      <w:proofErr w:type="gramEnd"/>
      <w:r w:rsidRPr="00F0537C">
        <w:rPr>
          <w:lang w:val="en-US"/>
        </w:rPr>
        <w:t xml:space="preserve"> the emission spectra of the other molecules are mainly broadened by low-frequency modes (see Huang-Rhys factor plot in terms of the frequency in </w:t>
      </w:r>
      <w:r w:rsidRPr="00F0537C">
        <w:rPr>
          <w:bCs/>
          <w:lang w:val="en-US"/>
        </w:rPr>
        <w:t>Figure S72</w:t>
      </w:r>
      <w:r w:rsidRPr="00F0537C">
        <w:rPr>
          <w:lang w:val="en-US"/>
        </w:rPr>
        <w:t>).</w:t>
      </w:r>
      <w:r w:rsidR="00E701AD">
        <w:rPr>
          <w:rFonts w:eastAsiaTheme="minorEastAsia"/>
          <w:lang w:val="en-US" w:eastAsia="ja-JP" w:bidi="fa-IR"/>
        </w:rPr>
        <w:t xml:space="preserve"> </w:t>
      </w:r>
    </w:p>
    <w:bookmarkEnd w:id="18"/>
    <w:p w14:paraId="75C82A38" w14:textId="049AC8CF" w:rsidR="00C572C9" w:rsidRDefault="003C64E6" w:rsidP="00C572C9">
      <w:pPr>
        <w:pStyle w:val="Siberschrift1"/>
        <w:numPr>
          <w:ilvl w:val="0"/>
          <w:numId w:val="0"/>
        </w:numPr>
        <w:ind w:left="360"/>
      </w:pPr>
      <w:r>
        <w:rPr>
          <w:noProof/>
        </w:rPr>
        <w:drawing>
          <wp:inline distT="0" distB="0" distL="0" distR="0" wp14:anchorId="41164D45" wp14:editId="0F9F2005">
            <wp:extent cx="4664364" cy="3931928"/>
            <wp:effectExtent l="0" t="0" r="0" b="0"/>
            <wp:docPr id="485693230" name="Picture 1" descr="A group of different colored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693230" name="Picture 1" descr="A group of different colored objects&#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64364" cy="3931928"/>
                    </a:xfrm>
                    <a:prstGeom prst="rect">
                      <a:avLst/>
                    </a:prstGeom>
                  </pic:spPr>
                </pic:pic>
              </a:graphicData>
            </a:graphic>
          </wp:inline>
        </w:drawing>
      </w:r>
    </w:p>
    <w:p w14:paraId="1B08AF64" w14:textId="3E329BD0" w:rsidR="00C572C9" w:rsidRPr="008654BF" w:rsidRDefault="00C572C9" w:rsidP="00C572C9">
      <w:pPr>
        <w:pStyle w:val="Caption"/>
        <w:spacing w:line="276" w:lineRule="auto"/>
        <w:rPr>
          <w:i w:val="0"/>
          <w:iCs w:val="0"/>
          <w:color w:val="000000" w:themeColor="text1"/>
          <w:sz w:val="22"/>
          <w:szCs w:val="22"/>
        </w:rPr>
      </w:pPr>
      <w:bookmarkStart w:id="20" w:name="_Hlk164269456"/>
      <w:r w:rsidRPr="006F16B0">
        <w:rPr>
          <w:b/>
          <w:bCs/>
          <w:i w:val="0"/>
          <w:iCs w:val="0"/>
          <w:color w:val="000000" w:themeColor="text1"/>
          <w:sz w:val="22"/>
          <w:szCs w:val="22"/>
        </w:rPr>
        <w:t>Fig</w:t>
      </w:r>
      <w:r w:rsidR="00D16592" w:rsidRPr="006F16B0">
        <w:rPr>
          <w:b/>
          <w:bCs/>
          <w:i w:val="0"/>
          <w:iCs w:val="0"/>
          <w:color w:val="000000" w:themeColor="text1"/>
          <w:sz w:val="22"/>
          <w:szCs w:val="22"/>
        </w:rPr>
        <w:t>.</w:t>
      </w:r>
      <w:r w:rsidRPr="006F16B0">
        <w:rPr>
          <w:b/>
          <w:bCs/>
          <w:i w:val="0"/>
          <w:iCs w:val="0"/>
          <w:color w:val="000000" w:themeColor="text1"/>
          <w:sz w:val="22"/>
          <w:szCs w:val="22"/>
        </w:rPr>
        <w:t xml:space="preserve"> 3</w:t>
      </w:r>
      <w:r w:rsidRPr="006F16B0">
        <w:rPr>
          <w:i w:val="0"/>
          <w:iCs w:val="0"/>
          <w:color w:val="000000" w:themeColor="text1"/>
          <w:sz w:val="22"/>
          <w:szCs w:val="22"/>
        </w:rPr>
        <w:t xml:space="preserve"> Difference</w:t>
      </w:r>
      <w:r w:rsidR="00C21D3D">
        <w:rPr>
          <w:i w:val="0"/>
          <w:iCs w:val="0"/>
          <w:color w:val="000000" w:themeColor="text1"/>
          <w:sz w:val="22"/>
          <w:szCs w:val="22"/>
        </w:rPr>
        <w:t>-</w:t>
      </w:r>
      <w:r w:rsidRPr="006F16B0">
        <w:rPr>
          <w:i w:val="0"/>
          <w:iCs w:val="0"/>
          <w:color w:val="000000" w:themeColor="text1"/>
          <w:sz w:val="22"/>
          <w:szCs w:val="22"/>
        </w:rPr>
        <w:t>density plot</w:t>
      </w:r>
      <w:r w:rsidR="00C21D3D">
        <w:rPr>
          <w:i w:val="0"/>
          <w:iCs w:val="0"/>
          <w:color w:val="000000" w:themeColor="text1"/>
          <w:sz w:val="22"/>
          <w:szCs w:val="22"/>
        </w:rPr>
        <w:t>s</w:t>
      </w:r>
      <w:r w:rsidRPr="006F16B0">
        <w:rPr>
          <w:i w:val="0"/>
          <w:iCs w:val="0"/>
          <w:color w:val="000000" w:themeColor="text1"/>
          <w:sz w:val="22"/>
          <w:szCs w:val="22"/>
        </w:rPr>
        <w:t xml:space="preserve"> between the excited state</w:t>
      </w:r>
      <w:r w:rsidR="00B0364C" w:rsidRPr="006F16B0">
        <w:rPr>
          <w:i w:val="0"/>
          <w:iCs w:val="0"/>
          <w:color w:val="000000" w:themeColor="text1"/>
          <w:sz w:val="22"/>
          <w:szCs w:val="22"/>
        </w:rPr>
        <w:t>s</w:t>
      </w:r>
      <w:r w:rsidRPr="006F16B0">
        <w:rPr>
          <w:i w:val="0"/>
          <w:iCs w:val="0"/>
          <w:color w:val="000000" w:themeColor="text1"/>
          <w:sz w:val="22"/>
          <w:szCs w:val="22"/>
        </w:rPr>
        <w:t xml:space="preserve"> (S</w:t>
      </w:r>
      <w:r w:rsidRPr="006F16B0">
        <w:rPr>
          <w:i w:val="0"/>
          <w:iCs w:val="0"/>
          <w:color w:val="000000" w:themeColor="text1"/>
          <w:sz w:val="22"/>
          <w:szCs w:val="22"/>
          <w:vertAlign w:val="subscript"/>
        </w:rPr>
        <w:t>1</w:t>
      </w:r>
      <w:r w:rsidRPr="006F16B0">
        <w:rPr>
          <w:i w:val="0"/>
          <w:iCs w:val="0"/>
          <w:color w:val="000000" w:themeColor="text1"/>
          <w:sz w:val="22"/>
          <w:szCs w:val="22"/>
        </w:rPr>
        <w:t>, T</w:t>
      </w:r>
      <w:r w:rsidRPr="006F16B0">
        <w:rPr>
          <w:i w:val="0"/>
          <w:iCs w:val="0"/>
          <w:color w:val="000000" w:themeColor="text1"/>
          <w:sz w:val="22"/>
          <w:szCs w:val="22"/>
          <w:vertAlign w:val="subscript"/>
        </w:rPr>
        <w:t>1</w:t>
      </w:r>
      <w:r w:rsidR="006F16B0" w:rsidRPr="006F16B0">
        <w:rPr>
          <w:i w:val="0"/>
          <w:iCs w:val="0"/>
          <w:color w:val="000000" w:themeColor="text1"/>
          <w:sz w:val="22"/>
          <w:szCs w:val="22"/>
        </w:rPr>
        <w:t>,</w:t>
      </w:r>
      <w:r w:rsidRPr="006F16B0">
        <w:rPr>
          <w:i w:val="0"/>
          <w:iCs w:val="0"/>
          <w:color w:val="000000" w:themeColor="text1"/>
          <w:sz w:val="22"/>
          <w:szCs w:val="22"/>
        </w:rPr>
        <w:t xml:space="preserve"> and T</w:t>
      </w:r>
      <w:r w:rsidRPr="006F16B0">
        <w:rPr>
          <w:i w:val="0"/>
          <w:iCs w:val="0"/>
          <w:color w:val="000000" w:themeColor="text1"/>
          <w:sz w:val="22"/>
          <w:szCs w:val="22"/>
          <w:vertAlign w:val="subscript"/>
        </w:rPr>
        <w:t>2</w:t>
      </w:r>
      <w:r w:rsidRPr="006F16B0">
        <w:rPr>
          <w:i w:val="0"/>
          <w:iCs w:val="0"/>
          <w:color w:val="000000" w:themeColor="text1"/>
          <w:sz w:val="22"/>
          <w:szCs w:val="22"/>
        </w:rPr>
        <w:t>) and the ground state</w:t>
      </w:r>
      <w:r w:rsidR="006F16B0" w:rsidRPr="006F16B0">
        <w:rPr>
          <w:i w:val="0"/>
          <w:iCs w:val="0"/>
          <w:color w:val="000000" w:themeColor="text1"/>
          <w:sz w:val="22"/>
          <w:szCs w:val="22"/>
        </w:rPr>
        <w:t xml:space="preserve"> (S</w:t>
      </w:r>
      <w:r w:rsidR="006F16B0" w:rsidRPr="006F16B0">
        <w:rPr>
          <w:i w:val="0"/>
          <w:iCs w:val="0"/>
          <w:color w:val="000000" w:themeColor="text1"/>
          <w:sz w:val="22"/>
          <w:szCs w:val="22"/>
          <w:vertAlign w:val="subscript"/>
        </w:rPr>
        <w:t>0</w:t>
      </w:r>
      <w:r w:rsidR="006F16B0" w:rsidRPr="006F16B0">
        <w:rPr>
          <w:i w:val="0"/>
          <w:iCs w:val="0"/>
          <w:color w:val="000000" w:themeColor="text1"/>
          <w:sz w:val="22"/>
          <w:szCs w:val="22"/>
        </w:rPr>
        <w:t>)</w:t>
      </w:r>
      <w:r w:rsidRPr="006F16B0">
        <w:rPr>
          <w:i w:val="0"/>
          <w:iCs w:val="0"/>
          <w:color w:val="000000" w:themeColor="text1"/>
          <w:sz w:val="22"/>
          <w:szCs w:val="22"/>
        </w:rPr>
        <w:t xml:space="preserve"> for a) </w:t>
      </w:r>
      <w:r w:rsidRPr="006F16B0">
        <w:rPr>
          <w:b/>
          <w:bCs/>
          <w:i w:val="0"/>
          <w:iCs w:val="0"/>
          <w:color w:val="000000" w:themeColor="text1"/>
          <w:sz w:val="22"/>
          <w:szCs w:val="22"/>
        </w:rPr>
        <w:t>6</w:t>
      </w:r>
      <w:r w:rsidRPr="006F16B0">
        <w:rPr>
          <w:i w:val="0"/>
          <w:iCs w:val="0"/>
          <w:color w:val="000000" w:themeColor="text1"/>
          <w:sz w:val="22"/>
          <w:szCs w:val="22"/>
        </w:rPr>
        <w:t xml:space="preserve">, b) </w:t>
      </w:r>
      <w:r w:rsidRPr="006F16B0">
        <w:rPr>
          <w:b/>
          <w:bCs/>
          <w:i w:val="0"/>
          <w:iCs w:val="0"/>
          <w:color w:val="000000" w:themeColor="text1"/>
          <w:sz w:val="22"/>
          <w:szCs w:val="22"/>
        </w:rPr>
        <w:t>7</w:t>
      </w:r>
      <w:r w:rsidRPr="006F16B0">
        <w:rPr>
          <w:i w:val="0"/>
          <w:iCs w:val="0"/>
          <w:color w:val="000000" w:themeColor="text1"/>
          <w:sz w:val="22"/>
          <w:szCs w:val="22"/>
        </w:rPr>
        <w:t xml:space="preserve">, c) </w:t>
      </w:r>
      <w:r w:rsidRPr="006F16B0">
        <w:rPr>
          <w:b/>
          <w:bCs/>
          <w:i w:val="0"/>
          <w:iCs w:val="0"/>
          <w:color w:val="000000" w:themeColor="text1"/>
          <w:sz w:val="22"/>
          <w:szCs w:val="22"/>
        </w:rPr>
        <w:t>8</w:t>
      </w:r>
      <w:r w:rsidRPr="006F16B0">
        <w:rPr>
          <w:i w:val="0"/>
          <w:iCs w:val="0"/>
          <w:color w:val="000000" w:themeColor="text1"/>
          <w:sz w:val="22"/>
          <w:szCs w:val="22"/>
        </w:rPr>
        <w:t>, and</w:t>
      </w:r>
      <w:r w:rsidR="006F16B0" w:rsidRPr="006F16B0">
        <w:rPr>
          <w:i w:val="0"/>
          <w:iCs w:val="0"/>
          <w:color w:val="000000" w:themeColor="text1"/>
          <w:sz w:val="22"/>
          <w:szCs w:val="22"/>
        </w:rPr>
        <w:t xml:space="preserve"> </w:t>
      </w:r>
      <w:r w:rsidRPr="006F16B0">
        <w:rPr>
          <w:i w:val="0"/>
          <w:iCs w:val="0"/>
          <w:color w:val="000000" w:themeColor="text1"/>
          <w:sz w:val="22"/>
          <w:szCs w:val="22"/>
        </w:rPr>
        <w:t xml:space="preserve">d) </w:t>
      </w:r>
      <w:r w:rsidRPr="006F16B0">
        <w:rPr>
          <w:b/>
          <w:bCs/>
          <w:i w:val="0"/>
          <w:iCs w:val="0"/>
          <w:color w:val="000000" w:themeColor="text1"/>
          <w:sz w:val="22"/>
          <w:szCs w:val="22"/>
        </w:rPr>
        <w:t>2</w:t>
      </w:r>
      <w:r w:rsidRPr="006F16B0">
        <w:rPr>
          <w:b/>
          <w:bCs/>
          <w:i w:val="0"/>
          <w:iCs w:val="0"/>
          <w:color w:val="000000" w:themeColor="text1"/>
          <w:sz w:val="22"/>
          <w:szCs w:val="22"/>
          <w:vertAlign w:val="superscript"/>
        </w:rPr>
        <w:t>Mes</w:t>
      </w:r>
      <w:r w:rsidRPr="006F16B0">
        <w:rPr>
          <w:i w:val="0"/>
          <w:iCs w:val="0"/>
          <w:color w:val="000000" w:themeColor="text1"/>
          <w:sz w:val="22"/>
          <w:szCs w:val="22"/>
        </w:rPr>
        <w:t xml:space="preserve"> calculated at the SCS-ADC(2</w:t>
      </w:r>
      <w:r w:rsidRPr="00353205">
        <w:rPr>
          <w:i w:val="0"/>
          <w:iCs w:val="0"/>
          <w:color w:val="000000" w:themeColor="text1"/>
          <w:sz w:val="22"/>
          <w:szCs w:val="22"/>
          <w:highlight w:val="cyan"/>
        </w:rPr>
        <w:t>)/def2-</w:t>
      </w:r>
      <w:r w:rsidR="00353205" w:rsidRPr="00353205">
        <w:rPr>
          <w:i w:val="0"/>
          <w:iCs w:val="0"/>
          <w:color w:val="000000" w:themeColor="text1"/>
          <w:sz w:val="22"/>
          <w:szCs w:val="22"/>
          <w:highlight w:val="cyan"/>
        </w:rPr>
        <w:t>SVP</w:t>
      </w:r>
      <w:r w:rsidR="00B0364C" w:rsidRPr="00353205">
        <w:rPr>
          <w:i w:val="0"/>
          <w:iCs w:val="0"/>
          <w:color w:val="000000" w:themeColor="text1"/>
          <w:sz w:val="22"/>
          <w:szCs w:val="22"/>
          <w:highlight w:val="cyan"/>
        </w:rPr>
        <w:t xml:space="preserve"> level</w:t>
      </w:r>
      <w:r w:rsidR="005F1AA3" w:rsidRPr="00353205">
        <w:rPr>
          <w:i w:val="0"/>
          <w:iCs w:val="0"/>
          <w:color w:val="000000" w:themeColor="text1"/>
          <w:sz w:val="22"/>
          <w:szCs w:val="22"/>
          <w:highlight w:val="cyan"/>
        </w:rPr>
        <w:t>.</w:t>
      </w:r>
      <w:r w:rsidRPr="006F16B0">
        <w:rPr>
          <w:i w:val="0"/>
          <w:iCs w:val="0"/>
          <w:color w:val="000000" w:themeColor="text1"/>
          <w:sz w:val="22"/>
          <w:szCs w:val="22"/>
        </w:rPr>
        <w:t xml:space="preserve"> </w:t>
      </w:r>
      <w:r w:rsidRPr="006F16B0">
        <w:rPr>
          <w:i w:val="0"/>
          <w:iCs w:val="0"/>
          <w:color w:val="000000"/>
          <w:sz w:val="22"/>
          <w:szCs w:val="22"/>
        </w:rPr>
        <w:t xml:space="preserve">An </w:t>
      </w:r>
      <w:proofErr w:type="spellStart"/>
      <w:r w:rsidRPr="006F16B0">
        <w:rPr>
          <w:i w:val="0"/>
          <w:iCs w:val="0"/>
          <w:color w:val="000000"/>
          <w:sz w:val="22"/>
          <w:szCs w:val="22"/>
        </w:rPr>
        <w:t>isovalue</w:t>
      </w:r>
      <w:proofErr w:type="spellEnd"/>
      <w:r w:rsidRPr="006F16B0">
        <w:rPr>
          <w:i w:val="0"/>
          <w:iCs w:val="0"/>
          <w:color w:val="000000"/>
          <w:sz w:val="22"/>
          <w:szCs w:val="22"/>
        </w:rPr>
        <w:t xml:space="preserve"> of 0.001 e/au</w:t>
      </w:r>
      <w:r w:rsidRPr="006F16B0">
        <w:rPr>
          <w:i w:val="0"/>
          <w:iCs w:val="0"/>
          <w:color w:val="000000"/>
          <w:sz w:val="22"/>
          <w:szCs w:val="22"/>
          <w:vertAlign w:val="superscript"/>
        </w:rPr>
        <w:t>3</w:t>
      </w:r>
      <w:r w:rsidRPr="006F16B0">
        <w:rPr>
          <w:i w:val="0"/>
          <w:iCs w:val="0"/>
          <w:color w:val="000000"/>
          <w:sz w:val="22"/>
          <w:szCs w:val="22"/>
        </w:rPr>
        <w:t xml:space="preserve"> was used to plot the densities</w:t>
      </w:r>
      <w:bookmarkEnd w:id="20"/>
      <w:r w:rsidRPr="006F16B0">
        <w:rPr>
          <w:i w:val="0"/>
          <w:iCs w:val="0"/>
          <w:color w:val="000000"/>
          <w:sz w:val="22"/>
          <w:szCs w:val="22"/>
        </w:rPr>
        <w:t>.</w:t>
      </w:r>
    </w:p>
    <w:bookmarkEnd w:id="17"/>
    <w:p w14:paraId="1C848015" w14:textId="6BE077E3" w:rsidR="00D96A4A" w:rsidRPr="00731166" w:rsidRDefault="00D96A4A" w:rsidP="006F16B0">
      <w:pPr>
        <w:jc w:val="both"/>
        <w:rPr>
          <w:lang w:val="en-US"/>
        </w:rPr>
      </w:pPr>
      <w:r w:rsidRPr="00731166">
        <w:rPr>
          <w:lang w:val="en-US"/>
        </w:rPr>
        <w:t>Conclusion:</w:t>
      </w:r>
    </w:p>
    <w:p w14:paraId="283F86FD" w14:textId="77777777" w:rsidR="00C92D2E" w:rsidRPr="00C92D2E" w:rsidRDefault="00C92D2E" w:rsidP="00C92D2E">
      <w:pPr>
        <w:jc w:val="both"/>
        <w:rPr>
          <w:lang w:val="en-US"/>
        </w:rPr>
      </w:pPr>
      <w:bookmarkStart w:id="21" w:name="_Hlk164267011"/>
      <w:r w:rsidRPr="00C92D2E">
        <w:rPr>
          <w:lang w:val="en-US"/>
        </w:rPr>
        <w:t>1,3- and 1,3,5-Azasilaanthryl-substituted benzenes (</w:t>
      </w:r>
      <w:r w:rsidRPr="00C92D2E">
        <w:rPr>
          <w:b/>
          <w:lang w:val="en-US"/>
        </w:rPr>
        <w:t>1</w:t>
      </w:r>
      <w:r w:rsidRPr="00C92D2E">
        <w:rPr>
          <w:lang w:val="en-US"/>
        </w:rPr>
        <w:t xml:space="preserve"> and </w:t>
      </w:r>
      <w:r w:rsidRPr="00C92D2E">
        <w:rPr>
          <w:b/>
          <w:lang w:val="en-US"/>
        </w:rPr>
        <w:t>5</w:t>
      </w:r>
      <w:r w:rsidRPr="00C92D2E">
        <w:rPr>
          <w:lang w:val="en-US"/>
        </w:rPr>
        <w:t xml:space="preserve">) contain only small, locally constrained π-conjugated systems, due to their sterically enforced propeller-type conformations. We have now demonstrated that a one-pot sequence of Si/B exchange, skeletal rearrangement, and electrophilic borylation reactions leads from </w:t>
      </w:r>
      <w:r w:rsidRPr="00C92D2E">
        <w:rPr>
          <w:b/>
          <w:lang w:val="en-US"/>
        </w:rPr>
        <w:t>1</w:t>
      </w:r>
      <w:r w:rsidRPr="00C92D2E">
        <w:rPr>
          <w:lang w:val="en-US"/>
        </w:rPr>
        <w:t xml:space="preserve"> or </w:t>
      </w:r>
      <w:r w:rsidRPr="00C92D2E">
        <w:rPr>
          <w:b/>
          <w:lang w:val="en-US"/>
        </w:rPr>
        <w:t>5</w:t>
      </w:r>
      <w:r w:rsidRPr="00C92D2E">
        <w:rPr>
          <w:lang w:val="en-US"/>
        </w:rPr>
        <w:t xml:space="preserve"> to </w:t>
      </w:r>
      <w:proofErr w:type="spellStart"/>
      <w:r w:rsidRPr="00C92D2E">
        <w:rPr>
          <w:lang w:val="en-US"/>
        </w:rPr>
        <w:t>B</w:t>
      </w:r>
      <w:r w:rsidRPr="00C92D2E">
        <w:rPr>
          <w:i/>
          <w:vertAlign w:val="subscript"/>
          <w:lang w:val="en-US"/>
        </w:rPr>
        <w:t>n</w:t>
      </w:r>
      <w:r w:rsidRPr="00C92D2E">
        <w:rPr>
          <w:lang w:val="en-US"/>
        </w:rPr>
        <w:t>,N</w:t>
      </w:r>
      <w:r w:rsidRPr="00C92D2E">
        <w:rPr>
          <w:i/>
          <w:vertAlign w:val="subscript"/>
          <w:lang w:val="en-US"/>
        </w:rPr>
        <w:t>m</w:t>
      </w:r>
      <w:proofErr w:type="spellEnd"/>
      <w:r w:rsidRPr="00C92D2E">
        <w:rPr>
          <w:lang w:val="en-US"/>
        </w:rPr>
        <w:t xml:space="preserve">-doped </w:t>
      </w:r>
      <w:proofErr w:type="spellStart"/>
      <w:r w:rsidRPr="00C92D2E">
        <w:rPr>
          <w:lang w:val="en-US"/>
        </w:rPr>
        <w:t>nanographenes</w:t>
      </w:r>
      <w:proofErr w:type="spellEnd"/>
      <w:r w:rsidRPr="00C92D2E">
        <w:rPr>
          <w:lang w:val="en-US"/>
        </w:rPr>
        <w:t xml:space="preserve"> with extended π-electron clouds. The series of closely related products (</w:t>
      </w:r>
      <w:r w:rsidRPr="00C92D2E">
        <w:rPr>
          <w:b/>
          <w:bCs/>
          <w:lang w:val="en-US"/>
        </w:rPr>
        <w:t>6</w:t>
      </w:r>
      <w:r w:rsidRPr="00C92D2E">
        <w:rPr>
          <w:bCs/>
          <w:lang w:val="en-US"/>
        </w:rPr>
        <w:t>–</w:t>
      </w:r>
      <w:r w:rsidRPr="00C92D2E">
        <w:rPr>
          <w:b/>
          <w:bCs/>
          <w:lang w:val="en-US"/>
        </w:rPr>
        <w:t>8</w:t>
      </w:r>
      <w:r w:rsidRPr="00C92D2E">
        <w:rPr>
          <w:lang w:val="en-US"/>
        </w:rPr>
        <w:t xml:space="preserve">) enabled us to elucidate the profound effects of linking peripheral aryl fragments in </w:t>
      </w:r>
      <w:r w:rsidRPr="00C92D2E">
        <w:rPr>
          <w:b/>
          <w:lang w:val="en-US"/>
        </w:rPr>
        <w:t>6</w:t>
      </w:r>
      <w:r w:rsidRPr="00C92D2E">
        <w:rPr>
          <w:lang w:val="en-US"/>
        </w:rPr>
        <w:t xml:space="preserve"> by either a direct C–C bond (</w:t>
      </w:r>
      <w:r w:rsidRPr="00C92D2E">
        <w:rPr>
          <w:b/>
          <w:lang w:val="en-US"/>
        </w:rPr>
        <w:t>7</w:t>
      </w:r>
      <w:r w:rsidRPr="00C92D2E">
        <w:rPr>
          <w:lang w:val="en-US"/>
        </w:rPr>
        <w:t>) or a borylene bridge (</w:t>
      </w:r>
      <w:r w:rsidRPr="00C92D2E">
        <w:rPr>
          <w:b/>
          <w:lang w:val="en-US"/>
        </w:rPr>
        <w:t>8</w:t>
      </w:r>
      <w:r w:rsidRPr="00C92D2E">
        <w:rPr>
          <w:lang w:val="en-US"/>
        </w:rPr>
        <w:t>). Apart from substantial structural changes (</w:t>
      </w:r>
      <w:r w:rsidRPr="00C92D2E">
        <w:rPr>
          <w:b/>
          <w:lang w:val="en-US"/>
        </w:rPr>
        <w:t>6</w:t>
      </w:r>
      <w:r w:rsidRPr="00C92D2E">
        <w:rPr>
          <w:lang w:val="en-US"/>
        </w:rPr>
        <w:t xml:space="preserve"> is a trifold [4]helicene whereas </w:t>
      </w:r>
      <w:r w:rsidRPr="00C92D2E">
        <w:rPr>
          <w:b/>
          <w:lang w:val="en-US"/>
        </w:rPr>
        <w:t>7</w:t>
      </w:r>
      <w:r w:rsidRPr="00C92D2E">
        <w:rPr>
          <w:lang w:val="en-US"/>
        </w:rPr>
        <w:t xml:space="preserve"> is essentially planar), especially the optoelectronic properties are affected: upon going from </w:t>
      </w:r>
      <w:r w:rsidRPr="00C92D2E">
        <w:rPr>
          <w:b/>
          <w:lang w:val="en-US"/>
        </w:rPr>
        <w:t>6</w:t>
      </w:r>
      <w:r w:rsidRPr="00C92D2E">
        <w:rPr>
          <w:lang w:val="en-US"/>
        </w:rPr>
        <w:t xml:space="preserve"> to </w:t>
      </w:r>
      <w:r w:rsidRPr="00C92D2E">
        <w:rPr>
          <w:b/>
          <w:lang w:val="en-US"/>
        </w:rPr>
        <w:t>8</w:t>
      </w:r>
      <w:r w:rsidRPr="00C92D2E">
        <w:rPr>
          <w:lang w:val="en-US"/>
        </w:rPr>
        <w:t xml:space="preserve">, electrochemical reduction becomes more facile by 0.37 V; the most bathochromic absorption band and the emission band shift from 424 nm to 461 nm and from 447 nm to 493 nm, respectively. The distribution of the π-electron-accepting B atoms and the π-electron-donating N atoms in the individual polycyclic aromatic hydrocarbons fulfils the formal prerequisite for multiple resonance thermally activated delayed fluorescence (MR-TADF). </w:t>
      </w:r>
      <w:r w:rsidRPr="00C92D2E">
        <w:rPr>
          <w:lang w:val="en-US"/>
        </w:rPr>
        <w:lastRenderedPageBreak/>
        <w:t xml:space="preserve">Indeed, the transient emission-decay curves of </w:t>
      </w:r>
      <w:r w:rsidRPr="00C92D2E">
        <w:rPr>
          <w:b/>
          <w:lang w:val="en-US"/>
        </w:rPr>
        <w:t>6</w:t>
      </w:r>
      <w:r w:rsidRPr="00C92D2E">
        <w:rPr>
          <w:lang w:val="en-US"/>
        </w:rPr>
        <w:t>–</w:t>
      </w:r>
      <w:r w:rsidRPr="00C92D2E">
        <w:rPr>
          <w:b/>
          <w:lang w:val="en-US"/>
        </w:rPr>
        <w:t>8</w:t>
      </w:r>
      <w:r w:rsidRPr="00C92D2E">
        <w:rPr>
          <w:lang w:val="en-US"/>
        </w:rPr>
        <w:t xml:space="preserve"> show a delayed component and quantum-chemical calculations reveal short-range charge-transfer excited states with alternating patterns of increasing and decreasing electron density on adjacent atoms. The energy gaps between the S</w:t>
      </w:r>
      <w:r w:rsidRPr="00C92D2E">
        <w:rPr>
          <w:vertAlign w:val="subscript"/>
          <w:lang w:val="en-US"/>
        </w:rPr>
        <w:t>1</w:t>
      </w:r>
      <w:r w:rsidRPr="00C92D2E">
        <w:rPr>
          <w:lang w:val="en-US"/>
        </w:rPr>
        <w:t xml:space="preserve"> and T</w:t>
      </w:r>
      <w:r w:rsidRPr="00C92D2E">
        <w:rPr>
          <w:vertAlign w:val="subscript"/>
          <w:lang w:val="en-US"/>
        </w:rPr>
        <w:t>1</w:t>
      </w:r>
      <w:r w:rsidRPr="00C92D2E">
        <w:rPr>
          <w:lang w:val="en-US"/>
        </w:rPr>
        <w:t xml:space="preserve"> states (Δ</w:t>
      </w:r>
      <w:r w:rsidRPr="00C92D2E">
        <w:rPr>
          <w:i/>
          <w:lang w:val="en-US"/>
        </w:rPr>
        <w:t>E</w:t>
      </w:r>
      <w:r w:rsidRPr="00C92D2E">
        <w:rPr>
          <w:vertAlign w:val="subscript"/>
          <w:lang w:val="en-US"/>
        </w:rPr>
        <w:t>ST</w:t>
      </w:r>
      <w:r w:rsidRPr="00C92D2E">
        <w:rPr>
          <w:lang w:val="en-US"/>
        </w:rPr>
        <w:t>) are predicted to be small (≤ 0.2 eV). Also, the computed spin-orbit coupling between the S</w:t>
      </w:r>
      <w:r w:rsidRPr="00C92D2E">
        <w:rPr>
          <w:vertAlign w:val="subscript"/>
          <w:lang w:val="en-US"/>
        </w:rPr>
        <w:t>1</w:t>
      </w:r>
      <w:r w:rsidRPr="00C92D2E">
        <w:rPr>
          <w:lang w:val="en-US"/>
        </w:rPr>
        <w:t xml:space="preserve"> and T</w:t>
      </w:r>
      <w:r w:rsidRPr="00C92D2E">
        <w:rPr>
          <w:vertAlign w:val="subscript"/>
          <w:lang w:val="en-US"/>
        </w:rPr>
        <w:t>1</w:t>
      </w:r>
      <w:r w:rsidRPr="00C92D2E">
        <w:rPr>
          <w:lang w:val="en-US"/>
        </w:rPr>
        <w:t xml:space="preserve"> states of </w:t>
      </w:r>
      <w:r w:rsidRPr="00C92D2E">
        <w:rPr>
          <w:b/>
          <w:lang w:val="en-US"/>
        </w:rPr>
        <w:t>6</w:t>
      </w:r>
      <w:r w:rsidRPr="00C92D2E">
        <w:rPr>
          <w:lang w:val="en-US"/>
        </w:rPr>
        <w:t>–</w:t>
      </w:r>
      <w:r w:rsidRPr="00C92D2E">
        <w:rPr>
          <w:b/>
          <w:lang w:val="en-US"/>
        </w:rPr>
        <w:t>8</w:t>
      </w:r>
      <w:r w:rsidRPr="00C92D2E">
        <w:rPr>
          <w:lang w:val="en-US"/>
        </w:rPr>
        <w:t xml:space="preserve"> is appreciably high. In summary, we herein disclose a straightforward route to potentially useful, energy-efficient OLED emitters.</w:t>
      </w:r>
    </w:p>
    <w:p w14:paraId="4D96071C" w14:textId="7C501B98" w:rsidR="00D96A4A" w:rsidRPr="00C92D2E" w:rsidRDefault="00D96A4A" w:rsidP="00C92D2E">
      <w:pPr>
        <w:jc w:val="both"/>
        <w:rPr>
          <w:lang w:val="en-US"/>
        </w:rPr>
      </w:pPr>
    </w:p>
    <w:bookmarkEnd w:id="21"/>
    <w:p w14:paraId="61EB5E02" w14:textId="77777777" w:rsidR="00D96A4A" w:rsidRDefault="00D96A4A" w:rsidP="006F16B0">
      <w:pPr>
        <w:jc w:val="both"/>
        <w:rPr>
          <w:lang w:val="en-US"/>
        </w:rPr>
      </w:pPr>
    </w:p>
    <w:p w14:paraId="2A784B95" w14:textId="77777777" w:rsidR="00D96A4A" w:rsidRPr="00973C0E" w:rsidRDefault="00D96A4A" w:rsidP="006F16B0">
      <w:pPr>
        <w:jc w:val="both"/>
        <w:rPr>
          <w:lang w:val="en-US" w:eastAsia="ja-JP" w:bidi="fa-IR"/>
        </w:rPr>
      </w:pPr>
    </w:p>
    <w:p w14:paraId="6117CF8A" w14:textId="6FF978BC" w:rsidR="0047418C" w:rsidRDefault="0047418C" w:rsidP="00B42021">
      <w:pPr>
        <w:jc w:val="both"/>
        <w:rPr>
          <w:lang w:val="en-US"/>
        </w:rPr>
      </w:pPr>
    </w:p>
    <w:p w14:paraId="3E91A229" w14:textId="674BC6D5" w:rsidR="000F6ACC" w:rsidRDefault="00E54BA8" w:rsidP="00B42021">
      <w:pPr>
        <w:jc w:val="both"/>
        <w:rPr>
          <w:lang w:val="en-US"/>
        </w:rPr>
      </w:pPr>
      <w:r>
        <w:rPr>
          <w:lang w:val="en-US"/>
        </w:rPr>
        <w:t>Author Contributions:</w:t>
      </w:r>
    </w:p>
    <w:p w14:paraId="0974743E" w14:textId="4241B86F" w:rsidR="00C572C9" w:rsidRDefault="00C572C9" w:rsidP="00C572C9">
      <w:pPr>
        <w:jc w:val="both"/>
        <w:rPr>
          <w:lang w:val="en-US"/>
        </w:rPr>
      </w:pPr>
      <w:bookmarkStart w:id="22" w:name="_Hlk164267054"/>
      <w:r w:rsidRPr="00C92D2E">
        <w:rPr>
          <w:lang w:val="en-US"/>
        </w:rPr>
        <w:t xml:space="preserve">E. Z. carried out all compound syntheses, characterizations of new compounds, and quantum-chemical calculations of </w:t>
      </w:r>
      <w:r w:rsidRPr="00C92D2E">
        <w:rPr>
          <w:b/>
          <w:lang w:val="en-US"/>
        </w:rPr>
        <w:t>2</w:t>
      </w:r>
      <w:r w:rsidRPr="00C92D2E">
        <w:rPr>
          <w:b/>
          <w:vertAlign w:val="superscript"/>
          <w:lang w:val="en-US"/>
        </w:rPr>
        <w:t>Br</w:t>
      </w:r>
      <w:r w:rsidRPr="00C92D2E">
        <w:rPr>
          <w:lang w:val="en-US"/>
        </w:rPr>
        <w:t xml:space="preserve"> and </w:t>
      </w:r>
      <w:r w:rsidRPr="00C92D2E">
        <w:rPr>
          <w:b/>
          <w:lang w:val="en-US"/>
        </w:rPr>
        <w:t>3</w:t>
      </w:r>
      <w:r w:rsidRPr="00C92D2E">
        <w:rPr>
          <w:b/>
          <w:vertAlign w:val="superscript"/>
          <w:lang w:val="en-US"/>
        </w:rPr>
        <w:t>Br</w:t>
      </w:r>
      <w:r w:rsidRPr="00C92D2E">
        <w:rPr>
          <w:lang w:val="en-US"/>
        </w:rPr>
        <w:t xml:space="preserve">. </w:t>
      </w:r>
      <w:r w:rsidR="008E3022" w:rsidRPr="00C92D2E">
        <w:rPr>
          <w:lang w:val="en-US"/>
        </w:rPr>
        <w:t xml:space="preserve">All other computational studies were performed by D. V. and Y. O. </w:t>
      </w:r>
      <w:r w:rsidRPr="00C92D2E">
        <w:rPr>
          <w:lang w:val="en-US"/>
        </w:rPr>
        <w:t xml:space="preserve">R. N. assisted with the synthesis of </w:t>
      </w:r>
      <w:r w:rsidRPr="00C92D2E">
        <w:rPr>
          <w:b/>
          <w:lang w:val="en-US"/>
        </w:rPr>
        <w:t>2</w:t>
      </w:r>
      <w:r w:rsidRPr="00C92D2E">
        <w:rPr>
          <w:b/>
          <w:vertAlign w:val="superscript"/>
          <w:lang w:val="en-US"/>
        </w:rPr>
        <w:t>Mes</w:t>
      </w:r>
      <w:r w:rsidRPr="00C92D2E">
        <w:rPr>
          <w:lang w:val="en-US"/>
        </w:rPr>
        <w:t xml:space="preserve">, </w:t>
      </w:r>
      <w:r w:rsidRPr="00C92D2E">
        <w:rPr>
          <w:b/>
          <w:lang w:val="en-US"/>
        </w:rPr>
        <w:t>2</w:t>
      </w:r>
      <w:r w:rsidRPr="00C92D2E">
        <w:rPr>
          <w:b/>
          <w:vertAlign w:val="superscript"/>
          <w:lang w:val="en-US"/>
        </w:rPr>
        <w:t>Br</w:t>
      </w:r>
      <w:r w:rsidRPr="00C92D2E">
        <w:rPr>
          <w:lang w:val="en-US"/>
        </w:rPr>
        <w:t xml:space="preserve">, and </w:t>
      </w:r>
      <w:r w:rsidRPr="00C92D2E">
        <w:rPr>
          <w:b/>
          <w:lang w:val="en-US"/>
        </w:rPr>
        <w:t>3</w:t>
      </w:r>
      <w:r w:rsidRPr="00C92D2E">
        <w:rPr>
          <w:b/>
          <w:vertAlign w:val="superscript"/>
          <w:lang w:val="en-US"/>
        </w:rPr>
        <w:t>Mes</w:t>
      </w:r>
      <w:r w:rsidRPr="00C92D2E">
        <w:rPr>
          <w:lang w:val="en-US"/>
        </w:rPr>
        <w:t xml:space="preserve">. S. K. assisted with the synthesis of </w:t>
      </w:r>
      <w:r w:rsidRPr="00C92D2E">
        <w:rPr>
          <w:b/>
          <w:lang w:val="en-US"/>
        </w:rPr>
        <w:t>1</w:t>
      </w:r>
      <w:r w:rsidRPr="00C92D2E">
        <w:rPr>
          <w:lang w:val="en-US"/>
        </w:rPr>
        <w:t xml:space="preserve">, </w:t>
      </w:r>
      <w:r w:rsidRPr="00C92D2E">
        <w:rPr>
          <w:b/>
          <w:lang w:val="en-US"/>
        </w:rPr>
        <w:t>5</w:t>
      </w:r>
      <w:r w:rsidRPr="00C92D2E">
        <w:rPr>
          <w:lang w:val="en-US"/>
        </w:rPr>
        <w:t xml:space="preserve">, and </w:t>
      </w:r>
      <w:r w:rsidRPr="00C92D2E">
        <w:rPr>
          <w:b/>
          <w:lang w:val="en-US"/>
        </w:rPr>
        <w:t>9</w:t>
      </w:r>
      <w:r w:rsidRPr="00C92D2E">
        <w:rPr>
          <w:b/>
          <w:vertAlign w:val="superscript"/>
          <w:lang w:val="en-US"/>
        </w:rPr>
        <w:t>Mes</w:t>
      </w:r>
      <w:r w:rsidRPr="00C92D2E">
        <w:rPr>
          <w:lang w:val="en-US"/>
        </w:rPr>
        <w:t xml:space="preserve">. M. B. performed the X-ray crystal structure analysis of </w:t>
      </w:r>
      <w:r w:rsidRPr="00C92D2E">
        <w:rPr>
          <w:b/>
          <w:lang w:val="en-US"/>
        </w:rPr>
        <w:t>2</w:t>
      </w:r>
      <w:r w:rsidRPr="00C92D2E">
        <w:rPr>
          <w:b/>
          <w:vertAlign w:val="superscript"/>
          <w:lang w:val="en-US"/>
        </w:rPr>
        <w:t>Br</w:t>
      </w:r>
      <w:r w:rsidRPr="00C92D2E">
        <w:rPr>
          <w:lang w:val="en-US"/>
        </w:rPr>
        <w:t>. A. V. performed the X-ray crystal structure analyses of all other compounds. H.-W. L.</w:t>
      </w:r>
      <w:r w:rsidR="00280F3F" w:rsidRPr="00C92D2E">
        <w:rPr>
          <w:lang w:val="en-US"/>
        </w:rPr>
        <w:t>, Y. O., and</w:t>
      </w:r>
      <w:r w:rsidRPr="00C92D2E">
        <w:rPr>
          <w:lang w:val="en-US"/>
        </w:rPr>
        <w:t xml:space="preserve"> M. W. supervised the project. The manuscript was written by E. Z.</w:t>
      </w:r>
      <w:r w:rsidR="006831CD" w:rsidRPr="00C92D2E">
        <w:rPr>
          <w:lang w:val="en-US"/>
        </w:rPr>
        <w:t>, D. V., Y. O.,</w:t>
      </w:r>
      <w:r w:rsidRPr="00C92D2E">
        <w:rPr>
          <w:lang w:val="en-US"/>
        </w:rPr>
        <w:t xml:space="preserve"> and M. W. and edited by all co-authors</w:t>
      </w:r>
      <w:bookmarkEnd w:id="22"/>
      <w:r w:rsidRPr="00C92D2E">
        <w:rPr>
          <w:lang w:val="en-US"/>
        </w:rPr>
        <w:t>.</w:t>
      </w:r>
      <w:r w:rsidRPr="00E54BA8">
        <w:rPr>
          <w:lang w:val="en-US"/>
        </w:rPr>
        <w:t xml:space="preserve"> </w:t>
      </w:r>
    </w:p>
    <w:p w14:paraId="599BC99D" w14:textId="77777777" w:rsidR="008362DE" w:rsidRPr="00E54BA8" w:rsidRDefault="008362DE" w:rsidP="00B42021">
      <w:pPr>
        <w:jc w:val="both"/>
        <w:rPr>
          <w:lang w:val="en-US"/>
        </w:rPr>
      </w:pPr>
    </w:p>
    <w:p w14:paraId="4EB4A596" w14:textId="4D7D78DA" w:rsidR="00E17640" w:rsidRDefault="00E17640" w:rsidP="00B42021">
      <w:pPr>
        <w:jc w:val="both"/>
        <w:rPr>
          <w:lang w:val="en-US"/>
        </w:rPr>
      </w:pPr>
      <w:r>
        <w:rPr>
          <w:lang w:val="en-US"/>
        </w:rPr>
        <w:t xml:space="preserve">Acknowledgments: </w:t>
      </w:r>
    </w:p>
    <w:p w14:paraId="66069F09" w14:textId="4583F4FE" w:rsidR="00C572C9" w:rsidRPr="00531350" w:rsidRDefault="00C572C9" w:rsidP="00C572C9">
      <w:pPr>
        <w:jc w:val="both"/>
        <w:rPr>
          <w:lang w:val="en-US"/>
        </w:rPr>
      </w:pPr>
      <w:bookmarkStart w:id="23" w:name="_Hlk164267145"/>
      <w:r w:rsidRPr="00112A18">
        <w:rPr>
          <w:lang w:val="en-US"/>
        </w:rPr>
        <w:t xml:space="preserve">Parts of this research (project I-20220822) were carried out </w:t>
      </w:r>
      <w:r w:rsidR="00F54484">
        <w:rPr>
          <w:lang w:val="en-US"/>
        </w:rPr>
        <w:t>at</w:t>
      </w:r>
      <w:r w:rsidRPr="00112A18">
        <w:rPr>
          <w:lang w:val="en-US"/>
        </w:rPr>
        <w:t xml:space="preserve"> PETRA III at DESY</w:t>
      </w:r>
      <w:r>
        <w:rPr>
          <w:lang w:val="en-US"/>
        </w:rPr>
        <w:t xml:space="preserve"> (Hamburg)</w:t>
      </w:r>
      <w:r w:rsidRPr="00112A18">
        <w:rPr>
          <w:lang w:val="en-US"/>
        </w:rPr>
        <w:t>, a member of the Helmholtz Association (HGF)</w:t>
      </w:r>
      <w:r>
        <w:rPr>
          <w:lang w:val="en-US"/>
        </w:rPr>
        <w:t xml:space="preserve">. </w:t>
      </w:r>
      <w:r w:rsidRPr="00693DE2">
        <w:rPr>
          <w:lang w:val="en-US"/>
        </w:rPr>
        <w:t>We</w:t>
      </w:r>
      <w:r w:rsidRPr="00E17640">
        <w:rPr>
          <w:lang w:val="en-US"/>
        </w:rPr>
        <w:t xml:space="preserve"> </w:t>
      </w:r>
      <w:r w:rsidRPr="00693DE2">
        <w:rPr>
          <w:lang w:val="en-US"/>
        </w:rPr>
        <w:t xml:space="preserve">would like to </w:t>
      </w:r>
      <w:r w:rsidRPr="00E17640">
        <w:rPr>
          <w:lang w:val="en-US"/>
        </w:rPr>
        <w:t xml:space="preserve">thank Dr. Martin </w:t>
      </w:r>
      <w:proofErr w:type="spellStart"/>
      <w:r w:rsidRPr="00E17640">
        <w:rPr>
          <w:lang w:val="en-US"/>
        </w:rPr>
        <w:t>Tolkiehn</w:t>
      </w:r>
      <w:proofErr w:type="spellEnd"/>
      <w:r w:rsidRPr="00E17640">
        <w:rPr>
          <w:lang w:val="en-US"/>
        </w:rPr>
        <w:t xml:space="preserve"> and Dr. Eugenia </w:t>
      </w:r>
      <w:proofErr w:type="spellStart"/>
      <w:r w:rsidRPr="00E17640">
        <w:rPr>
          <w:lang w:val="en-US"/>
        </w:rPr>
        <w:t>Peresypkina</w:t>
      </w:r>
      <w:proofErr w:type="spellEnd"/>
      <w:r w:rsidRPr="00E17640">
        <w:rPr>
          <w:lang w:val="en-US"/>
        </w:rPr>
        <w:t xml:space="preserve"> for their assistance regarding the use of the beamline P24</w:t>
      </w:r>
      <w:r w:rsidRPr="00112A18">
        <w:rPr>
          <w:lang w:val="en-US"/>
        </w:rPr>
        <w:t xml:space="preserve"> </w:t>
      </w:r>
      <w:r>
        <w:rPr>
          <w:lang w:val="en-US"/>
        </w:rPr>
        <w:t>at DESY</w:t>
      </w:r>
      <w:r w:rsidRPr="00E17640">
        <w:rPr>
          <w:lang w:val="en-US"/>
        </w:rPr>
        <w:t>.</w:t>
      </w:r>
      <w:r>
        <w:rPr>
          <w:lang w:val="en-US"/>
        </w:rPr>
        <w:t xml:space="preserve"> </w:t>
      </w:r>
      <w:r w:rsidRPr="00E17640">
        <w:rPr>
          <w:lang w:val="en-US"/>
        </w:rPr>
        <w:t xml:space="preserve">We </w:t>
      </w:r>
      <w:r>
        <w:rPr>
          <w:lang w:val="en-US"/>
        </w:rPr>
        <w:t xml:space="preserve">also </w:t>
      </w:r>
      <w:r w:rsidRPr="00E17640">
        <w:rPr>
          <w:lang w:val="en-US"/>
        </w:rPr>
        <w:t xml:space="preserve">wish to thank Prof. Dr. Thomas </w:t>
      </w:r>
      <w:proofErr w:type="spellStart"/>
      <w:r w:rsidRPr="00E17640">
        <w:rPr>
          <w:lang w:val="en-US"/>
        </w:rPr>
        <w:t>Jüstel</w:t>
      </w:r>
      <w:proofErr w:type="spellEnd"/>
      <w:r w:rsidRPr="00E17640">
        <w:rPr>
          <w:lang w:val="en-US"/>
        </w:rPr>
        <w:t xml:space="preserve"> and Dr. David </w:t>
      </w:r>
      <w:proofErr w:type="spellStart"/>
      <w:r w:rsidRPr="00E17640">
        <w:rPr>
          <w:lang w:val="en-US"/>
        </w:rPr>
        <w:t>Enseling</w:t>
      </w:r>
      <w:proofErr w:type="spellEnd"/>
      <w:r w:rsidRPr="00E17640">
        <w:rPr>
          <w:lang w:val="en-US"/>
        </w:rPr>
        <w:t xml:space="preserve"> from the University of Applied Sciences Münster, Department of Chemical Engineering for the photoluminescence decay and emission measurements in PMMA.</w:t>
      </w:r>
      <w:r>
        <w:rPr>
          <w:lang w:val="en-US"/>
        </w:rPr>
        <w:t xml:space="preserve"> D. V. and Y. O. acknowledge funding from Fonds de la Recherche </w:t>
      </w:r>
      <w:proofErr w:type="spellStart"/>
      <w:r>
        <w:rPr>
          <w:lang w:val="en-US"/>
        </w:rPr>
        <w:t>Scientifique</w:t>
      </w:r>
      <w:proofErr w:type="spellEnd"/>
      <w:r>
        <w:rPr>
          <w:lang w:val="en-US"/>
        </w:rPr>
        <w:t xml:space="preserve">-FNRS under grant </w:t>
      </w:r>
      <w:r w:rsidR="00F54484">
        <w:rPr>
          <w:lang w:val="en-US"/>
        </w:rPr>
        <w:t>No.</w:t>
      </w:r>
      <w:r>
        <w:rPr>
          <w:lang w:val="en-US"/>
        </w:rPr>
        <w:t xml:space="preserve"> F.4534.21. </w:t>
      </w:r>
      <w:r w:rsidRPr="0026292A">
        <w:rPr>
          <w:lang w:val="en-US"/>
        </w:rPr>
        <w:t>This research used resources of the "</w:t>
      </w:r>
      <w:proofErr w:type="spellStart"/>
      <w:r w:rsidRPr="0026292A">
        <w:rPr>
          <w:lang w:val="en-US"/>
        </w:rPr>
        <w:t>Plateforme</w:t>
      </w:r>
      <w:proofErr w:type="spellEnd"/>
      <w:r w:rsidRPr="0026292A">
        <w:rPr>
          <w:lang w:val="en-US"/>
        </w:rPr>
        <w:t xml:space="preserve"> </w:t>
      </w:r>
      <w:proofErr w:type="spellStart"/>
      <w:r w:rsidRPr="0026292A">
        <w:rPr>
          <w:lang w:val="en-US"/>
        </w:rPr>
        <w:t>Technologique</w:t>
      </w:r>
      <w:proofErr w:type="spellEnd"/>
      <w:r w:rsidRPr="0026292A">
        <w:rPr>
          <w:lang w:val="en-US"/>
        </w:rPr>
        <w:t xml:space="preserve"> de </w:t>
      </w:r>
      <w:proofErr w:type="spellStart"/>
      <w:r w:rsidRPr="0026292A">
        <w:rPr>
          <w:lang w:val="en-US"/>
        </w:rPr>
        <w:t>Calcul</w:t>
      </w:r>
      <w:proofErr w:type="spellEnd"/>
      <w:r w:rsidRPr="0026292A">
        <w:rPr>
          <w:lang w:val="en-US"/>
        </w:rPr>
        <w:t xml:space="preserve"> </w:t>
      </w:r>
      <w:proofErr w:type="spellStart"/>
      <w:r w:rsidRPr="0026292A">
        <w:rPr>
          <w:lang w:val="en-US"/>
        </w:rPr>
        <w:t>Intensif</w:t>
      </w:r>
      <w:proofErr w:type="spellEnd"/>
      <w:r w:rsidRPr="0026292A">
        <w:rPr>
          <w:lang w:val="en-US"/>
        </w:rPr>
        <w:t xml:space="preserve"> (PTCI)" (http://www.ptci.unamur.be) located at the University of Namur, Belgium, which is supported  by the FNRS-FRFC, the Walloon Region, and the University of Namur (Conventions No. 2.5020.11, GEQ U.G006.15, 1610468, RW/GEQ2016 et U.G011.22). The PTCI is member of the "Consortium des </w:t>
      </w:r>
      <w:proofErr w:type="spellStart"/>
      <w:r w:rsidRPr="0026292A">
        <w:rPr>
          <w:lang w:val="en-US"/>
        </w:rPr>
        <w:t>Équipements</w:t>
      </w:r>
      <w:proofErr w:type="spellEnd"/>
      <w:r w:rsidRPr="0026292A">
        <w:rPr>
          <w:lang w:val="en-US"/>
        </w:rPr>
        <w:t xml:space="preserve"> de </w:t>
      </w:r>
      <w:proofErr w:type="spellStart"/>
      <w:r w:rsidRPr="0026292A">
        <w:rPr>
          <w:lang w:val="en-US"/>
        </w:rPr>
        <w:t>Calcul</w:t>
      </w:r>
      <w:proofErr w:type="spellEnd"/>
      <w:r w:rsidRPr="0026292A">
        <w:rPr>
          <w:lang w:val="en-US"/>
        </w:rPr>
        <w:t xml:space="preserve"> </w:t>
      </w:r>
      <w:proofErr w:type="spellStart"/>
      <w:r w:rsidRPr="0026292A">
        <w:rPr>
          <w:lang w:val="en-US"/>
        </w:rPr>
        <w:t>Intensif</w:t>
      </w:r>
      <w:proofErr w:type="spellEnd"/>
      <w:r w:rsidRPr="0026292A">
        <w:rPr>
          <w:lang w:val="en-US"/>
        </w:rPr>
        <w:t xml:space="preserve">  (CÉCI)" (http://www.ceci-hpc.be).</w:t>
      </w:r>
      <w:bookmarkEnd w:id="23"/>
    </w:p>
    <w:p w14:paraId="213390A4" w14:textId="77777777" w:rsidR="00B42021" w:rsidRDefault="00B42021" w:rsidP="00B42021">
      <w:pPr>
        <w:jc w:val="both"/>
        <w:rPr>
          <w:lang w:val="en-US"/>
        </w:rPr>
      </w:pPr>
    </w:p>
    <w:p w14:paraId="3FFB0482" w14:textId="0EC5AC03" w:rsidR="009D70A3" w:rsidRPr="00C92D2E" w:rsidRDefault="000E4B54" w:rsidP="00B42021">
      <w:pPr>
        <w:jc w:val="both"/>
        <w:rPr>
          <w:lang w:val="en-US"/>
        </w:rPr>
      </w:pPr>
      <w:r w:rsidRPr="00C92D2E">
        <w:rPr>
          <w:lang w:val="en-US"/>
        </w:rPr>
        <w:t>[</w:t>
      </w:r>
      <w:r w:rsidR="00B42021" w:rsidRPr="00C92D2E">
        <w:rPr>
          <w:lang w:val="en-US"/>
        </w:rPr>
        <w:t>EZ2_3</w:t>
      </w:r>
      <w:r w:rsidRPr="00C92D2E">
        <w:rPr>
          <w:lang w:val="en-US"/>
        </w:rPr>
        <w:t>]</w:t>
      </w:r>
      <w:r w:rsidR="00B42021" w:rsidRPr="00C92D2E">
        <w:rPr>
          <w:lang w:val="en-US"/>
        </w:rPr>
        <w:t>: For corresponding B</w:t>
      </w:r>
      <w:r w:rsidR="00B42021" w:rsidRPr="00C92D2E">
        <w:rPr>
          <w:vertAlign w:val="subscript"/>
          <w:lang w:val="en-US"/>
        </w:rPr>
        <w:t>3</w:t>
      </w:r>
      <w:r w:rsidR="00B42021" w:rsidRPr="00C92D2E">
        <w:rPr>
          <w:lang w:val="en-US"/>
        </w:rPr>
        <w:t>,N</w:t>
      </w:r>
      <w:r w:rsidR="00B42021" w:rsidRPr="00C92D2E">
        <w:rPr>
          <w:vertAlign w:val="subscript"/>
          <w:lang w:val="en-US"/>
        </w:rPr>
        <w:t>3</w:t>
      </w:r>
      <w:r w:rsidR="00B42021" w:rsidRPr="00C92D2E">
        <w:rPr>
          <w:lang w:val="en-US"/>
        </w:rPr>
        <w:t xml:space="preserve">-heptacenes, see: (a) </w:t>
      </w:r>
      <w:r w:rsidR="00B42021" w:rsidRPr="00C92D2E">
        <w:rPr>
          <w:rFonts w:ascii="Calibri" w:hAnsi="Calibri" w:cs="Calibri"/>
          <w:noProof/>
          <w:kern w:val="0"/>
          <w:szCs w:val="24"/>
          <w:lang w:val="en-US"/>
        </w:rPr>
        <w:t>S. M</w:t>
      </w:r>
      <w:r w:rsidR="00897CC6" w:rsidRPr="00C92D2E">
        <w:rPr>
          <w:rFonts w:ascii="Calibri" w:hAnsi="Calibri" w:cs="Calibri"/>
          <w:noProof/>
          <w:kern w:val="0"/>
          <w:szCs w:val="24"/>
          <w:lang w:val="en-US"/>
        </w:rPr>
        <w:t>adayanad</w:t>
      </w:r>
      <w:r w:rsidR="00B42021" w:rsidRPr="00C92D2E">
        <w:rPr>
          <w:rFonts w:ascii="Calibri" w:hAnsi="Calibri" w:cs="Calibri"/>
          <w:noProof/>
          <w:kern w:val="0"/>
          <w:szCs w:val="24"/>
          <w:lang w:val="en-US"/>
        </w:rPr>
        <w:t xml:space="preserve"> Suresh, E. Duda, D. Hall, Z. Yao, S. Bagnich, A. M. Z. Slawin, H. Bässler, D. Beljonne, M. Buck, Y. Olivier, A. Köhler and E. Zysman-Colman, </w:t>
      </w:r>
      <w:r w:rsidR="00B42021" w:rsidRPr="00C92D2E">
        <w:rPr>
          <w:rFonts w:ascii="Calibri" w:hAnsi="Calibri" w:cs="Calibri"/>
          <w:i/>
          <w:iCs/>
          <w:noProof/>
          <w:kern w:val="0"/>
          <w:szCs w:val="24"/>
          <w:lang w:val="en-US"/>
        </w:rPr>
        <w:t>J. Am. Chem. Soc.</w:t>
      </w:r>
      <w:r w:rsidR="00B42021" w:rsidRPr="00C92D2E">
        <w:rPr>
          <w:rFonts w:ascii="Calibri" w:hAnsi="Calibri" w:cs="Calibri"/>
          <w:noProof/>
          <w:kern w:val="0"/>
          <w:szCs w:val="24"/>
          <w:lang w:val="en-US"/>
        </w:rPr>
        <w:t xml:space="preserve">, 2020, </w:t>
      </w:r>
      <w:r w:rsidR="00B42021" w:rsidRPr="00C92D2E">
        <w:rPr>
          <w:rFonts w:ascii="Calibri" w:hAnsi="Calibri" w:cs="Calibri"/>
          <w:b/>
          <w:bCs/>
          <w:noProof/>
          <w:kern w:val="0"/>
          <w:szCs w:val="24"/>
          <w:lang w:val="en-US"/>
        </w:rPr>
        <w:t>142</w:t>
      </w:r>
      <w:r w:rsidR="00B42021" w:rsidRPr="00C92D2E">
        <w:rPr>
          <w:rFonts w:ascii="Calibri" w:hAnsi="Calibri" w:cs="Calibri"/>
          <w:noProof/>
          <w:kern w:val="0"/>
          <w:szCs w:val="24"/>
          <w:lang w:val="en-US"/>
        </w:rPr>
        <w:t xml:space="preserve">, 6588–6599. (b) K. Stavrou, S. Madayanad Suresh, D. Hall, A. Danos, N. A. Kukhta, A. M. Z. Slawin, S. Warriner, D. Beljonne, Y. Olivier, A. Monkman and E. Zysman‐Colman, </w:t>
      </w:r>
      <w:r w:rsidR="00B42021" w:rsidRPr="00C92D2E">
        <w:rPr>
          <w:rFonts w:ascii="Calibri" w:hAnsi="Calibri" w:cs="Calibri"/>
          <w:i/>
          <w:iCs/>
          <w:noProof/>
          <w:kern w:val="0"/>
          <w:szCs w:val="24"/>
          <w:lang w:val="en-US"/>
        </w:rPr>
        <w:t>Adv. Opt. Mater.</w:t>
      </w:r>
      <w:r w:rsidR="00B42021" w:rsidRPr="00C92D2E">
        <w:rPr>
          <w:rFonts w:ascii="Calibri" w:hAnsi="Calibri" w:cs="Calibri"/>
          <w:noProof/>
          <w:kern w:val="0"/>
          <w:szCs w:val="24"/>
          <w:lang w:val="en-US"/>
        </w:rPr>
        <w:t xml:space="preserve">, 2022, </w:t>
      </w:r>
      <w:r w:rsidR="00B42021" w:rsidRPr="00C92D2E">
        <w:rPr>
          <w:rFonts w:ascii="Calibri" w:hAnsi="Calibri" w:cs="Calibri"/>
          <w:b/>
          <w:bCs/>
          <w:noProof/>
          <w:kern w:val="0"/>
          <w:szCs w:val="24"/>
          <w:lang w:val="en-US"/>
        </w:rPr>
        <w:t>10</w:t>
      </w:r>
      <w:r w:rsidR="00B42021" w:rsidRPr="00C92D2E">
        <w:rPr>
          <w:rFonts w:ascii="Calibri" w:hAnsi="Calibri" w:cs="Calibri"/>
          <w:noProof/>
          <w:kern w:val="0"/>
          <w:szCs w:val="24"/>
          <w:lang w:val="en-US"/>
        </w:rPr>
        <w:t>, 2200688.</w:t>
      </w:r>
    </w:p>
    <w:p w14:paraId="399B9AF1" w14:textId="1467CECF" w:rsidR="009D70A3" w:rsidRPr="00C92D2E" w:rsidRDefault="000E4B54" w:rsidP="00B42021">
      <w:pPr>
        <w:jc w:val="both"/>
        <w:rPr>
          <w:lang w:val="en-US"/>
        </w:rPr>
      </w:pPr>
      <w:bookmarkStart w:id="24" w:name="_Hlk159675605"/>
      <w:r w:rsidRPr="00C92D2E">
        <w:rPr>
          <w:lang w:val="en-US"/>
        </w:rPr>
        <w:t>[</w:t>
      </w:r>
      <w:r w:rsidR="009D70A3" w:rsidRPr="00C92D2E">
        <w:rPr>
          <w:lang w:val="en-US"/>
        </w:rPr>
        <w:t>Footnote EZ2_A</w:t>
      </w:r>
      <w:r w:rsidRPr="00C92D2E">
        <w:rPr>
          <w:lang w:val="en-US"/>
        </w:rPr>
        <w:t>]</w:t>
      </w:r>
      <w:r w:rsidR="009D70A3" w:rsidRPr="00C92D2E">
        <w:rPr>
          <w:lang w:val="en-US"/>
        </w:rPr>
        <w:t xml:space="preserve">: C–N-bond cleavage reactions in comparable systems have been reported: </w:t>
      </w:r>
      <w:r w:rsidR="009D70A3" w:rsidRPr="00C92D2E">
        <w:rPr>
          <w:rFonts w:ascii="Calibri" w:hAnsi="Calibri" w:cs="Calibri"/>
          <w:noProof/>
          <w:kern w:val="0"/>
          <w:szCs w:val="24"/>
          <w:lang w:val="en-US"/>
        </w:rPr>
        <w:t xml:space="preserve">K. Matsui, S. Oda, K. Yoshiura, K. Nakajima, N. Yasuda and T. Hatakeyama, </w:t>
      </w:r>
      <w:r w:rsidR="009D70A3" w:rsidRPr="00C92D2E">
        <w:rPr>
          <w:rFonts w:ascii="Calibri" w:hAnsi="Calibri" w:cs="Calibri"/>
          <w:i/>
          <w:iCs/>
          <w:noProof/>
          <w:kern w:val="0"/>
          <w:szCs w:val="24"/>
          <w:lang w:val="en-US"/>
        </w:rPr>
        <w:t>J. Am. Chem. Soc.</w:t>
      </w:r>
      <w:r w:rsidR="009D70A3" w:rsidRPr="00C92D2E">
        <w:rPr>
          <w:rFonts w:ascii="Calibri" w:hAnsi="Calibri" w:cs="Calibri"/>
          <w:noProof/>
          <w:kern w:val="0"/>
          <w:szCs w:val="24"/>
          <w:lang w:val="en-US"/>
        </w:rPr>
        <w:t xml:space="preserve">, 2018, </w:t>
      </w:r>
      <w:r w:rsidR="009D70A3" w:rsidRPr="00C92D2E">
        <w:rPr>
          <w:rFonts w:ascii="Calibri" w:hAnsi="Calibri" w:cs="Calibri"/>
          <w:b/>
          <w:bCs/>
          <w:noProof/>
          <w:kern w:val="0"/>
          <w:szCs w:val="24"/>
          <w:lang w:val="en-US"/>
        </w:rPr>
        <w:t>140</w:t>
      </w:r>
      <w:r w:rsidR="009D70A3" w:rsidRPr="00C92D2E">
        <w:rPr>
          <w:rFonts w:ascii="Calibri" w:hAnsi="Calibri" w:cs="Calibri"/>
          <w:noProof/>
          <w:kern w:val="0"/>
          <w:szCs w:val="24"/>
          <w:lang w:val="en-US"/>
        </w:rPr>
        <w:t>, 1195–1198.</w:t>
      </w:r>
    </w:p>
    <w:p w14:paraId="2193F2FC" w14:textId="63CA6A6A" w:rsidR="009D70A3" w:rsidRPr="00C92D2E" w:rsidRDefault="000E4B54" w:rsidP="00B42021">
      <w:pPr>
        <w:jc w:val="both"/>
        <w:rPr>
          <w:rFonts w:cstheme="minorHAnsi"/>
          <w:lang w:val="en-US"/>
        </w:rPr>
      </w:pPr>
      <w:bookmarkStart w:id="25" w:name="_Hlk159675794"/>
      <w:bookmarkEnd w:id="24"/>
      <w:r w:rsidRPr="00C92D2E">
        <w:rPr>
          <w:lang w:val="en-US"/>
        </w:rPr>
        <w:t>[</w:t>
      </w:r>
      <w:r w:rsidR="009D70A3" w:rsidRPr="00C92D2E">
        <w:rPr>
          <w:lang w:val="en-US"/>
        </w:rPr>
        <w:t>Footnote EZ2_B]: Precedence for such reactivity exists in the form of a 9,10-dihydro-9,10-diboraanthracene</w:t>
      </w:r>
      <w:r w:rsidR="00897CC6" w:rsidRPr="00C92D2E">
        <w:rPr>
          <w:lang w:val="en-US"/>
        </w:rPr>
        <w:t xml:space="preserve"> </w:t>
      </w:r>
      <w:r w:rsidR="009D70A3" w:rsidRPr="00C92D2E">
        <w:rPr>
          <w:rFonts w:ascii="Times New Roman" w:hAnsi="Times New Roman" w:cs="Times New Roman"/>
          <w:lang w:val="en-US"/>
        </w:rPr>
        <w:t>→</w:t>
      </w:r>
      <w:r w:rsidR="00897CC6" w:rsidRPr="00C92D2E">
        <w:rPr>
          <w:rFonts w:ascii="Times New Roman" w:hAnsi="Times New Roman" w:cs="Times New Roman"/>
          <w:lang w:val="en-US"/>
        </w:rPr>
        <w:t xml:space="preserve"> </w:t>
      </w:r>
      <w:r w:rsidR="009D70A3" w:rsidRPr="00C92D2E">
        <w:rPr>
          <w:rFonts w:cstheme="minorHAnsi"/>
          <w:lang w:val="en-US"/>
        </w:rPr>
        <w:t xml:space="preserve">9-borafluorene conversion: </w:t>
      </w:r>
      <w:r w:rsidR="009D70A3" w:rsidRPr="00C92D2E">
        <w:rPr>
          <w:rFonts w:ascii="Calibri" w:hAnsi="Calibri" w:cs="Calibri"/>
          <w:noProof/>
          <w:kern w:val="0"/>
          <w:szCs w:val="24"/>
          <w:lang w:val="en-US"/>
        </w:rPr>
        <w:t>S. Kirschner, S.</w:t>
      </w:r>
      <w:r w:rsidR="00897CC6" w:rsidRPr="00C92D2E">
        <w:rPr>
          <w:rFonts w:ascii="Calibri" w:hAnsi="Calibri" w:cs="Calibri"/>
          <w:noProof/>
          <w:kern w:val="0"/>
          <w:szCs w:val="24"/>
          <w:lang w:val="en-US"/>
        </w:rPr>
        <w:t>-</w:t>
      </w:r>
      <w:r w:rsidR="009D70A3" w:rsidRPr="00C92D2E">
        <w:rPr>
          <w:rFonts w:ascii="Calibri" w:hAnsi="Calibri" w:cs="Calibri"/>
          <w:noProof/>
          <w:kern w:val="0"/>
          <w:szCs w:val="24"/>
          <w:lang w:val="en-US"/>
        </w:rPr>
        <w:t>S. Bao, M. K. Fengel, M. Bolte, H.</w:t>
      </w:r>
      <w:r w:rsidR="00897CC6" w:rsidRPr="00C92D2E">
        <w:rPr>
          <w:rFonts w:ascii="Calibri" w:hAnsi="Calibri" w:cs="Calibri"/>
          <w:noProof/>
          <w:kern w:val="0"/>
          <w:szCs w:val="24"/>
          <w:lang w:val="en-US"/>
        </w:rPr>
        <w:t>-</w:t>
      </w:r>
      <w:r w:rsidR="009D70A3" w:rsidRPr="00C92D2E">
        <w:rPr>
          <w:rFonts w:ascii="Calibri" w:hAnsi="Calibri" w:cs="Calibri"/>
          <w:noProof/>
          <w:kern w:val="0"/>
          <w:szCs w:val="24"/>
          <w:lang w:val="en-US"/>
        </w:rPr>
        <w:t xml:space="preserve">W. Lerner and M. Wagner, </w:t>
      </w:r>
      <w:r w:rsidR="009D70A3" w:rsidRPr="00C92D2E">
        <w:rPr>
          <w:rFonts w:ascii="Calibri" w:hAnsi="Calibri" w:cs="Calibri"/>
          <w:i/>
          <w:iCs/>
          <w:noProof/>
          <w:kern w:val="0"/>
          <w:szCs w:val="24"/>
          <w:lang w:val="en-US"/>
        </w:rPr>
        <w:t>Org. Biomol. Chem.</w:t>
      </w:r>
      <w:r w:rsidR="009D70A3" w:rsidRPr="00C92D2E">
        <w:rPr>
          <w:rFonts w:ascii="Calibri" w:hAnsi="Calibri" w:cs="Calibri"/>
          <w:noProof/>
          <w:kern w:val="0"/>
          <w:szCs w:val="24"/>
          <w:lang w:val="en-US"/>
        </w:rPr>
        <w:t xml:space="preserve">, 2019, </w:t>
      </w:r>
      <w:r w:rsidR="009D70A3" w:rsidRPr="00C92D2E">
        <w:rPr>
          <w:rFonts w:ascii="Calibri" w:hAnsi="Calibri" w:cs="Calibri"/>
          <w:b/>
          <w:bCs/>
          <w:noProof/>
          <w:kern w:val="0"/>
          <w:szCs w:val="24"/>
          <w:lang w:val="en-US"/>
        </w:rPr>
        <w:t>17</w:t>
      </w:r>
      <w:r w:rsidR="009D70A3" w:rsidRPr="00C92D2E">
        <w:rPr>
          <w:rFonts w:ascii="Calibri" w:hAnsi="Calibri" w:cs="Calibri"/>
          <w:noProof/>
          <w:kern w:val="0"/>
          <w:szCs w:val="24"/>
          <w:lang w:val="en-US"/>
        </w:rPr>
        <w:t>, 5060–5065.</w:t>
      </w:r>
    </w:p>
    <w:bookmarkEnd w:id="25"/>
    <w:p w14:paraId="43DD6272" w14:textId="465F2CE0" w:rsidR="009D70A3" w:rsidRPr="00C92D2E" w:rsidRDefault="009D70A3" w:rsidP="00B42021">
      <w:pPr>
        <w:jc w:val="both"/>
        <w:rPr>
          <w:lang w:val="en-US" w:eastAsia="ja-JP" w:bidi="fa-IR"/>
        </w:rPr>
      </w:pPr>
      <w:r w:rsidRPr="00C92D2E">
        <w:rPr>
          <w:lang w:val="en-US"/>
        </w:rPr>
        <w:lastRenderedPageBreak/>
        <w:t xml:space="preserve">[Footnote EZ2_C]: </w:t>
      </w:r>
      <w:r w:rsidRPr="00C92D2E">
        <w:rPr>
          <w:lang w:val="en-US" w:eastAsia="ja-JP" w:bidi="fa-IR"/>
        </w:rPr>
        <w:t xml:space="preserve">Compound </w:t>
      </w:r>
      <w:r w:rsidRPr="00C92D2E">
        <w:rPr>
          <w:b/>
          <w:lang w:val="en-US" w:eastAsia="ja-JP" w:bidi="fa-IR"/>
        </w:rPr>
        <w:t>6</w:t>
      </w:r>
      <w:r w:rsidRPr="00C92D2E">
        <w:rPr>
          <w:lang w:val="en-GB" w:eastAsia="ja-JP" w:bidi="fa-IR"/>
        </w:rPr>
        <w:t xml:space="preserve"> </w:t>
      </w:r>
      <w:r w:rsidRPr="00C92D2E">
        <w:rPr>
          <w:lang w:val="en-US" w:eastAsia="ja-JP" w:bidi="fa-IR"/>
        </w:rPr>
        <w:t xml:space="preserve">crystallizes with 0.25 toluene solvate molecules. The crystal lattice contains two molecules </w:t>
      </w:r>
      <w:r w:rsidRPr="00C92D2E">
        <w:rPr>
          <w:b/>
          <w:lang w:val="en-US" w:eastAsia="ja-JP" w:bidi="fa-IR"/>
        </w:rPr>
        <w:t>6</w:t>
      </w:r>
      <w:r w:rsidRPr="00C92D2E">
        <w:rPr>
          <w:lang w:val="en-US" w:eastAsia="ja-JP" w:bidi="fa-IR"/>
        </w:rPr>
        <w:t xml:space="preserve">A and </w:t>
      </w:r>
      <w:r w:rsidRPr="00C92D2E">
        <w:rPr>
          <w:b/>
          <w:lang w:val="en-US" w:eastAsia="ja-JP" w:bidi="fa-IR"/>
        </w:rPr>
        <w:t>6</w:t>
      </w:r>
      <w:r w:rsidRPr="00C92D2E">
        <w:rPr>
          <w:lang w:val="en-US" w:eastAsia="ja-JP" w:bidi="fa-IR"/>
        </w:rPr>
        <w:t xml:space="preserve">B in the asymmetric unit; since the key metrical parameters of </w:t>
      </w:r>
      <w:r w:rsidRPr="00C92D2E">
        <w:rPr>
          <w:b/>
          <w:lang w:val="en-US" w:eastAsia="ja-JP" w:bidi="fa-IR"/>
        </w:rPr>
        <w:t>6</w:t>
      </w:r>
      <w:r w:rsidRPr="00C92D2E">
        <w:rPr>
          <w:lang w:val="en-US" w:eastAsia="ja-JP" w:bidi="fa-IR"/>
        </w:rPr>
        <w:t xml:space="preserve">A and </w:t>
      </w:r>
      <w:r w:rsidRPr="00C92D2E">
        <w:rPr>
          <w:b/>
          <w:lang w:val="en-US" w:eastAsia="ja-JP" w:bidi="fa-IR"/>
        </w:rPr>
        <w:t>6</w:t>
      </w:r>
      <w:r w:rsidRPr="00C92D2E">
        <w:rPr>
          <w:lang w:val="en-US" w:eastAsia="ja-JP" w:bidi="fa-IR"/>
        </w:rPr>
        <w:t>B are sufficiently similar considering the experimental error margins (</w:t>
      </w:r>
      <w:r w:rsidRPr="00C92D2E">
        <w:rPr>
          <w:i/>
          <w:lang w:val="en-US" w:eastAsia="ja-JP" w:bidi="fa-IR"/>
        </w:rPr>
        <w:t>cf</w:t>
      </w:r>
      <w:r w:rsidRPr="00C92D2E">
        <w:rPr>
          <w:lang w:val="en-US" w:eastAsia="ja-JP" w:bidi="fa-IR"/>
        </w:rPr>
        <w:t>. the overlay in Fig</w:t>
      </w:r>
      <w:r w:rsidR="00926D75" w:rsidRPr="00C92D2E">
        <w:rPr>
          <w:lang w:val="en-US" w:eastAsia="ja-JP" w:bidi="fa-IR"/>
        </w:rPr>
        <w:t>.</w:t>
      </w:r>
      <w:r w:rsidRPr="00C92D2E">
        <w:rPr>
          <w:lang w:val="en-US" w:eastAsia="ja-JP" w:bidi="fa-IR"/>
        </w:rPr>
        <w:t xml:space="preserve"> S63b), it is justified to discuss only the data of </w:t>
      </w:r>
      <w:r w:rsidRPr="00C92D2E">
        <w:rPr>
          <w:b/>
          <w:lang w:val="en-US" w:eastAsia="ja-JP" w:bidi="fa-IR"/>
        </w:rPr>
        <w:t>6</w:t>
      </w:r>
      <w:r w:rsidRPr="00C92D2E">
        <w:rPr>
          <w:lang w:val="en-US" w:eastAsia="ja-JP" w:bidi="fa-IR"/>
        </w:rPr>
        <w:t xml:space="preserve">A in the main text. Compound </w:t>
      </w:r>
      <w:r w:rsidRPr="00C92D2E">
        <w:rPr>
          <w:b/>
          <w:lang w:val="en-US" w:eastAsia="ja-JP" w:bidi="fa-IR"/>
        </w:rPr>
        <w:t>7</w:t>
      </w:r>
      <w:r w:rsidRPr="00C92D2E">
        <w:rPr>
          <w:color w:val="FF0000"/>
          <w:lang w:val="en-US" w:eastAsia="ja-JP" w:bidi="fa-IR"/>
        </w:rPr>
        <w:t xml:space="preserve"> </w:t>
      </w:r>
      <w:r w:rsidRPr="00C92D2E">
        <w:rPr>
          <w:lang w:val="en-US" w:eastAsia="ja-JP" w:bidi="fa-IR"/>
        </w:rPr>
        <w:t>crystallizes as a C</w:t>
      </w:r>
      <w:r w:rsidRPr="00C92D2E">
        <w:rPr>
          <w:vertAlign w:val="subscript"/>
          <w:lang w:val="en-US" w:eastAsia="ja-JP" w:bidi="fa-IR"/>
        </w:rPr>
        <w:t>6</w:t>
      </w:r>
      <w:r w:rsidRPr="00C92D2E">
        <w:rPr>
          <w:lang w:val="en-US" w:eastAsia="ja-JP" w:bidi="fa-IR"/>
        </w:rPr>
        <w:t>H</w:t>
      </w:r>
      <w:r w:rsidRPr="00C92D2E">
        <w:rPr>
          <w:vertAlign w:val="subscript"/>
          <w:lang w:val="en-US" w:eastAsia="ja-JP" w:bidi="fa-IR"/>
        </w:rPr>
        <w:t>6</w:t>
      </w:r>
      <w:r w:rsidRPr="00C92D2E">
        <w:rPr>
          <w:lang w:val="en-US" w:eastAsia="ja-JP" w:bidi="fa-IR"/>
        </w:rPr>
        <w:t xml:space="preserve"> solvate with two </w:t>
      </w:r>
      <w:proofErr w:type="spellStart"/>
      <w:r w:rsidRPr="00C92D2E">
        <w:rPr>
          <w:lang w:val="en-US" w:eastAsia="ja-JP" w:bidi="fa-IR"/>
        </w:rPr>
        <w:t>crystallographically</w:t>
      </w:r>
      <w:proofErr w:type="spellEnd"/>
      <w:r w:rsidRPr="00C92D2E">
        <w:rPr>
          <w:lang w:val="en-US" w:eastAsia="ja-JP" w:bidi="fa-IR"/>
        </w:rPr>
        <w:t xml:space="preserve"> unique molecules, </w:t>
      </w:r>
      <w:r w:rsidRPr="00C92D2E">
        <w:rPr>
          <w:b/>
          <w:lang w:val="en-US" w:eastAsia="ja-JP" w:bidi="fa-IR"/>
        </w:rPr>
        <w:t>7</w:t>
      </w:r>
      <w:r w:rsidRPr="00C92D2E">
        <w:rPr>
          <w:lang w:val="en-US" w:eastAsia="ja-JP" w:bidi="fa-IR"/>
        </w:rPr>
        <w:t xml:space="preserve">A and </w:t>
      </w:r>
      <w:r w:rsidRPr="00C92D2E">
        <w:rPr>
          <w:b/>
          <w:lang w:val="en-US" w:eastAsia="ja-JP" w:bidi="fa-IR"/>
        </w:rPr>
        <w:t>7</w:t>
      </w:r>
      <w:r w:rsidRPr="00C92D2E">
        <w:rPr>
          <w:lang w:val="en-US" w:eastAsia="ja-JP" w:bidi="fa-IR"/>
        </w:rPr>
        <w:t xml:space="preserve">B, in general positions. Some key metrical parameters of </w:t>
      </w:r>
      <w:r w:rsidRPr="00C92D2E">
        <w:rPr>
          <w:b/>
          <w:lang w:val="en-US" w:eastAsia="ja-JP" w:bidi="fa-IR"/>
        </w:rPr>
        <w:t>7</w:t>
      </w:r>
      <w:r w:rsidRPr="00C92D2E">
        <w:rPr>
          <w:lang w:val="en-US" w:eastAsia="ja-JP" w:bidi="fa-IR"/>
        </w:rPr>
        <w:t xml:space="preserve">A and </w:t>
      </w:r>
      <w:r w:rsidRPr="00C92D2E">
        <w:rPr>
          <w:b/>
          <w:lang w:val="en-US" w:eastAsia="ja-JP" w:bidi="fa-IR"/>
        </w:rPr>
        <w:t>7</w:t>
      </w:r>
      <w:r w:rsidRPr="00C92D2E">
        <w:rPr>
          <w:lang w:val="en-US" w:eastAsia="ja-JP" w:bidi="fa-IR"/>
        </w:rPr>
        <w:t xml:space="preserve">B differ significantly, so both molecules are </w:t>
      </w:r>
      <w:r w:rsidRPr="00C92D2E">
        <w:rPr>
          <w:rFonts w:cstheme="minorHAnsi"/>
          <w:lang w:val="en-US"/>
        </w:rPr>
        <w:t xml:space="preserve">considered </w:t>
      </w:r>
      <w:r w:rsidRPr="00C92D2E">
        <w:rPr>
          <w:lang w:val="en-US" w:eastAsia="ja-JP" w:bidi="fa-IR"/>
        </w:rPr>
        <w:t xml:space="preserve">in the discussion whenever necessary. Compound </w:t>
      </w:r>
      <w:r w:rsidRPr="00C92D2E">
        <w:rPr>
          <w:b/>
          <w:lang w:val="en-US" w:eastAsia="ja-JP" w:bidi="fa-IR"/>
        </w:rPr>
        <w:t>8</w:t>
      </w:r>
      <w:r w:rsidRPr="00C92D2E">
        <w:rPr>
          <w:lang w:val="en-GB" w:eastAsia="ja-JP" w:bidi="fa-IR"/>
        </w:rPr>
        <w:t xml:space="preserve"> </w:t>
      </w:r>
      <w:r w:rsidRPr="00C92D2E">
        <w:rPr>
          <w:lang w:val="en-US" w:eastAsia="ja-JP" w:bidi="fa-IR"/>
        </w:rPr>
        <w:t>crystallizes with two CHCl</w:t>
      </w:r>
      <w:r w:rsidRPr="00C92D2E">
        <w:rPr>
          <w:vertAlign w:val="subscript"/>
          <w:lang w:val="en-US" w:eastAsia="ja-JP" w:bidi="fa-IR"/>
        </w:rPr>
        <w:t>3</w:t>
      </w:r>
      <w:r w:rsidRPr="00C92D2E">
        <w:rPr>
          <w:lang w:val="en-US" w:eastAsia="ja-JP" w:bidi="fa-IR"/>
        </w:rPr>
        <w:t xml:space="preserve"> solvate molecules.</w:t>
      </w:r>
    </w:p>
    <w:p w14:paraId="1C294F47" w14:textId="05C7E82F" w:rsidR="004C3221" w:rsidRPr="00C92D2E" w:rsidRDefault="004C3221" w:rsidP="00B42021">
      <w:pPr>
        <w:jc w:val="both"/>
        <w:rPr>
          <w:lang w:val="en-US" w:eastAsia="ja-JP" w:bidi="fa-IR"/>
        </w:rPr>
      </w:pPr>
      <w:r w:rsidRPr="00C92D2E">
        <w:rPr>
          <w:lang w:val="en-US" w:eastAsia="ja-JP" w:bidi="fa-IR"/>
        </w:rPr>
        <w:t xml:space="preserve">[Footnote EZ2_D]: During borylation experiments on </w:t>
      </w:r>
      <w:r w:rsidRPr="00C92D2E">
        <w:rPr>
          <w:b/>
          <w:lang w:val="en-US" w:eastAsia="ja-JP" w:bidi="fa-IR"/>
        </w:rPr>
        <w:t>3</w:t>
      </w:r>
      <w:r w:rsidRPr="00C92D2E">
        <w:rPr>
          <w:b/>
          <w:vertAlign w:val="superscript"/>
          <w:lang w:val="en-US" w:eastAsia="ja-JP" w:bidi="fa-IR"/>
        </w:rPr>
        <w:t>Mes</w:t>
      </w:r>
      <w:r w:rsidRPr="00C92D2E">
        <w:rPr>
          <w:lang w:val="en-US" w:eastAsia="ja-JP" w:bidi="fa-IR"/>
        </w:rPr>
        <w:t xml:space="preserve"> with BBr</w:t>
      </w:r>
      <w:r w:rsidRPr="00C92D2E">
        <w:rPr>
          <w:vertAlign w:val="subscript"/>
          <w:lang w:val="en-US" w:eastAsia="ja-JP" w:bidi="fa-IR"/>
        </w:rPr>
        <w:t>3</w:t>
      </w:r>
      <w:r w:rsidRPr="00C92D2E">
        <w:rPr>
          <w:lang w:val="en-US" w:eastAsia="ja-JP" w:bidi="fa-IR"/>
        </w:rPr>
        <w:t xml:space="preserve"> in C</w:t>
      </w:r>
      <w:r w:rsidRPr="00C92D2E">
        <w:rPr>
          <w:vertAlign w:val="subscript"/>
          <w:lang w:val="en-US" w:eastAsia="ja-JP" w:bidi="fa-IR"/>
        </w:rPr>
        <w:t>6</w:t>
      </w:r>
      <w:r w:rsidRPr="00C92D2E">
        <w:rPr>
          <w:lang w:val="en-US" w:eastAsia="ja-JP" w:bidi="fa-IR"/>
        </w:rPr>
        <w:t>D</w:t>
      </w:r>
      <w:r w:rsidRPr="00C92D2E">
        <w:rPr>
          <w:vertAlign w:val="subscript"/>
          <w:lang w:val="en-US" w:eastAsia="ja-JP" w:bidi="fa-IR"/>
        </w:rPr>
        <w:t>6</w:t>
      </w:r>
      <w:r w:rsidRPr="00C92D2E">
        <w:rPr>
          <w:lang w:val="en-US" w:eastAsia="ja-JP" w:bidi="fa-IR"/>
        </w:rPr>
        <w:t xml:space="preserve">, we observed essentially quantitative H/D exchange at the positions </w:t>
      </w:r>
      <w:r w:rsidRPr="00C92D2E">
        <w:rPr>
          <w:i/>
          <w:lang w:val="en-US" w:eastAsia="ja-JP" w:bidi="fa-IR"/>
        </w:rPr>
        <w:t>ortho</w:t>
      </w:r>
      <w:r w:rsidRPr="00C92D2E">
        <w:rPr>
          <w:lang w:val="en-US" w:eastAsia="ja-JP" w:bidi="fa-IR"/>
        </w:rPr>
        <w:t xml:space="preserve"> and </w:t>
      </w:r>
      <w:r w:rsidRPr="00C92D2E">
        <w:rPr>
          <w:i/>
          <w:lang w:val="en-US" w:eastAsia="ja-JP" w:bidi="fa-IR"/>
        </w:rPr>
        <w:t>para</w:t>
      </w:r>
      <w:r w:rsidRPr="00C92D2E">
        <w:rPr>
          <w:lang w:val="en-US" w:eastAsia="ja-JP" w:bidi="fa-IR"/>
        </w:rPr>
        <w:t xml:space="preserve"> to the N atoms, while exchange at the </w:t>
      </w:r>
      <w:r w:rsidRPr="00C92D2E">
        <w:rPr>
          <w:i/>
          <w:lang w:val="en-US" w:eastAsia="ja-JP" w:bidi="fa-IR"/>
        </w:rPr>
        <w:t>meta</w:t>
      </w:r>
      <w:r w:rsidRPr="00C92D2E">
        <w:rPr>
          <w:lang w:val="en-US" w:eastAsia="ja-JP" w:bidi="fa-IR"/>
        </w:rPr>
        <w:t xml:space="preserve"> positions was far less pronounced. This can be considered as an experimental mapping of the charge density distribution in the HOMO of </w:t>
      </w:r>
      <w:r w:rsidRPr="00C92D2E">
        <w:rPr>
          <w:b/>
          <w:lang w:val="en-US" w:eastAsia="ja-JP" w:bidi="fa-IR"/>
        </w:rPr>
        <w:t>3</w:t>
      </w:r>
      <w:r w:rsidRPr="00C92D2E">
        <w:rPr>
          <w:b/>
          <w:vertAlign w:val="superscript"/>
          <w:lang w:val="en-US" w:eastAsia="ja-JP" w:bidi="fa-IR"/>
        </w:rPr>
        <w:t>Mes</w:t>
      </w:r>
      <w:r w:rsidR="00C734CC" w:rsidRPr="00C92D2E">
        <w:rPr>
          <w:lang w:val="en-US" w:eastAsia="ja-JP" w:bidi="fa-IR"/>
        </w:rPr>
        <w:t>/</w:t>
      </w:r>
      <w:r w:rsidR="00C734CC" w:rsidRPr="00C92D2E">
        <w:rPr>
          <w:b/>
          <w:lang w:val="en-US" w:eastAsia="ja-JP" w:bidi="fa-IR"/>
        </w:rPr>
        <w:t>2</w:t>
      </w:r>
      <w:r w:rsidR="00C734CC" w:rsidRPr="00C92D2E">
        <w:rPr>
          <w:b/>
          <w:vertAlign w:val="superscript"/>
          <w:lang w:val="en-US" w:eastAsia="ja-JP" w:bidi="fa-IR"/>
        </w:rPr>
        <w:t>Br</w:t>
      </w:r>
      <w:r w:rsidR="00853E42" w:rsidRPr="00C92D2E">
        <w:rPr>
          <w:lang w:val="en-US" w:eastAsia="ja-JP" w:bidi="fa-IR"/>
        </w:rPr>
        <w:t>.</w:t>
      </w:r>
    </w:p>
    <w:p w14:paraId="3C9EDD62" w14:textId="77777777" w:rsidR="00E17640" w:rsidRPr="00C92D2E" w:rsidRDefault="00E17640" w:rsidP="00B42021">
      <w:pPr>
        <w:jc w:val="both"/>
        <w:rPr>
          <w:lang w:val="en-US"/>
        </w:rPr>
      </w:pPr>
    </w:p>
    <w:p w14:paraId="1F4613A1" w14:textId="77777777" w:rsidR="000E4B54" w:rsidRPr="00C92D2E" w:rsidRDefault="000E4B54" w:rsidP="00B42021">
      <w:pPr>
        <w:jc w:val="both"/>
        <w:rPr>
          <w:lang w:val="en-US"/>
        </w:rPr>
      </w:pPr>
    </w:p>
    <w:p w14:paraId="6824DEB7" w14:textId="0D5CB128" w:rsidR="00DB3A2E" w:rsidRPr="00C92D2E" w:rsidRDefault="00DB3A2E" w:rsidP="00B42021">
      <w:pPr>
        <w:jc w:val="both"/>
        <w:rPr>
          <w:lang w:val="en-US"/>
        </w:rPr>
      </w:pPr>
      <w:r w:rsidRPr="00C92D2E">
        <w:rPr>
          <w:lang w:val="en-US"/>
        </w:rPr>
        <w:t xml:space="preserve">References: </w:t>
      </w:r>
    </w:p>
    <w:p w14:paraId="4CF0ADC8" w14:textId="77777777" w:rsidR="00472541" w:rsidRPr="00472541" w:rsidRDefault="00472541" w:rsidP="00472541">
      <w:pPr>
        <w:pStyle w:val="RSCR02References"/>
        <w:spacing w:line="22" w:lineRule="atLeast"/>
        <w:rPr>
          <w:sz w:val="22"/>
          <w:szCs w:val="22"/>
          <w:lang w:val="en-US"/>
        </w:rPr>
      </w:pPr>
      <w:r w:rsidRPr="00472541">
        <w:rPr>
          <w:sz w:val="22"/>
          <w:szCs w:val="22"/>
          <w:lang w:val="en-US"/>
        </w:rPr>
        <w:t xml:space="preserve">I. Shin, H. N. Lim and W. P. Hong, </w:t>
      </w:r>
      <w:r w:rsidRPr="00472541">
        <w:rPr>
          <w:i/>
          <w:iCs/>
          <w:sz w:val="22"/>
          <w:szCs w:val="22"/>
          <w:lang w:val="en-US"/>
        </w:rPr>
        <w:t>Synthesis</w:t>
      </w:r>
      <w:r w:rsidRPr="00472541">
        <w:rPr>
          <w:sz w:val="22"/>
          <w:szCs w:val="22"/>
          <w:lang w:val="en-US"/>
        </w:rPr>
        <w:t xml:space="preserve">, 2022, </w:t>
      </w:r>
      <w:r w:rsidRPr="00472541">
        <w:rPr>
          <w:b/>
          <w:bCs/>
          <w:sz w:val="22"/>
          <w:szCs w:val="22"/>
          <w:lang w:val="en-US"/>
        </w:rPr>
        <w:t>54</w:t>
      </w:r>
      <w:r w:rsidRPr="00472541">
        <w:rPr>
          <w:sz w:val="22"/>
          <w:szCs w:val="22"/>
          <w:lang w:val="en-US"/>
        </w:rPr>
        <w:t>, 570–588.</w:t>
      </w:r>
    </w:p>
    <w:p w14:paraId="4847ACFE" w14:textId="77777777" w:rsidR="00472541" w:rsidRPr="00472541" w:rsidRDefault="00472541" w:rsidP="00472541">
      <w:pPr>
        <w:pStyle w:val="RSCR02References"/>
        <w:spacing w:line="22" w:lineRule="atLeast"/>
        <w:rPr>
          <w:sz w:val="22"/>
          <w:szCs w:val="22"/>
          <w:lang w:val="en-US"/>
        </w:rPr>
      </w:pPr>
      <w:r w:rsidRPr="00472541">
        <w:rPr>
          <w:sz w:val="22"/>
          <w:szCs w:val="22"/>
          <w:lang w:val="en-US"/>
        </w:rPr>
        <w:t xml:space="preserve">T. Hatakeyama, K. Shiren, K. Nakajima, S. Nomura, S. Nakatsuka, K. Kinoshita, J. Ni, Y. Ono and T. Ikuta, </w:t>
      </w:r>
      <w:r w:rsidRPr="00472541">
        <w:rPr>
          <w:i/>
          <w:iCs/>
          <w:sz w:val="22"/>
          <w:szCs w:val="22"/>
          <w:lang w:val="en-US"/>
        </w:rPr>
        <w:t>Adv. Mater.</w:t>
      </w:r>
      <w:r w:rsidRPr="00472541">
        <w:rPr>
          <w:sz w:val="22"/>
          <w:szCs w:val="22"/>
          <w:lang w:val="en-US"/>
        </w:rPr>
        <w:t xml:space="preserve">, 2016, </w:t>
      </w:r>
      <w:r w:rsidRPr="00472541">
        <w:rPr>
          <w:b/>
          <w:bCs/>
          <w:sz w:val="22"/>
          <w:szCs w:val="22"/>
          <w:lang w:val="en-US"/>
        </w:rPr>
        <w:t>28</w:t>
      </w:r>
      <w:r w:rsidRPr="00472541">
        <w:rPr>
          <w:sz w:val="22"/>
          <w:szCs w:val="22"/>
          <w:lang w:val="en-US"/>
        </w:rPr>
        <w:t>, 2777–2781.</w:t>
      </w:r>
    </w:p>
    <w:p w14:paraId="00C4763A" w14:textId="77777777" w:rsidR="00472541" w:rsidRPr="00472541" w:rsidRDefault="00472541" w:rsidP="00472541">
      <w:pPr>
        <w:pStyle w:val="RSCR02References"/>
        <w:spacing w:line="22" w:lineRule="atLeast"/>
        <w:rPr>
          <w:sz w:val="22"/>
          <w:szCs w:val="22"/>
          <w:lang w:val="en-US"/>
        </w:rPr>
      </w:pPr>
      <w:r w:rsidRPr="00472541">
        <w:rPr>
          <w:sz w:val="22"/>
          <w:szCs w:val="22"/>
          <w:lang w:val="en-US"/>
        </w:rPr>
        <w:t xml:space="preserve">Y. Kondo, K. </w:t>
      </w:r>
      <w:proofErr w:type="spellStart"/>
      <w:r w:rsidRPr="00472541">
        <w:rPr>
          <w:sz w:val="22"/>
          <w:szCs w:val="22"/>
          <w:lang w:val="en-US"/>
        </w:rPr>
        <w:t>Yoshiura</w:t>
      </w:r>
      <w:proofErr w:type="spellEnd"/>
      <w:r w:rsidRPr="00472541">
        <w:rPr>
          <w:sz w:val="22"/>
          <w:szCs w:val="22"/>
          <w:lang w:val="en-US"/>
        </w:rPr>
        <w:t xml:space="preserve">, S. </w:t>
      </w:r>
      <w:proofErr w:type="spellStart"/>
      <w:r w:rsidRPr="00472541">
        <w:rPr>
          <w:sz w:val="22"/>
          <w:szCs w:val="22"/>
          <w:lang w:val="en-US"/>
        </w:rPr>
        <w:t>Kitera</w:t>
      </w:r>
      <w:proofErr w:type="spellEnd"/>
      <w:r w:rsidRPr="00472541">
        <w:rPr>
          <w:sz w:val="22"/>
          <w:szCs w:val="22"/>
          <w:lang w:val="en-US"/>
        </w:rPr>
        <w:t xml:space="preserve">, H. Nishi, S. Oda, H. Gotoh, Y. Sasada, M. Yanai and T. Hatakeyama, </w:t>
      </w:r>
      <w:r w:rsidRPr="00472541">
        <w:rPr>
          <w:i/>
          <w:iCs/>
          <w:sz w:val="22"/>
          <w:szCs w:val="22"/>
          <w:lang w:val="en-US"/>
        </w:rPr>
        <w:t>Nat. Photonics</w:t>
      </w:r>
      <w:r w:rsidRPr="00472541">
        <w:rPr>
          <w:sz w:val="22"/>
          <w:szCs w:val="22"/>
          <w:lang w:val="en-US"/>
        </w:rPr>
        <w:t xml:space="preserve">, 2019, </w:t>
      </w:r>
      <w:r w:rsidRPr="00472541">
        <w:rPr>
          <w:b/>
          <w:bCs/>
          <w:sz w:val="22"/>
          <w:szCs w:val="22"/>
          <w:lang w:val="en-US"/>
        </w:rPr>
        <w:t>13</w:t>
      </w:r>
      <w:r w:rsidRPr="00472541">
        <w:rPr>
          <w:sz w:val="22"/>
          <w:szCs w:val="22"/>
          <w:lang w:val="en-US"/>
        </w:rPr>
        <w:t>, 678–682.</w:t>
      </w:r>
    </w:p>
    <w:p w14:paraId="0BF83C68" w14:textId="77777777" w:rsidR="00472541" w:rsidRPr="00472541" w:rsidRDefault="00472541" w:rsidP="00472541">
      <w:pPr>
        <w:pStyle w:val="RSCR02References"/>
        <w:spacing w:line="22" w:lineRule="atLeast"/>
        <w:rPr>
          <w:sz w:val="22"/>
          <w:szCs w:val="22"/>
          <w:lang w:val="en-US"/>
        </w:rPr>
      </w:pPr>
      <w:r w:rsidRPr="00472541">
        <w:rPr>
          <w:sz w:val="22"/>
          <w:szCs w:val="22"/>
          <w:lang w:val="en-US"/>
        </w:rPr>
        <w:t xml:space="preserve">Y. Sano, T. Shintani, M. Hayakawa, S. Oda, M. Kondo, T. Matsushita and T. Hatakeyama, </w:t>
      </w:r>
      <w:r w:rsidRPr="00472541">
        <w:rPr>
          <w:i/>
          <w:iCs/>
          <w:sz w:val="22"/>
          <w:szCs w:val="22"/>
          <w:lang w:val="en-US"/>
        </w:rPr>
        <w:t>J. Am. Chem. Soc.</w:t>
      </w:r>
      <w:r w:rsidRPr="00472541">
        <w:rPr>
          <w:sz w:val="22"/>
          <w:szCs w:val="22"/>
          <w:lang w:val="en-US"/>
        </w:rPr>
        <w:t xml:space="preserve">, 2023, </w:t>
      </w:r>
      <w:r w:rsidRPr="00472541">
        <w:rPr>
          <w:b/>
          <w:bCs/>
          <w:sz w:val="22"/>
          <w:szCs w:val="22"/>
          <w:lang w:val="en-US"/>
        </w:rPr>
        <w:t>145</w:t>
      </w:r>
      <w:r w:rsidRPr="00472541">
        <w:rPr>
          <w:sz w:val="22"/>
          <w:szCs w:val="22"/>
          <w:lang w:val="en-US"/>
        </w:rPr>
        <w:t>, 11504–11511.</w:t>
      </w:r>
    </w:p>
    <w:p w14:paraId="4D321123" w14:textId="77777777" w:rsidR="00472541" w:rsidRPr="00472541" w:rsidRDefault="00472541" w:rsidP="00472541">
      <w:pPr>
        <w:pStyle w:val="RSCR02References"/>
        <w:spacing w:line="22" w:lineRule="atLeast"/>
        <w:rPr>
          <w:sz w:val="22"/>
          <w:szCs w:val="22"/>
          <w:lang w:val="en-US"/>
        </w:rPr>
      </w:pPr>
      <w:r w:rsidRPr="00472541">
        <w:rPr>
          <w:sz w:val="22"/>
          <w:szCs w:val="22"/>
          <w:lang w:val="en-US"/>
        </w:rPr>
        <w:t xml:space="preserve">R. K. </w:t>
      </w:r>
      <w:proofErr w:type="spellStart"/>
      <w:r w:rsidRPr="00472541">
        <w:rPr>
          <w:sz w:val="22"/>
          <w:szCs w:val="22"/>
          <w:lang w:val="en-US"/>
        </w:rPr>
        <w:t>Konidena</w:t>
      </w:r>
      <w:proofErr w:type="spellEnd"/>
      <w:r w:rsidRPr="00472541">
        <w:rPr>
          <w:sz w:val="22"/>
          <w:szCs w:val="22"/>
          <w:lang w:val="en-US"/>
        </w:rPr>
        <w:t xml:space="preserve"> and K. R. Naveen, </w:t>
      </w:r>
      <w:r w:rsidRPr="00472541">
        <w:rPr>
          <w:i/>
          <w:iCs/>
          <w:sz w:val="22"/>
          <w:szCs w:val="22"/>
          <w:lang w:val="en-US"/>
        </w:rPr>
        <w:t>Adv. Photonics Res.</w:t>
      </w:r>
      <w:r w:rsidRPr="00472541">
        <w:rPr>
          <w:sz w:val="22"/>
          <w:szCs w:val="22"/>
          <w:lang w:val="en-US"/>
        </w:rPr>
        <w:t xml:space="preserve">, 2022, </w:t>
      </w:r>
      <w:r w:rsidRPr="00472541">
        <w:rPr>
          <w:b/>
          <w:bCs/>
          <w:sz w:val="22"/>
          <w:szCs w:val="22"/>
          <w:lang w:val="en-US"/>
        </w:rPr>
        <w:t>3</w:t>
      </w:r>
      <w:r w:rsidRPr="00472541">
        <w:rPr>
          <w:sz w:val="22"/>
          <w:szCs w:val="22"/>
          <w:lang w:val="en-US"/>
        </w:rPr>
        <w:t>, 2200201.</w:t>
      </w:r>
    </w:p>
    <w:p w14:paraId="14C84944" w14:textId="77777777" w:rsidR="00472541" w:rsidRPr="00472541" w:rsidRDefault="00472541" w:rsidP="00472541">
      <w:pPr>
        <w:pStyle w:val="RSCR02References"/>
        <w:spacing w:line="22" w:lineRule="atLeast"/>
        <w:rPr>
          <w:sz w:val="22"/>
          <w:szCs w:val="22"/>
          <w:lang w:val="en-US"/>
        </w:rPr>
      </w:pPr>
      <w:r w:rsidRPr="00472541">
        <w:rPr>
          <w:sz w:val="22"/>
          <w:szCs w:val="22"/>
          <w:lang w:val="en-US"/>
        </w:rPr>
        <w:t xml:space="preserve">S. </w:t>
      </w:r>
      <w:proofErr w:type="spellStart"/>
      <w:r w:rsidRPr="00472541">
        <w:rPr>
          <w:sz w:val="22"/>
          <w:szCs w:val="22"/>
          <w:lang w:val="en-US"/>
        </w:rPr>
        <w:t>Madayanad</w:t>
      </w:r>
      <w:proofErr w:type="spellEnd"/>
      <w:r w:rsidRPr="00472541">
        <w:rPr>
          <w:sz w:val="22"/>
          <w:szCs w:val="22"/>
          <w:lang w:val="en-US"/>
        </w:rPr>
        <w:t xml:space="preserve"> Suresh, D. Hall, D. </w:t>
      </w:r>
      <w:proofErr w:type="spellStart"/>
      <w:r w:rsidRPr="00472541">
        <w:rPr>
          <w:sz w:val="22"/>
          <w:szCs w:val="22"/>
          <w:lang w:val="en-US"/>
        </w:rPr>
        <w:t>Beljonne</w:t>
      </w:r>
      <w:proofErr w:type="spellEnd"/>
      <w:r w:rsidRPr="00472541">
        <w:rPr>
          <w:sz w:val="22"/>
          <w:szCs w:val="22"/>
          <w:lang w:val="en-US"/>
        </w:rPr>
        <w:t xml:space="preserve">, Y. Olivier and E. Zysman‐Colman, </w:t>
      </w:r>
      <w:r w:rsidRPr="00472541">
        <w:rPr>
          <w:i/>
          <w:iCs/>
          <w:sz w:val="22"/>
          <w:szCs w:val="22"/>
          <w:lang w:val="en-US"/>
        </w:rPr>
        <w:t xml:space="preserve">Adv. </w:t>
      </w:r>
      <w:proofErr w:type="spellStart"/>
      <w:r w:rsidRPr="00472541">
        <w:rPr>
          <w:i/>
          <w:iCs/>
          <w:sz w:val="22"/>
          <w:szCs w:val="22"/>
          <w:lang w:val="en-US"/>
        </w:rPr>
        <w:t>Funct</w:t>
      </w:r>
      <w:proofErr w:type="spellEnd"/>
      <w:r w:rsidRPr="00472541">
        <w:rPr>
          <w:i/>
          <w:iCs/>
          <w:sz w:val="22"/>
          <w:szCs w:val="22"/>
          <w:lang w:val="en-US"/>
        </w:rPr>
        <w:t>. Mater.</w:t>
      </w:r>
      <w:r w:rsidRPr="00472541">
        <w:rPr>
          <w:sz w:val="22"/>
          <w:szCs w:val="22"/>
          <w:lang w:val="en-US"/>
        </w:rPr>
        <w:t xml:space="preserve">, 2020, </w:t>
      </w:r>
      <w:r w:rsidRPr="00472541">
        <w:rPr>
          <w:b/>
          <w:bCs/>
          <w:sz w:val="22"/>
          <w:szCs w:val="22"/>
          <w:lang w:val="en-US"/>
        </w:rPr>
        <w:t>30</w:t>
      </w:r>
      <w:r w:rsidRPr="00472541">
        <w:rPr>
          <w:sz w:val="22"/>
          <w:szCs w:val="22"/>
          <w:lang w:val="en-US"/>
        </w:rPr>
        <w:t>, 1908677.</w:t>
      </w:r>
    </w:p>
    <w:p w14:paraId="62AF73E4" w14:textId="77777777" w:rsidR="00472541" w:rsidRPr="00472541" w:rsidRDefault="00472541" w:rsidP="00472541">
      <w:pPr>
        <w:pStyle w:val="RSCR02References"/>
        <w:spacing w:line="22" w:lineRule="atLeast"/>
        <w:rPr>
          <w:sz w:val="22"/>
          <w:szCs w:val="22"/>
          <w:lang w:val="en-US"/>
        </w:rPr>
      </w:pPr>
      <w:r w:rsidRPr="00472541">
        <w:rPr>
          <w:sz w:val="22"/>
          <w:szCs w:val="22"/>
          <w:lang w:val="de-DE"/>
        </w:rPr>
        <w:t xml:space="preserve">F. Huang, X.‐C. Fan, Y.‐C. Cheng, H. Wu, X. Xiong, J. Yu, K. Wang and X.‐H. Zhang, </w:t>
      </w:r>
      <w:r w:rsidRPr="00472541">
        <w:rPr>
          <w:i/>
          <w:iCs/>
          <w:sz w:val="22"/>
          <w:szCs w:val="22"/>
          <w:lang w:val="de-DE"/>
        </w:rPr>
        <w:t xml:space="preserve">Angew. </w:t>
      </w:r>
      <w:r w:rsidRPr="00472541">
        <w:rPr>
          <w:i/>
          <w:iCs/>
          <w:sz w:val="22"/>
          <w:szCs w:val="22"/>
          <w:lang w:val="en-US"/>
        </w:rPr>
        <w:t>Chem. Int. Ed.</w:t>
      </w:r>
      <w:r w:rsidRPr="00472541">
        <w:rPr>
          <w:sz w:val="22"/>
          <w:szCs w:val="22"/>
          <w:lang w:val="en-US"/>
        </w:rPr>
        <w:t xml:space="preserve">, 2023, </w:t>
      </w:r>
      <w:r w:rsidRPr="00472541">
        <w:rPr>
          <w:b/>
          <w:bCs/>
          <w:sz w:val="22"/>
          <w:szCs w:val="22"/>
          <w:lang w:val="en-US"/>
        </w:rPr>
        <w:t>62</w:t>
      </w:r>
      <w:r w:rsidRPr="00472541">
        <w:rPr>
          <w:sz w:val="22"/>
          <w:szCs w:val="22"/>
          <w:lang w:val="en-US"/>
        </w:rPr>
        <w:t>, e202306413.</w:t>
      </w:r>
    </w:p>
    <w:p w14:paraId="7FFDE8E3" w14:textId="77777777" w:rsidR="00472541" w:rsidRPr="00472541" w:rsidRDefault="00472541" w:rsidP="00472541">
      <w:pPr>
        <w:pStyle w:val="RSCR02References"/>
        <w:spacing w:line="22" w:lineRule="atLeast"/>
        <w:rPr>
          <w:sz w:val="22"/>
          <w:szCs w:val="22"/>
          <w:lang w:val="en-US"/>
        </w:rPr>
      </w:pPr>
      <w:r w:rsidRPr="00472541">
        <w:rPr>
          <w:sz w:val="22"/>
          <w:szCs w:val="22"/>
          <w:lang w:val="en-US"/>
        </w:rPr>
        <w:t xml:space="preserve">T. Hua, J. Miao, H. Xia, Z. Huang, X. Cao, N. Li and C. Yang, </w:t>
      </w:r>
      <w:r w:rsidRPr="00472541">
        <w:rPr>
          <w:i/>
          <w:iCs/>
          <w:sz w:val="22"/>
          <w:szCs w:val="22"/>
          <w:lang w:val="en-US"/>
        </w:rPr>
        <w:t xml:space="preserve">Adv. </w:t>
      </w:r>
      <w:proofErr w:type="spellStart"/>
      <w:r w:rsidRPr="00472541">
        <w:rPr>
          <w:i/>
          <w:iCs/>
          <w:sz w:val="22"/>
          <w:szCs w:val="22"/>
          <w:lang w:val="en-US"/>
        </w:rPr>
        <w:t>Funct</w:t>
      </w:r>
      <w:proofErr w:type="spellEnd"/>
      <w:r w:rsidRPr="00472541">
        <w:rPr>
          <w:i/>
          <w:iCs/>
          <w:sz w:val="22"/>
          <w:szCs w:val="22"/>
          <w:lang w:val="en-US"/>
        </w:rPr>
        <w:t>. Mater.</w:t>
      </w:r>
      <w:r w:rsidRPr="00472541">
        <w:rPr>
          <w:sz w:val="22"/>
          <w:szCs w:val="22"/>
          <w:lang w:val="en-US"/>
        </w:rPr>
        <w:t xml:space="preserve">, 2022, </w:t>
      </w:r>
      <w:r w:rsidRPr="00472541">
        <w:rPr>
          <w:b/>
          <w:bCs/>
          <w:sz w:val="22"/>
          <w:szCs w:val="22"/>
          <w:lang w:val="en-US"/>
        </w:rPr>
        <w:t>32</w:t>
      </w:r>
      <w:r w:rsidRPr="00472541">
        <w:rPr>
          <w:sz w:val="22"/>
          <w:szCs w:val="22"/>
          <w:lang w:val="en-US"/>
        </w:rPr>
        <w:t>, 2201032.</w:t>
      </w:r>
    </w:p>
    <w:p w14:paraId="4ADC3E5B" w14:textId="77777777" w:rsidR="00472541" w:rsidRPr="00472541" w:rsidRDefault="00472541" w:rsidP="00472541">
      <w:pPr>
        <w:pStyle w:val="RSCR02References"/>
        <w:spacing w:line="22" w:lineRule="atLeast"/>
        <w:rPr>
          <w:sz w:val="22"/>
          <w:szCs w:val="22"/>
          <w:lang w:val="en-US"/>
        </w:rPr>
      </w:pPr>
      <w:r w:rsidRPr="00472541">
        <w:rPr>
          <w:sz w:val="22"/>
          <w:szCs w:val="22"/>
          <w:lang w:val="en-US"/>
        </w:rPr>
        <w:t xml:space="preserve">S. Oda, B. Kawakami, Y. Yamasaki, R. Matsumoto, M. Yoshioka, D. Fukushima, S. Nakatsuka and T. Hatakeyama, </w:t>
      </w:r>
      <w:r w:rsidRPr="00472541">
        <w:rPr>
          <w:i/>
          <w:iCs/>
          <w:sz w:val="22"/>
          <w:szCs w:val="22"/>
          <w:lang w:val="en-US"/>
        </w:rPr>
        <w:t>J. Am. Chem. Soc.</w:t>
      </w:r>
      <w:r w:rsidRPr="00472541">
        <w:rPr>
          <w:sz w:val="22"/>
          <w:szCs w:val="22"/>
          <w:lang w:val="en-US"/>
        </w:rPr>
        <w:t xml:space="preserve">, 2022, </w:t>
      </w:r>
      <w:r w:rsidRPr="00472541">
        <w:rPr>
          <w:b/>
          <w:bCs/>
          <w:sz w:val="22"/>
          <w:szCs w:val="22"/>
          <w:lang w:val="en-US"/>
        </w:rPr>
        <w:t>144</w:t>
      </w:r>
      <w:r w:rsidRPr="00472541">
        <w:rPr>
          <w:sz w:val="22"/>
          <w:szCs w:val="22"/>
          <w:lang w:val="en-US"/>
        </w:rPr>
        <w:t>, 106–112.</w:t>
      </w:r>
    </w:p>
    <w:p w14:paraId="7E51067E" w14:textId="77777777" w:rsidR="00472541" w:rsidRPr="00472541" w:rsidRDefault="00472541" w:rsidP="00472541">
      <w:pPr>
        <w:pStyle w:val="RSCR02References"/>
        <w:spacing w:line="22" w:lineRule="atLeast"/>
        <w:rPr>
          <w:sz w:val="22"/>
          <w:szCs w:val="22"/>
          <w:lang w:val="en-US"/>
        </w:rPr>
      </w:pPr>
      <w:r w:rsidRPr="00472541">
        <w:rPr>
          <w:sz w:val="22"/>
          <w:szCs w:val="22"/>
          <w:lang w:val="en-US"/>
        </w:rPr>
        <w:t xml:space="preserve">X. </w:t>
      </w:r>
      <w:proofErr w:type="spellStart"/>
      <w:r w:rsidRPr="00472541">
        <w:rPr>
          <w:sz w:val="22"/>
          <w:szCs w:val="22"/>
          <w:lang w:val="en-US"/>
        </w:rPr>
        <w:t>Lv</w:t>
      </w:r>
      <w:proofErr w:type="spellEnd"/>
      <w:r w:rsidRPr="00472541">
        <w:rPr>
          <w:sz w:val="22"/>
          <w:szCs w:val="22"/>
          <w:lang w:val="en-US"/>
        </w:rPr>
        <w:t xml:space="preserve">, J. Miao, M. Liu, Q. Peng, C. Zhong, Y. Hu, X. Cao, H. Wu, Y. Yang, C. Zhou, J. Ma, Y. Zou and C. Yang, </w:t>
      </w:r>
      <w:proofErr w:type="spellStart"/>
      <w:r w:rsidRPr="00472541">
        <w:rPr>
          <w:i/>
          <w:iCs/>
          <w:sz w:val="22"/>
          <w:szCs w:val="22"/>
          <w:lang w:val="en-US"/>
        </w:rPr>
        <w:t>Angew</w:t>
      </w:r>
      <w:proofErr w:type="spellEnd"/>
      <w:r w:rsidRPr="00472541">
        <w:rPr>
          <w:i/>
          <w:iCs/>
          <w:sz w:val="22"/>
          <w:szCs w:val="22"/>
          <w:lang w:val="en-US"/>
        </w:rPr>
        <w:t>. Chem. Int. Ed.</w:t>
      </w:r>
      <w:r w:rsidRPr="00472541">
        <w:rPr>
          <w:sz w:val="22"/>
          <w:szCs w:val="22"/>
          <w:lang w:val="en-US"/>
        </w:rPr>
        <w:t xml:space="preserve">, 2022, </w:t>
      </w:r>
      <w:r w:rsidRPr="00472541">
        <w:rPr>
          <w:b/>
          <w:bCs/>
          <w:sz w:val="22"/>
          <w:szCs w:val="22"/>
          <w:lang w:val="en-US"/>
        </w:rPr>
        <w:t>61</w:t>
      </w:r>
      <w:r w:rsidRPr="00472541">
        <w:rPr>
          <w:sz w:val="22"/>
          <w:szCs w:val="22"/>
          <w:lang w:val="en-US"/>
        </w:rPr>
        <w:t>, e202201588.</w:t>
      </w:r>
    </w:p>
    <w:p w14:paraId="0572FD06" w14:textId="77777777" w:rsidR="00472541" w:rsidRPr="00472541" w:rsidRDefault="00472541" w:rsidP="00472541">
      <w:pPr>
        <w:pStyle w:val="RSCR02References"/>
        <w:spacing w:line="22" w:lineRule="atLeast"/>
        <w:rPr>
          <w:sz w:val="22"/>
          <w:szCs w:val="22"/>
          <w:lang w:val="en-US"/>
        </w:rPr>
      </w:pPr>
      <w:r w:rsidRPr="00472541">
        <w:rPr>
          <w:sz w:val="22"/>
          <w:szCs w:val="22"/>
          <w:lang w:val="en-US"/>
        </w:rPr>
        <w:t xml:space="preserve">H. J. Cheon, Y.-S. Shin, N.-H. Park, J.-H. Lee and Y.-H. Kim, </w:t>
      </w:r>
      <w:r w:rsidRPr="00472541">
        <w:rPr>
          <w:i/>
          <w:iCs/>
          <w:sz w:val="22"/>
          <w:szCs w:val="22"/>
          <w:lang w:val="en-US"/>
        </w:rPr>
        <w:t>Small</w:t>
      </w:r>
      <w:r w:rsidRPr="00472541">
        <w:rPr>
          <w:sz w:val="22"/>
          <w:szCs w:val="22"/>
          <w:lang w:val="en-US"/>
        </w:rPr>
        <w:t xml:space="preserve">, 2022, </w:t>
      </w:r>
      <w:r w:rsidRPr="00472541">
        <w:rPr>
          <w:b/>
          <w:bCs/>
          <w:sz w:val="22"/>
          <w:szCs w:val="22"/>
          <w:lang w:val="en-US"/>
        </w:rPr>
        <w:t>18</w:t>
      </w:r>
      <w:r w:rsidRPr="00472541">
        <w:rPr>
          <w:sz w:val="22"/>
          <w:szCs w:val="22"/>
          <w:lang w:val="en-US"/>
        </w:rPr>
        <w:t>, 2107574.</w:t>
      </w:r>
    </w:p>
    <w:p w14:paraId="27617C5D" w14:textId="77777777" w:rsidR="00472541" w:rsidRPr="00472541" w:rsidRDefault="00472541" w:rsidP="00472541">
      <w:pPr>
        <w:pStyle w:val="RSCR02References"/>
        <w:spacing w:line="22" w:lineRule="atLeast"/>
        <w:rPr>
          <w:sz w:val="22"/>
          <w:szCs w:val="22"/>
          <w:lang w:val="de-DE"/>
        </w:rPr>
      </w:pPr>
      <w:r w:rsidRPr="00472541">
        <w:rPr>
          <w:sz w:val="22"/>
          <w:szCs w:val="22"/>
          <w:lang w:val="de-DE"/>
        </w:rPr>
        <w:t xml:space="preserve">X.-C. Fan, F. Huang, H. Wu, H. Wang, Y.-C. Cheng, J. Yu, K. Wang and X.-H. Zhang, </w:t>
      </w:r>
      <w:r w:rsidRPr="00472541">
        <w:rPr>
          <w:i/>
          <w:iCs/>
          <w:sz w:val="22"/>
          <w:szCs w:val="22"/>
          <w:lang w:val="de-DE"/>
        </w:rPr>
        <w:t>Angew. Chem. Int. Ed.</w:t>
      </w:r>
      <w:r w:rsidRPr="00472541">
        <w:rPr>
          <w:sz w:val="22"/>
          <w:szCs w:val="22"/>
          <w:lang w:val="de-DE"/>
        </w:rPr>
        <w:t xml:space="preserve">, 2023, </w:t>
      </w:r>
      <w:r w:rsidRPr="00472541">
        <w:rPr>
          <w:b/>
          <w:bCs/>
          <w:sz w:val="22"/>
          <w:szCs w:val="22"/>
          <w:lang w:val="de-DE"/>
        </w:rPr>
        <w:t>62</w:t>
      </w:r>
      <w:r w:rsidRPr="00472541">
        <w:rPr>
          <w:sz w:val="22"/>
          <w:szCs w:val="22"/>
          <w:lang w:val="de-DE"/>
        </w:rPr>
        <w:t>, e202305580.</w:t>
      </w:r>
    </w:p>
    <w:p w14:paraId="61ECC391" w14:textId="77777777" w:rsidR="00472541" w:rsidRPr="00472541" w:rsidRDefault="00472541" w:rsidP="00472541">
      <w:pPr>
        <w:pStyle w:val="RSCR02References"/>
        <w:spacing w:line="22" w:lineRule="atLeast"/>
        <w:rPr>
          <w:sz w:val="22"/>
          <w:szCs w:val="22"/>
          <w:lang w:val="en-US"/>
        </w:rPr>
      </w:pPr>
      <w:r w:rsidRPr="00472541">
        <w:rPr>
          <w:sz w:val="22"/>
          <w:szCs w:val="22"/>
          <w:lang w:val="de-DE"/>
        </w:rPr>
        <w:t xml:space="preserve">E. Zender, S. Karger, R. Neubaur, A. Virovets, H.-W. Lerner and M. Wagner, </w:t>
      </w:r>
      <w:r w:rsidRPr="00472541">
        <w:rPr>
          <w:i/>
          <w:iCs/>
          <w:sz w:val="22"/>
          <w:szCs w:val="22"/>
          <w:lang w:val="de-DE"/>
        </w:rPr>
        <w:t>Org. Lett.</w:t>
      </w:r>
      <w:r w:rsidRPr="00472541">
        <w:rPr>
          <w:sz w:val="22"/>
          <w:szCs w:val="22"/>
          <w:lang w:val="de-DE"/>
        </w:rPr>
        <w:t xml:space="preserve">, 2024, </w:t>
      </w:r>
      <w:r w:rsidRPr="00472541">
        <w:rPr>
          <w:b/>
          <w:bCs/>
          <w:sz w:val="22"/>
          <w:szCs w:val="22"/>
          <w:lang w:val="de-DE"/>
        </w:rPr>
        <w:t>26</w:t>
      </w:r>
      <w:r w:rsidRPr="00472541">
        <w:rPr>
          <w:sz w:val="22"/>
          <w:szCs w:val="22"/>
          <w:lang w:val="de-DE"/>
        </w:rPr>
        <w:t>, 939–944</w:t>
      </w:r>
      <w:r w:rsidRPr="00472541">
        <w:rPr>
          <w:sz w:val="22"/>
          <w:szCs w:val="22"/>
          <w:lang w:val="en-US"/>
        </w:rPr>
        <w:t>.</w:t>
      </w:r>
    </w:p>
    <w:p w14:paraId="53176BF7" w14:textId="77777777" w:rsidR="00472541" w:rsidRPr="00472541" w:rsidRDefault="00472541" w:rsidP="00472541">
      <w:pPr>
        <w:pStyle w:val="RSCR02References"/>
        <w:spacing w:line="22" w:lineRule="atLeast"/>
        <w:rPr>
          <w:sz w:val="22"/>
          <w:szCs w:val="22"/>
          <w:lang w:val="en-US"/>
        </w:rPr>
      </w:pPr>
      <w:r w:rsidRPr="00472541">
        <w:rPr>
          <w:sz w:val="22"/>
          <w:szCs w:val="22"/>
          <w:lang w:val="en-US"/>
        </w:rPr>
        <w:t xml:space="preserve">M. Yang, I. S. Park and T. Yasuda, </w:t>
      </w:r>
      <w:r w:rsidRPr="00472541">
        <w:rPr>
          <w:i/>
          <w:iCs/>
          <w:sz w:val="22"/>
          <w:szCs w:val="22"/>
          <w:lang w:val="en-US"/>
        </w:rPr>
        <w:t>J. Am. Chem. Soc.</w:t>
      </w:r>
      <w:r w:rsidRPr="00472541">
        <w:rPr>
          <w:sz w:val="22"/>
          <w:szCs w:val="22"/>
          <w:lang w:val="en-US"/>
        </w:rPr>
        <w:t xml:space="preserve">, 2020, </w:t>
      </w:r>
      <w:r w:rsidRPr="00472541">
        <w:rPr>
          <w:b/>
          <w:bCs/>
          <w:sz w:val="22"/>
          <w:szCs w:val="22"/>
          <w:lang w:val="en-US"/>
        </w:rPr>
        <w:t>142</w:t>
      </w:r>
      <w:r w:rsidRPr="00472541">
        <w:rPr>
          <w:sz w:val="22"/>
          <w:szCs w:val="22"/>
          <w:lang w:val="en-US"/>
        </w:rPr>
        <w:t>, 19468–19472.</w:t>
      </w:r>
    </w:p>
    <w:p w14:paraId="4495B7D9" w14:textId="77777777" w:rsidR="00472541" w:rsidRPr="00472541" w:rsidRDefault="00472541" w:rsidP="00472541">
      <w:pPr>
        <w:pStyle w:val="RSCR02References"/>
        <w:spacing w:line="22" w:lineRule="atLeast"/>
        <w:rPr>
          <w:sz w:val="22"/>
          <w:szCs w:val="22"/>
          <w:lang w:val="en-US"/>
        </w:rPr>
      </w:pPr>
      <w:r w:rsidRPr="00472541">
        <w:rPr>
          <w:sz w:val="22"/>
          <w:szCs w:val="22"/>
          <w:lang w:val="en-US"/>
        </w:rPr>
        <w:t xml:space="preserve">M. </w:t>
      </w:r>
      <w:proofErr w:type="spellStart"/>
      <w:r w:rsidRPr="00472541">
        <w:rPr>
          <w:sz w:val="22"/>
          <w:szCs w:val="22"/>
          <w:lang w:val="en-US"/>
        </w:rPr>
        <w:t>Mamada</w:t>
      </w:r>
      <w:proofErr w:type="spellEnd"/>
      <w:r w:rsidRPr="00472541">
        <w:rPr>
          <w:sz w:val="22"/>
          <w:szCs w:val="22"/>
          <w:lang w:val="en-US"/>
        </w:rPr>
        <w:t xml:space="preserve">, M. Hayakawa, J. Ochi and T. Hatakeyama, </w:t>
      </w:r>
      <w:r w:rsidRPr="00472541">
        <w:rPr>
          <w:i/>
          <w:iCs/>
          <w:sz w:val="22"/>
          <w:szCs w:val="22"/>
          <w:lang w:val="en-US"/>
        </w:rPr>
        <w:t>Chem. Soc. Rev.</w:t>
      </w:r>
      <w:r w:rsidRPr="00472541">
        <w:rPr>
          <w:sz w:val="22"/>
          <w:szCs w:val="22"/>
          <w:lang w:val="en-US"/>
        </w:rPr>
        <w:t xml:space="preserve">, 2024, </w:t>
      </w:r>
      <w:r w:rsidRPr="00472541">
        <w:rPr>
          <w:b/>
          <w:bCs/>
          <w:sz w:val="22"/>
          <w:szCs w:val="22"/>
          <w:lang w:val="en-US"/>
        </w:rPr>
        <w:t>53</w:t>
      </w:r>
      <w:r w:rsidRPr="00472541">
        <w:rPr>
          <w:sz w:val="22"/>
          <w:szCs w:val="22"/>
          <w:lang w:val="en-US"/>
        </w:rPr>
        <w:t>, 1624–1692.</w:t>
      </w:r>
    </w:p>
    <w:p w14:paraId="3EBAE6DC" w14:textId="77777777" w:rsidR="00472541" w:rsidRPr="00472541" w:rsidRDefault="00472541" w:rsidP="00472541">
      <w:pPr>
        <w:pStyle w:val="RSCR02References"/>
        <w:spacing w:line="22" w:lineRule="atLeast"/>
        <w:rPr>
          <w:sz w:val="22"/>
          <w:szCs w:val="22"/>
          <w:lang w:val="de-DE"/>
        </w:rPr>
      </w:pPr>
      <w:r w:rsidRPr="00472541">
        <w:rPr>
          <w:sz w:val="22"/>
          <w:szCs w:val="22"/>
          <w:lang w:val="de-DE"/>
        </w:rPr>
        <w:t xml:space="preserve">Y. Liu, X. Xiao, Z. Huang, D. Yang, D. Ma, J. Liu, B. Lei, Z. Bin and J. You, </w:t>
      </w:r>
      <w:r w:rsidRPr="00472541">
        <w:rPr>
          <w:i/>
          <w:iCs/>
          <w:sz w:val="22"/>
          <w:szCs w:val="22"/>
          <w:lang w:val="de-DE"/>
        </w:rPr>
        <w:t>Angew. Chem. Int. Ed.</w:t>
      </w:r>
      <w:r w:rsidRPr="00472541">
        <w:rPr>
          <w:sz w:val="22"/>
          <w:szCs w:val="22"/>
          <w:lang w:val="de-DE"/>
        </w:rPr>
        <w:t xml:space="preserve">, 2022, </w:t>
      </w:r>
      <w:r w:rsidRPr="00472541">
        <w:rPr>
          <w:b/>
          <w:bCs/>
          <w:sz w:val="22"/>
          <w:szCs w:val="22"/>
          <w:lang w:val="de-DE"/>
        </w:rPr>
        <w:t>61</w:t>
      </w:r>
      <w:r w:rsidRPr="00472541">
        <w:rPr>
          <w:sz w:val="22"/>
          <w:szCs w:val="22"/>
          <w:lang w:val="de-DE"/>
        </w:rPr>
        <w:t>, e202210210.</w:t>
      </w:r>
    </w:p>
    <w:p w14:paraId="23375666" w14:textId="77777777" w:rsidR="00472541" w:rsidRPr="00472541" w:rsidRDefault="00472541" w:rsidP="00472541">
      <w:pPr>
        <w:pStyle w:val="RSCR02References"/>
        <w:spacing w:line="22" w:lineRule="atLeast"/>
        <w:rPr>
          <w:sz w:val="22"/>
          <w:szCs w:val="22"/>
          <w:lang w:val="en-US"/>
        </w:rPr>
      </w:pPr>
      <w:r w:rsidRPr="00472541">
        <w:rPr>
          <w:sz w:val="22"/>
          <w:szCs w:val="22"/>
          <w:lang w:val="en-US"/>
        </w:rPr>
        <w:t xml:space="preserve">P. Jiang, L. Zhan, X. Cao, X. </w:t>
      </w:r>
      <w:proofErr w:type="spellStart"/>
      <w:r w:rsidRPr="00472541">
        <w:rPr>
          <w:sz w:val="22"/>
          <w:szCs w:val="22"/>
          <w:lang w:val="en-US"/>
        </w:rPr>
        <w:t>Lv</w:t>
      </w:r>
      <w:proofErr w:type="spellEnd"/>
      <w:r w:rsidRPr="00472541">
        <w:rPr>
          <w:sz w:val="22"/>
          <w:szCs w:val="22"/>
          <w:lang w:val="en-US"/>
        </w:rPr>
        <w:t xml:space="preserve">, S. Gong, Z. Chen, C. Zhou, Z. Huang, F. Ni, Y. Zou and C. Yang, </w:t>
      </w:r>
      <w:r w:rsidRPr="00472541">
        <w:rPr>
          <w:i/>
          <w:iCs/>
          <w:sz w:val="22"/>
          <w:szCs w:val="22"/>
          <w:lang w:val="en-US"/>
        </w:rPr>
        <w:t>Adv. Opt. Mater.</w:t>
      </w:r>
      <w:r w:rsidRPr="00472541">
        <w:rPr>
          <w:sz w:val="22"/>
          <w:szCs w:val="22"/>
          <w:lang w:val="en-US"/>
        </w:rPr>
        <w:t xml:space="preserve">, 2021, </w:t>
      </w:r>
      <w:r w:rsidRPr="00472541">
        <w:rPr>
          <w:b/>
          <w:bCs/>
          <w:sz w:val="22"/>
          <w:szCs w:val="22"/>
          <w:lang w:val="en-US"/>
        </w:rPr>
        <w:t>9</w:t>
      </w:r>
      <w:r w:rsidRPr="00472541">
        <w:rPr>
          <w:sz w:val="22"/>
          <w:szCs w:val="22"/>
          <w:lang w:val="en-US"/>
        </w:rPr>
        <w:t>, 2100825.</w:t>
      </w:r>
    </w:p>
    <w:p w14:paraId="1CFA3DAE" w14:textId="77777777" w:rsidR="00472541" w:rsidRPr="00472541" w:rsidRDefault="00472541" w:rsidP="00472541">
      <w:pPr>
        <w:pStyle w:val="RSCR02References"/>
        <w:spacing w:line="22" w:lineRule="atLeast"/>
        <w:rPr>
          <w:sz w:val="22"/>
          <w:szCs w:val="22"/>
          <w:lang w:val="en-US"/>
        </w:rPr>
      </w:pPr>
      <w:r w:rsidRPr="00472541">
        <w:rPr>
          <w:sz w:val="22"/>
          <w:szCs w:val="22"/>
          <w:lang w:val="en-US"/>
        </w:rPr>
        <w:t xml:space="preserve">C. M. van Beek, A. M. </w:t>
      </w:r>
      <w:proofErr w:type="spellStart"/>
      <w:r w:rsidRPr="00472541">
        <w:rPr>
          <w:sz w:val="22"/>
          <w:szCs w:val="22"/>
          <w:lang w:val="en-US"/>
        </w:rPr>
        <w:t>Swarbrook</w:t>
      </w:r>
      <w:proofErr w:type="spellEnd"/>
      <w:r w:rsidRPr="00472541">
        <w:rPr>
          <w:sz w:val="22"/>
          <w:szCs w:val="22"/>
          <w:lang w:val="en-US"/>
        </w:rPr>
        <w:t xml:space="preserve">, C. E. Creissen, C. S. Hawes, T. A. </w:t>
      </w:r>
      <w:proofErr w:type="spellStart"/>
      <w:r w:rsidRPr="00472541">
        <w:rPr>
          <w:sz w:val="22"/>
          <w:szCs w:val="22"/>
          <w:lang w:val="en-US"/>
        </w:rPr>
        <w:t>Gazis</w:t>
      </w:r>
      <w:proofErr w:type="spellEnd"/>
      <w:r w:rsidRPr="00472541">
        <w:rPr>
          <w:sz w:val="22"/>
          <w:szCs w:val="22"/>
          <w:lang w:val="en-US"/>
        </w:rPr>
        <w:t xml:space="preserve"> and P. D. Matthews, </w:t>
      </w:r>
      <w:r w:rsidRPr="00472541">
        <w:rPr>
          <w:i/>
          <w:iCs/>
          <w:sz w:val="22"/>
          <w:szCs w:val="22"/>
          <w:lang w:val="en-US"/>
        </w:rPr>
        <w:t>Chem. Eur. J.</w:t>
      </w:r>
      <w:r w:rsidRPr="00472541">
        <w:rPr>
          <w:sz w:val="22"/>
          <w:szCs w:val="22"/>
          <w:lang w:val="en-US"/>
        </w:rPr>
        <w:t xml:space="preserve">, 2024, </w:t>
      </w:r>
      <w:r w:rsidRPr="00472541">
        <w:rPr>
          <w:b/>
          <w:bCs/>
          <w:sz w:val="22"/>
          <w:szCs w:val="22"/>
          <w:lang w:val="en-US"/>
        </w:rPr>
        <w:t>30</w:t>
      </w:r>
      <w:r w:rsidRPr="00472541">
        <w:rPr>
          <w:sz w:val="22"/>
          <w:szCs w:val="22"/>
          <w:lang w:val="en-US"/>
        </w:rPr>
        <w:t>, e202301944.</w:t>
      </w:r>
    </w:p>
    <w:p w14:paraId="471CFFA5" w14:textId="77777777" w:rsidR="00472541" w:rsidRPr="00472541" w:rsidRDefault="00472541" w:rsidP="00472541">
      <w:pPr>
        <w:pStyle w:val="RSCR02References"/>
        <w:spacing w:line="22" w:lineRule="atLeast"/>
        <w:rPr>
          <w:sz w:val="22"/>
          <w:szCs w:val="22"/>
          <w:lang w:val="en-US"/>
        </w:rPr>
      </w:pPr>
      <w:r w:rsidRPr="00472541">
        <w:rPr>
          <w:sz w:val="22"/>
          <w:szCs w:val="22"/>
          <w:lang w:val="en-US"/>
        </w:rPr>
        <w:t xml:space="preserve">T. </w:t>
      </w:r>
      <w:proofErr w:type="spellStart"/>
      <w:r w:rsidRPr="00472541">
        <w:rPr>
          <w:sz w:val="22"/>
          <w:szCs w:val="22"/>
          <w:lang w:val="en-US"/>
        </w:rPr>
        <w:t>Agou</w:t>
      </w:r>
      <w:proofErr w:type="spellEnd"/>
      <w:r w:rsidRPr="00472541">
        <w:rPr>
          <w:sz w:val="22"/>
          <w:szCs w:val="22"/>
          <w:lang w:val="en-US"/>
        </w:rPr>
        <w:t xml:space="preserve">, J. Kobayashi and T. Kawashima, </w:t>
      </w:r>
      <w:r w:rsidRPr="00472541">
        <w:rPr>
          <w:i/>
          <w:iCs/>
          <w:sz w:val="22"/>
          <w:szCs w:val="22"/>
          <w:lang w:val="en-US"/>
        </w:rPr>
        <w:t>Org. Lett.</w:t>
      </w:r>
      <w:r w:rsidRPr="00472541">
        <w:rPr>
          <w:sz w:val="22"/>
          <w:szCs w:val="22"/>
          <w:lang w:val="en-US"/>
        </w:rPr>
        <w:t xml:space="preserve">, 2006, </w:t>
      </w:r>
      <w:r w:rsidRPr="00472541">
        <w:rPr>
          <w:b/>
          <w:bCs/>
          <w:sz w:val="22"/>
          <w:szCs w:val="22"/>
          <w:lang w:val="en-US"/>
        </w:rPr>
        <w:t>8</w:t>
      </w:r>
      <w:r w:rsidRPr="00472541">
        <w:rPr>
          <w:sz w:val="22"/>
          <w:szCs w:val="22"/>
          <w:lang w:val="en-US"/>
        </w:rPr>
        <w:t>, 2241–2244.</w:t>
      </w:r>
    </w:p>
    <w:p w14:paraId="3E884910" w14:textId="77777777" w:rsidR="00472541" w:rsidRPr="00472541" w:rsidRDefault="00472541" w:rsidP="00472541">
      <w:pPr>
        <w:pStyle w:val="RSCR02References"/>
        <w:spacing w:line="22" w:lineRule="atLeast"/>
        <w:rPr>
          <w:sz w:val="22"/>
          <w:szCs w:val="22"/>
          <w:lang w:val="de-DE"/>
        </w:rPr>
      </w:pPr>
      <w:r w:rsidRPr="00472541">
        <w:rPr>
          <w:sz w:val="22"/>
          <w:szCs w:val="22"/>
          <w:lang w:val="en-US"/>
        </w:rPr>
        <w:t>For corresponding B</w:t>
      </w:r>
      <w:r w:rsidRPr="00472541">
        <w:rPr>
          <w:sz w:val="22"/>
          <w:szCs w:val="22"/>
          <w:vertAlign w:val="subscript"/>
          <w:lang w:val="en-US"/>
        </w:rPr>
        <w:t>3</w:t>
      </w:r>
      <w:r w:rsidRPr="00472541">
        <w:rPr>
          <w:sz w:val="22"/>
          <w:szCs w:val="22"/>
          <w:lang w:val="en-US"/>
        </w:rPr>
        <w:t>,N</w:t>
      </w:r>
      <w:r w:rsidRPr="00472541">
        <w:rPr>
          <w:sz w:val="22"/>
          <w:szCs w:val="22"/>
          <w:vertAlign w:val="subscript"/>
          <w:lang w:val="en-US"/>
        </w:rPr>
        <w:t>3</w:t>
      </w:r>
      <w:r w:rsidRPr="00472541">
        <w:rPr>
          <w:sz w:val="22"/>
          <w:szCs w:val="22"/>
          <w:lang w:val="en-US"/>
        </w:rPr>
        <w:t xml:space="preserve">-heptacenes, see: (a) S. </w:t>
      </w:r>
      <w:proofErr w:type="spellStart"/>
      <w:r w:rsidRPr="00472541">
        <w:rPr>
          <w:sz w:val="22"/>
          <w:szCs w:val="22"/>
          <w:lang w:val="en-US"/>
        </w:rPr>
        <w:t>Madayanad</w:t>
      </w:r>
      <w:proofErr w:type="spellEnd"/>
      <w:r w:rsidRPr="00472541">
        <w:rPr>
          <w:sz w:val="22"/>
          <w:szCs w:val="22"/>
          <w:lang w:val="en-US"/>
        </w:rPr>
        <w:t xml:space="preserve"> Suresh, E. Duda, D. Hall, Z. Yao, S. </w:t>
      </w:r>
      <w:proofErr w:type="spellStart"/>
      <w:r w:rsidRPr="00472541">
        <w:rPr>
          <w:sz w:val="22"/>
          <w:szCs w:val="22"/>
          <w:lang w:val="en-US"/>
        </w:rPr>
        <w:t>Bagnich</w:t>
      </w:r>
      <w:proofErr w:type="spellEnd"/>
      <w:r w:rsidRPr="00472541">
        <w:rPr>
          <w:sz w:val="22"/>
          <w:szCs w:val="22"/>
          <w:lang w:val="en-US"/>
        </w:rPr>
        <w:t xml:space="preserve">, A. M. Z. Slawin, H. </w:t>
      </w:r>
      <w:proofErr w:type="spellStart"/>
      <w:r w:rsidRPr="00472541">
        <w:rPr>
          <w:sz w:val="22"/>
          <w:szCs w:val="22"/>
          <w:lang w:val="en-US"/>
        </w:rPr>
        <w:t>Bässler</w:t>
      </w:r>
      <w:proofErr w:type="spellEnd"/>
      <w:r w:rsidRPr="00472541">
        <w:rPr>
          <w:sz w:val="22"/>
          <w:szCs w:val="22"/>
          <w:lang w:val="en-US"/>
        </w:rPr>
        <w:t xml:space="preserve">, D. </w:t>
      </w:r>
      <w:proofErr w:type="spellStart"/>
      <w:r w:rsidRPr="00472541">
        <w:rPr>
          <w:sz w:val="22"/>
          <w:szCs w:val="22"/>
          <w:lang w:val="en-US"/>
        </w:rPr>
        <w:t>Beljonne</w:t>
      </w:r>
      <w:proofErr w:type="spellEnd"/>
      <w:r w:rsidRPr="00472541">
        <w:rPr>
          <w:sz w:val="22"/>
          <w:szCs w:val="22"/>
          <w:lang w:val="en-US"/>
        </w:rPr>
        <w:t xml:space="preserve">, M. Buck, Y. Olivier, A. Köhler and E. Zysman-Colman, </w:t>
      </w:r>
      <w:r w:rsidRPr="00472541">
        <w:rPr>
          <w:i/>
          <w:iCs/>
          <w:sz w:val="22"/>
          <w:szCs w:val="22"/>
          <w:lang w:val="en-US"/>
        </w:rPr>
        <w:t>J. Am. Chem. Soc.</w:t>
      </w:r>
      <w:r w:rsidRPr="00472541">
        <w:rPr>
          <w:sz w:val="22"/>
          <w:szCs w:val="22"/>
          <w:lang w:val="en-US"/>
        </w:rPr>
        <w:t xml:space="preserve">, 2020, </w:t>
      </w:r>
      <w:r w:rsidRPr="00472541">
        <w:rPr>
          <w:b/>
          <w:bCs/>
          <w:sz w:val="22"/>
          <w:szCs w:val="22"/>
          <w:lang w:val="en-US"/>
        </w:rPr>
        <w:t>142</w:t>
      </w:r>
      <w:r w:rsidRPr="00472541">
        <w:rPr>
          <w:sz w:val="22"/>
          <w:szCs w:val="22"/>
          <w:lang w:val="en-US"/>
        </w:rPr>
        <w:t xml:space="preserve">, 6588–6599. (b) K. Stavrou, S. </w:t>
      </w:r>
      <w:proofErr w:type="spellStart"/>
      <w:r w:rsidRPr="00472541">
        <w:rPr>
          <w:sz w:val="22"/>
          <w:szCs w:val="22"/>
          <w:lang w:val="en-US"/>
        </w:rPr>
        <w:t>Madayanad</w:t>
      </w:r>
      <w:proofErr w:type="spellEnd"/>
      <w:r w:rsidRPr="00472541">
        <w:rPr>
          <w:sz w:val="22"/>
          <w:szCs w:val="22"/>
          <w:lang w:val="en-US"/>
        </w:rPr>
        <w:t xml:space="preserve"> Suresh, D. Hall, </w:t>
      </w:r>
      <w:r w:rsidRPr="00472541">
        <w:rPr>
          <w:sz w:val="22"/>
          <w:szCs w:val="22"/>
          <w:lang w:val="en-US"/>
        </w:rPr>
        <w:lastRenderedPageBreak/>
        <w:t xml:space="preserve">A. Danos, N. A. </w:t>
      </w:r>
      <w:proofErr w:type="spellStart"/>
      <w:r w:rsidRPr="00472541">
        <w:rPr>
          <w:sz w:val="22"/>
          <w:szCs w:val="22"/>
          <w:lang w:val="en-US"/>
        </w:rPr>
        <w:t>Kukhta</w:t>
      </w:r>
      <w:proofErr w:type="spellEnd"/>
      <w:r w:rsidRPr="00472541">
        <w:rPr>
          <w:sz w:val="22"/>
          <w:szCs w:val="22"/>
          <w:lang w:val="en-US"/>
        </w:rPr>
        <w:t xml:space="preserve">, A. M. Z. Slawin, S. Warriner, D. </w:t>
      </w:r>
      <w:proofErr w:type="spellStart"/>
      <w:r w:rsidRPr="00472541">
        <w:rPr>
          <w:sz w:val="22"/>
          <w:szCs w:val="22"/>
          <w:lang w:val="en-US"/>
        </w:rPr>
        <w:t>Beljonne</w:t>
      </w:r>
      <w:proofErr w:type="spellEnd"/>
      <w:r w:rsidRPr="00472541">
        <w:rPr>
          <w:sz w:val="22"/>
          <w:szCs w:val="22"/>
          <w:lang w:val="en-US"/>
        </w:rPr>
        <w:t xml:space="preserve">, Y. Olivier, A. Monkman and E. Zysman‐Colman, </w:t>
      </w:r>
      <w:r w:rsidRPr="00472541">
        <w:rPr>
          <w:i/>
          <w:iCs/>
          <w:sz w:val="22"/>
          <w:szCs w:val="22"/>
          <w:lang w:val="en-US"/>
        </w:rPr>
        <w:t>Adv. Opt. Mater.</w:t>
      </w:r>
      <w:r w:rsidRPr="00472541">
        <w:rPr>
          <w:sz w:val="22"/>
          <w:szCs w:val="22"/>
          <w:lang w:val="en-US"/>
        </w:rPr>
        <w:t xml:space="preserve">, 2022, </w:t>
      </w:r>
      <w:r w:rsidRPr="00472541">
        <w:rPr>
          <w:b/>
          <w:bCs/>
          <w:sz w:val="22"/>
          <w:szCs w:val="22"/>
          <w:lang w:val="en-US"/>
        </w:rPr>
        <w:t>10</w:t>
      </w:r>
      <w:r w:rsidRPr="00472541">
        <w:rPr>
          <w:sz w:val="22"/>
          <w:szCs w:val="22"/>
          <w:lang w:val="en-US"/>
        </w:rPr>
        <w:t>, 2200688</w:t>
      </w:r>
      <w:r w:rsidRPr="00472541">
        <w:rPr>
          <w:sz w:val="22"/>
          <w:szCs w:val="22"/>
          <w:lang w:val="de-DE"/>
        </w:rPr>
        <w:t>.</w:t>
      </w:r>
    </w:p>
    <w:p w14:paraId="0D67C8C7" w14:textId="77777777" w:rsidR="00472541" w:rsidRPr="00472541" w:rsidRDefault="00472541" w:rsidP="00472541">
      <w:pPr>
        <w:pStyle w:val="RSCR02References"/>
        <w:spacing w:line="22" w:lineRule="atLeast"/>
        <w:rPr>
          <w:sz w:val="22"/>
          <w:szCs w:val="22"/>
          <w:lang w:val="de-DE"/>
        </w:rPr>
      </w:pPr>
      <w:r w:rsidRPr="00472541">
        <w:rPr>
          <w:sz w:val="22"/>
          <w:szCs w:val="22"/>
          <w:lang w:val="de-DE"/>
        </w:rPr>
        <w:t xml:space="preserve">J. A. Knöller, G. Meng, X. Wang, D. Hall, A. Pershin, D. Beljonne, Y. Olivier, S. Laschat, E. Zysman‐Colman and S. Wang, </w:t>
      </w:r>
      <w:r w:rsidRPr="00472541">
        <w:rPr>
          <w:i/>
          <w:iCs/>
          <w:sz w:val="22"/>
          <w:szCs w:val="22"/>
          <w:lang w:val="de-DE"/>
        </w:rPr>
        <w:t>Angew. Chem. Int. Ed.</w:t>
      </w:r>
      <w:r w:rsidRPr="00472541">
        <w:rPr>
          <w:sz w:val="22"/>
          <w:szCs w:val="22"/>
          <w:lang w:val="de-DE"/>
        </w:rPr>
        <w:t xml:space="preserve">, 2020, </w:t>
      </w:r>
      <w:r w:rsidRPr="00472541">
        <w:rPr>
          <w:b/>
          <w:bCs/>
          <w:sz w:val="22"/>
          <w:szCs w:val="22"/>
          <w:lang w:val="de-DE"/>
        </w:rPr>
        <w:t>59</w:t>
      </w:r>
      <w:r w:rsidRPr="00472541">
        <w:rPr>
          <w:sz w:val="22"/>
          <w:szCs w:val="22"/>
          <w:lang w:val="de-DE"/>
        </w:rPr>
        <w:t>, 3156–3160.</w:t>
      </w:r>
    </w:p>
    <w:p w14:paraId="618E253A" w14:textId="77777777" w:rsidR="00472541" w:rsidRPr="00472541" w:rsidRDefault="00472541" w:rsidP="00472541">
      <w:pPr>
        <w:pStyle w:val="RSCR02References"/>
        <w:spacing w:line="22" w:lineRule="atLeast"/>
        <w:rPr>
          <w:sz w:val="22"/>
          <w:szCs w:val="22"/>
          <w:lang w:val="en-US"/>
        </w:rPr>
      </w:pPr>
      <w:r w:rsidRPr="00472541">
        <w:rPr>
          <w:sz w:val="22"/>
          <w:szCs w:val="22"/>
          <w:lang w:val="en-US"/>
        </w:rPr>
        <w:t xml:space="preserve">C–N-bond cleavage reactions in comparable systems have been reported: K. Matsui, S. Oda, K. </w:t>
      </w:r>
      <w:proofErr w:type="spellStart"/>
      <w:r w:rsidRPr="00472541">
        <w:rPr>
          <w:sz w:val="22"/>
          <w:szCs w:val="22"/>
          <w:lang w:val="en-US"/>
        </w:rPr>
        <w:t>Yoshiura</w:t>
      </w:r>
      <w:proofErr w:type="spellEnd"/>
      <w:r w:rsidRPr="00472541">
        <w:rPr>
          <w:sz w:val="22"/>
          <w:szCs w:val="22"/>
          <w:lang w:val="en-US"/>
        </w:rPr>
        <w:t xml:space="preserve">, K. Nakajima, N. Yasuda and T. Hatakeyama, </w:t>
      </w:r>
      <w:r w:rsidRPr="00472541">
        <w:rPr>
          <w:i/>
          <w:iCs/>
          <w:sz w:val="22"/>
          <w:szCs w:val="22"/>
          <w:lang w:val="en-US"/>
        </w:rPr>
        <w:t>J. Am. Chem. Soc.</w:t>
      </w:r>
      <w:r w:rsidRPr="00472541">
        <w:rPr>
          <w:sz w:val="22"/>
          <w:szCs w:val="22"/>
          <w:lang w:val="en-US"/>
        </w:rPr>
        <w:t xml:space="preserve">, 2018, </w:t>
      </w:r>
      <w:r w:rsidRPr="00472541">
        <w:rPr>
          <w:b/>
          <w:bCs/>
          <w:sz w:val="22"/>
          <w:szCs w:val="22"/>
          <w:lang w:val="en-US"/>
        </w:rPr>
        <w:t>140</w:t>
      </w:r>
      <w:r w:rsidRPr="00472541">
        <w:rPr>
          <w:sz w:val="22"/>
          <w:szCs w:val="22"/>
          <w:lang w:val="en-US"/>
        </w:rPr>
        <w:t>, 1195–1198.</w:t>
      </w:r>
    </w:p>
    <w:p w14:paraId="2536FEFC" w14:textId="77777777" w:rsidR="00472541" w:rsidRPr="00472541" w:rsidRDefault="00472541" w:rsidP="00472541">
      <w:pPr>
        <w:pStyle w:val="RSCR02References"/>
        <w:spacing w:line="22" w:lineRule="atLeast"/>
        <w:rPr>
          <w:sz w:val="22"/>
          <w:szCs w:val="22"/>
          <w:lang w:val="en-US"/>
        </w:rPr>
      </w:pPr>
      <w:r w:rsidRPr="00472541">
        <w:rPr>
          <w:sz w:val="22"/>
          <w:szCs w:val="22"/>
          <w:lang w:val="en-US"/>
        </w:rPr>
        <w:t xml:space="preserve">Precedence for such reactivity exists in the form of a 9,10-dihydro-9,10-diboraanthracene </w:t>
      </w:r>
      <w:r w:rsidRPr="00472541">
        <w:rPr>
          <w:rFonts w:ascii="Times New Roman" w:hAnsi="Times New Roman"/>
          <w:sz w:val="22"/>
          <w:szCs w:val="22"/>
          <w:lang w:val="en-US"/>
        </w:rPr>
        <w:t>→</w:t>
      </w:r>
      <w:r w:rsidRPr="00472541">
        <w:rPr>
          <w:sz w:val="22"/>
          <w:szCs w:val="22"/>
          <w:lang w:val="en-US"/>
        </w:rPr>
        <w:t xml:space="preserve"> 9-borafluorene conversion: S. Kirschner, S.-S. Bao, M. K. Fengel, M. Bolte, H.-W. Lerner and M. Wagner, </w:t>
      </w:r>
      <w:r w:rsidRPr="00472541">
        <w:rPr>
          <w:i/>
          <w:iCs/>
          <w:sz w:val="22"/>
          <w:szCs w:val="22"/>
          <w:lang w:val="en-US"/>
        </w:rPr>
        <w:t xml:space="preserve">Org. </w:t>
      </w:r>
      <w:proofErr w:type="spellStart"/>
      <w:r w:rsidRPr="00472541">
        <w:rPr>
          <w:i/>
          <w:iCs/>
          <w:sz w:val="22"/>
          <w:szCs w:val="22"/>
          <w:lang w:val="en-US"/>
        </w:rPr>
        <w:t>Biomol</w:t>
      </w:r>
      <w:proofErr w:type="spellEnd"/>
      <w:r w:rsidRPr="00472541">
        <w:rPr>
          <w:i/>
          <w:iCs/>
          <w:sz w:val="22"/>
          <w:szCs w:val="22"/>
          <w:lang w:val="en-US"/>
        </w:rPr>
        <w:t>. Chem.</w:t>
      </w:r>
      <w:r w:rsidRPr="00472541">
        <w:rPr>
          <w:sz w:val="22"/>
          <w:szCs w:val="22"/>
          <w:lang w:val="en-US"/>
        </w:rPr>
        <w:t xml:space="preserve">, 2019, </w:t>
      </w:r>
      <w:r w:rsidRPr="00472541">
        <w:rPr>
          <w:b/>
          <w:bCs/>
          <w:sz w:val="22"/>
          <w:szCs w:val="22"/>
          <w:lang w:val="en-US"/>
        </w:rPr>
        <w:t>17</w:t>
      </w:r>
      <w:r w:rsidRPr="00472541">
        <w:rPr>
          <w:sz w:val="22"/>
          <w:szCs w:val="22"/>
          <w:lang w:val="en-US"/>
        </w:rPr>
        <w:t>, 5060–5065.</w:t>
      </w:r>
    </w:p>
    <w:p w14:paraId="49E0C604" w14:textId="77777777" w:rsidR="00472541" w:rsidRPr="00472541" w:rsidRDefault="00472541" w:rsidP="00472541">
      <w:pPr>
        <w:pStyle w:val="RSCR02References"/>
        <w:spacing w:line="22" w:lineRule="atLeast"/>
        <w:rPr>
          <w:sz w:val="22"/>
          <w:szCs w:val="22"/>
          <w:lang w:val="de-DE"/>
        </w:rPr>
      </w:pPr>
      <w:r w:rsidRPr="00472541">
        <w:rPr>
          <w:sz w:val="22"/>
          <w:szCs w:val="22"/>
          <w:lang w:val="de-DE"/>
        </w:rPr>
        <w:t xml:space="preserve">Y. Wang, Y. Duan, R. Guo, S. Ye, K. Di, W. Zhang, S. Zhuang and L. Wang, </w:t>
      </w:r>
      <w:r w:rsidRPr="00472541">
        <w:rPr>
          <w:i/>
          <w:iCs/>
          <w:sz w:val="22"/>
          <w:szCs w:val="22"/>
          <w:lang w:val="de-DE"/>
        </w:rPr>
        <w:t>Org. Electron.</w:t>
      </w:r>
      <w:r w:rsidRPr="00472541">
        <w:rPr>
          <w:sz w:val="22"/>
          <w:szCs w:val="22"/>
          <w:lang w:val="de-DE"/>
        </w:rPr>
        <w:t xml:space="preserve">, 2021, </w:t>
      </w:r>
      <w:r w:rsidRPr="00472541">
        <w:rPr>
          <w:b/>
          <w:bCs/>
          <w:sz w:val="22"/>
          <w:szCs w:val="22"/>
          <w:lang w:val="de-DE"/>
        </w:rPr>
        <w:t>97</w:t>
      </w:r>
      <w:r w:rsidRPr="00472541">
        <w:rPr>
          <w:sz w:val="22"/>
          <w:szCs w:val="22"/>
          <w:lang w:val="de-DE"/>
        </w:rPr>
        <w:t>, 106275.</w:t>
      </w:r>
    </w:p>
    <w:p w14:paraId="4F195155" w14:textId="77777777" w:rsidR="00472541" w:rsidRPr="00472541" w:rsidRDefault="00472541" w:rsidP="00472541">
      <w:pPr>
        <w:pStyle w:val="RSCR02References"/>
        <w:spacing w:line="22" w:lineRule="atLeast"/>
        <w:rPr>
          <w:sz w:val="22"/>
          <w:szCs w:val="22"/>
          <w:lang w:val="de-DE"/>
        </w:rPr>
      </w:pPr>
      <w:r w:rsidRPr="00472541">
        <w:rPr>
          <w:sz w:val="22"/>
          <w:szCs w:val="22"/>
          <w:lang w:val="en-US"/>
        </w:rPr>
        <w:t xml:space="preserve">Compound </w:t>
      </w:r>
      <w:r w:rsidRPr="00472541">
        <w:rPr>
          <w:b/>
          <w:sz w:val="22"/>
          <w:szCs w:val="22"/>
          <w:lang w:val="en-US"/>
        </w:rPr>
        <w:t>6</w:t>
      </w:r>
      <w:r w:rsidRPr="00472541">
        <w:rPr>
          <w:sz w:val="22"/>
          <w:szCs w:val="22"/>
        </w:rPr>
        <w:t xml:space="preserve"> </w:t>
      </w:r>
      <w:r w:rsidRPr="00472541">
        <w:rPr>
          <w:sz w:val="22"/>
          <w:szCs w:val="22"/>
          <w:lang w:val="en-US"/>
        </w:rPr>
        <w:t xml:space="preserve">crystallizes with 0.25 toluene solvate molecules. The crystal lattice contains two molecules </w:t>
      </w:r>
      <w:r w:rsidRPr="00472541">
        <w:rPr>
          <w:b/>
          <w:sz w:val="22"/>
          <w:szCs w:val="22"/>
          <w:lang w:val="en-US"/>
        </w:rPr>
        <w:t>6</w:t>
      </w:r>
      <w:r w:rsidRPr="00472541">
        <w:rPr>
          <w:sz w:val="22"/>
          <w:szCs w:val="22"/>
          <w:lang w:val="en-US"/>
        </w:rPr>
        <w:t xml:space="preserve">A and </w:t>
      </w:r>
      <w:r w:rsidRPr="00472541">
        <w:rPr>
          <w:b/>
          <w:sz w:val="22"/>
          <w:szCs w:val="22"/>
          <w:lang w:val="en-US"/>
        </w:rPr>
        <w:t>6</w:t>
      </w:r>
      <w:r w:rsidRPr="00472541">
        <w:rPr>
          <w:sz w:val="22"/>
          <w:szCs w:val="22"/>
          <w:lang w:val="en-US"/>
        </w:rPr>
        <w:t xml:space="preserve">B in the asymmetric unit; since the key metrical parameters of </w:t>
      </w:r>
      <w:r w:rsidRPr="00472541">
        <w:rPr>
          <w:b/>
          <w:sz w:val="22"/>
          <w:szCs w:val="22"/>
          <w:lang w:val="en-US"/>
        </w:rPr>
        <w:t>6</w:t>
      </w:r>
      <w:r w:rsidRPr="00472541">
        <w:rPr>
          <w:sz w:val="22"/>
          <w:szCs w:val="22"/>
          <w:lang w:val="en-US"/>
        </w:rPr>
        <w:t xml:space="preserve">A and </w:t>
      </w:r>
      <w:r w:rsidRPr="00472541">
        <w:rPr>
          <w:b/>
          <w:sz w:val="22"/>
          <w:szCs w:val="22"/>
          <w:lang w:val="en-US"/>
        </w:rPr>
        <w:t>6</w:t>
      </w:r>
      <w:r w:rsidRPr="00472541">
        <w:rPr>
          <w:sz w:val="22"/>
          <w:szCs w:val="22"/>
          <w:lang w:val="en-US"/>
        </w:rPr>
        <w:t>B are sufficiently similar considering the experimental error margins (</w:t>
      </w:r>
      <w:r w:rsidRPr="00472541">
        <w:rPr>
          <w:i/>
          <w:sz w:val="22"/>
          <w:szCs w:val="22"/>
          <w:lang w:val="en-US"/>
        </w:rPr>
        <w:t>cf</w:t>
      </w:r>
      <w:r w:rsidRPr="00472541">
        <w:rPr>
          <w:sz w:val="22"/>
          <w:szCs w:val="22"/>
          <w:lang w:val="en-US"/>
        </w:rPr>
        <w:t xml:space="preserve">. the overlay in Fig. S63b), it is justified to discuss only the data of </w:t>
      </w:r>
      <w:r w:rsidRPr="00472541">
        <w:rPr>
          <w:b/>
          <w:sz w:val="22"/>
          <w:szCs w:val="22"/>
          <w:lang w:val="en-US"/>
        </w:rPr>
        <w:t>6</w:t>
      </w:r>
      <w:r w:rsidRPr="00472541">
        <w:rPr>
          <w:sz w:val="22"/>
          <w:szCs w:val="22"/>
          <w:lang w:val="en-US"/>
        </w:rPr>
        <w:t xml:space="preserve">A in the main text. Compound </w:t>
      </w:r>
      <w:r w:rsidRPr="00472541">
        <w:rPr>
          <w:b/>
          <w:sz w:val="22"/>
          <w:szCs w:val="22"/>
          <w:lang w:val="en-US"/>
        </w:rPr>
        <w:t>7</w:t>
      </w:r>
      <w:r w:rsidRPr="00472541">
        <w:rPr>
          <w:sz w:val="22"/>
          <w:szCs w:val="22"/>
          <w:lang w:val="en-US"/>
        </w:rPr>
        <w:t xml:space="preserve"> crystallizes as a C</w:t>
      </w:r>
      <w:r w:rsidRPr="00472541">
        <w:rPr>
          <w:sz w:val="22"/>
          <w:szCs w:val="22"/>
          <w:vertAlign w:val="subscript"/>
          <w:lang w:val="en-US"/>
        </w:rPr>
        <w:t>6</w:t>
      </w:r>
      <w:r w:rsidRPr="00472541">
        <w:rPr>
          <w:sz w:val="22"/>
          <w:szCs w:val="22"/>
          <w:lang w:val="en-US"/>
        </w:rPr>
        <w:t>H</w:t>
      </w:r>
      <w:r w:rsidRPr="00472541">
        <w:rPr>
          <w:sz w:val="22"/>
          <w:szCs w:val="22"/>
          <w:vertAlign w:val="subscript"/>
          <w:lang w:val="en-US"/>
        </w:rPr>
        <w:t>6</w:t>
      </w:r>
      <w:r w:rsidRPr="00472541">
        <w:rPr>
          <w:sz w:val="22"/>
          <w:szCs w:val="22"/>
          <w:lang w:val="en-US"/>
        </w:rPr>
        <w:t xml:space="preserve"> solvate with two </w:t>
      </w:r>
      <w:proofErr w:type="spellStart"/>
      <w:r w:rsidRPr="00472541">
        <w:rPr>
          <w:sz w:val="22"/>
          <w:szCs w:val="22"/>
          <w:lang w:val="en-US"/>
        </w:rPr>
        <w:t>crystallographically</w:t>
      </w:r>
      <w:proofErr w:type="spellEnd"/>
      <w:r w:rsidRPr="00472541">
        <w:rPr>
          <w:sz w:val="22"/>
          <w:szCs w:val="22"/>
          <w:lang w:val="en-US"/>
        </w:rPr>
        <w:t xml:space="preserve"> unique molecules, </w:t>
      </w:r>
      <w:r w:rsidRPr="00472541">
        <w:rPr>
          <w:b/>
          <w:sz w:val="22"/>
          <w:szCs w:val="22"/>
          <w:lang w:val="en-US"/>
        </w:rPr>
        <w:t>7</w:t>
      </w:r>
      <w:r w:rsidRPr="00472541">
        <w:rPr>
          <w:sz w:val="22"/>
          <w:szCs w:val="22"/>
          <w:lang w:val="en-US"/>
        </w:rPr>
        <w:t xml:space="preserve">A and </w:t>
      </w:r>
      <w:r w:rsidRPr="00472541">
        <w:rPr>
          <w:b/>
          <w:sz w:val="22"/>
          <w:szCs w:val="22"/>
          <w:lang w:val="en-US"/>
        </w:rPr>
        <w:t>7</w:t>
      </w:r>
      <w:r w:rsidRPr="00472541">
        <w:rPr>
          <w:sz w:val="22"/>
          <w:szCs w:val="22"/>
          <w:lang w:val="en-US"/>
        </w:rPr>
        <w:t xml:space="preserve">B, in general positions. Some key metrical parameters of </w:t>
      </w:r>
      <w:r w:rsidRPr="00472541">
        <w:rPr>
          <w:b/>
          <w:sz w:val="22"/>
          <w:szCs w:val="22"/>
          <w:lang w:val="en-US"/>
        </w:rPr>
        <w:t>7</w:t>
      </w:r>
      <w:r w:rsidRPr="00472541">
        <w:rPr>
          <w:sz w:val="22"/>
          <w:szCs w:val="22"/>
          <w:lang w:val="en-US"/>
        </w:rPr>
        <w:t xml:space="preserve">A and </w:t>
      </w:r>
      <w:r w:rsidRPr="00472541">
        <w:rPr>
          <w:b/>
          <w:sz w:val="22"/>
          <w:szCs w:val="22"/>
          <w:lang w:val="en-US"/>
        </w:rPr>
        <w:t>7</w:t>
      </w:r>
      <w:r w:rsidRPr="00472541">
        <w:rPr>
          <w:sz w:val="22"/>
          <w:szCs w:val="22"/>
          <w:lang w:val="en-US"/>
        </w:rPr>
        <w:t xml:space="preserve">B differ significantly, so both molecules are considered in the discussion whenever necessary. Compound </w:t>
      </w:r>
      <w:r w:rsidRPr="00472541">
        <w:rPr>
          <w:b/>
          <w:sz w:val="22"/>
          <w:szCs w:val="22"/>
          <w:lang w:val="en-US"/>
        </w:rPr>
        <w:t>8</w:t>
      </w:r>
      <w:r w:rsidRPr="00472541">
        <w:rPr>
          <w:sz w:val="22"/>
          <w:szCs w:val="22"/>
        </w:rPr>
        <w:t xml:space="preserve"> </w:t>
      </w:r>
      <w:r w:rsidRPr="00472541">
        <w:rPr>
          <w:sz w:val="22"/>
          <w:szCs w:val="22"/>
          <w:lang w:val="en-US"/>
        </w:rPr>
        <w:t>crystallizes with two CHCl</w:t>
      </w:r>
      <w:r w:rsidRPr="00472541">
        <w:rPr>
          <w:sz w:val="22"/>
          <w:szCs w:val="22"/>
          <w:vertAlign w:val="subscript"/>
          <w:lang w:val="en-US"/>
        </w:rPr>
        <w:t>3</w:t>
      </w:r>
      <w:r w:rsidRPr="00472541">
        <w:rPr>
          <w:sz w:val="22"/>
          <w:szCs w:val="22"/>
          <w:lang w:val="en-US"/>
        </w:rPr>
        <w:t xml:space="preserve"> solvate molecules</w:t>
      </w:r>
      <w:r w:rsidRPr="00472541">
        <w:rPr>
          <w:sz w:val="22"/>
          <w:szCs w:val="22"/>
          <w:lang w:val="de-DE"/>
        </w:rPr>
        <w:t>.</w:t>
      </w:r>
    </w:p>
    <w:p w14:paraId="19520778" w14:textId="77777777" w:rsidR="00472541" w:rsidRPr="00472541" w:rsidRDefault="00472541" w:rsidP="00472541">
      <w:pPr>
        <w:pStyle w:val="RSCR02References"/>
        <w:spacing w:line="22" w:lineRule="atLeast"/>
        <w:rPr>
          <w:sz w:val="22"/>
          <w:szCs w:val="22"/>
          <w:lang w:val="de-DE"/>
        </w:rPr>
      </w:pPr>
      <w:r w:rsidRPr="00472541">
        <w:rPr>
          <w:sz w:val="22"/>
          <w:szCs w:val="22"/>
          <w:lang w:val="de-DE"/>
        </w:rPr>
        <w:t xml:space="preserve">R. Rieger and K. Müllen, </w:t>
      </w:r>
      <w:r w:rsidRPr="00472541">
        <w:rPr>
          <w:i/>
          <w:iCs/>
          <w:sz w:val="22"/>
          <w:szCs w:val="22"/>
          <w:lang w:val="de-DE"/>
        </w:rPr>
        <w:t>J. Phys. Org. Chem.</w:t>
      </w:r>
      <w:r w:rsidRPr="00472541">
        <w:rPr>
          <w:sz w:val="22"/>
          <w:szCs w:val="22"/>
          <w:lang w:val="de-DE"/>
        </w:rPr>
        <w:t xml:space="preserve">, 2010, </w:t>
      </w:r>
      <w:r w:rsidRPr="00472541">
        <w:rPr>
          <w:b/>
          <w:bCs/>
          <w:sz w:val="22"/>
          <w:szCs w:val="22"/>
          <w:lang w:val="de-DE"/>
        </w:rPr>
        <w:t>23</w:t>
      </w:r>
      <w:r w:rsidRPr="00472541">
        <w:rPr>
          <w:sz w:val="22"/>
          <w:szCs w:val="22"/>
          <w:lang w:val="de-DE"/>
        </w:rPr>
        <w:t>, 315–325.</w:t>
      </w:r>
    </w:p>
    <w:p w14:paraId="7AF5350C" w14:textId="77777777" w:rsidR="00472541" w:rsidRPr="00472541" w:rsidRDefault="00472541" w:rsidP="00472541">
      <w:pPr>
        <w:pStyle w:val="RSCR02References"/>
        <w:spacing w:line="22" w:lineRule="atLeast"/>
        <w:rPr>
          <w:sz w:val="22"/>
          <w:szCs w:val="22"/>
          <w:lang w:val="en-US"/>
        </w:rPr>
      </w:pPr>
      <w:r w:rsidRPr="00472541">
        <w:rPr>
          <w:sz w:val="22"/>
          <w:szCs w:val="22"/>
          <w:lang w:val="en-US"/>
        </w:rPr>
        <w:t xml:space="preserve">S. Oda, W. Kumano, T. Hama, R. </w:t>
      </w:r>
      <w:proofErr w:type="spellStart"/>
      <w:r w:rsidRPr="00472541">
        <w:rPr>
          <w:sz w:val="22"/>
          <w:szCs w:val="22"/>
          <w:lang w:val="en-US"/>
        </w:rPr>
        <w:t>Kawasumi</w:t>
      </w:r>
      <w:proofErr w:type="spellEnd"/>
      <w:r w:rsidRPr="00472541">
        <w:rPr>
          <w:sz w:val="22"/>
          <w:szCs w:val="22"/>
          <w:lang w:val="en-US"/>
        </w:rPr>
        <w:t xml:space="preserve">, K. </w:t>
      </w:r>
      <w:proofErr w:type="spellStart"/>
      <w:r w:rsidRPr="00472541">
        <w:rPr>
          <w:sz w:val="22"/>
          <w:szCs w:val="22"/>
          <w:lang w:val="en-US"/>
        </w:rPr>
        <w:t>Yoshiura</w:t>
      </w:r>
      <w:proofErr w:type="spellEnd"/>
      <w:r w:rsidRPr="00472541">
        <w:rPr>
          <w:sz w:val="22"/>
          <w:szCs w:val="22"/>
          <w:lang w:val="en-US"/>
        </w:rPr>
        <w:t xml:space="preserve"> and T. Hatakeyama, </w:t>
      </w:r>
      <w:proofErr w:type="spellStart"/>
      <w:r w:rsidRPr="00472541">
        <w:rPr>
          <w:i/>
          <w:iCs/>
          <w:sz w:val="22"/>
          <w:szCs w:val="22"/>
          <w:lang w:val="en-US"/>
        </w:rPr>
        <w:t>Angew</w:t>
      </w:r>
      <w:proofErr w:type="spellEnd"/>
      <w:r w:rsidRPr="00472541">
        <w:rPr>
          <w:i/>
          <w:iCs/>
          <w:sz w:val="22"/>
          <w:szCs w:val="22"/>
          <w:lang w:val="en-US"/>
        </w:rPr>
        <w:t>. Chem. Int. Ed.</w:t>
      </w:r>
      <w:r w:rsidRPr="00472541">
        <w:rPr>
          <w:sz w:val="22"/>
          <w:szCs w:val="22"/>
          <w:lang w:val="en-US"/>
        </w:rPr>
        <w:t xml:space="preserve">, 2021, </w:t>
      </w:r>
      <w:r w:rsidRPr="00472541">
        <w:rPr>
          <w:b/>
          <w:bCs/>
          <w:sz w:val="22"/>
          <w:szCs w:val="22"/>
          <w:lang w:val="en-US"/>
        </w:rPr>
        <w:t>60</w:t>
      </w:r>
      <w:r w:rsidRPr="00472541">
        <w:rPr>
          <w:sz w:val="22"/>
          <w:szCs w:val="22"/>
          <w:lang w:val="en-US"/>
        </w:rPr>
        <w:t>, 2882–2886.</w:t>
      </w:r>
    </w:p>
    <w:p w14:paraId="2C00FEE1" w14:textId="77777777" w:rsidR="00472541" w:rsidRPr="00472541" w:rsidRDefault="00472541" w:rsidP="00472541">
      <w:pPr>
        <w:pStyle w:val="RSCR02References"/>
        <w:spacing w:line="22" w:lineRule="atLeast"/>
        <w:rPr>
          <w:sz w:val="22"/>
          <w:szCs w:val="22"/>
          <w:lang w:val="en-US"/>
        </w:rPr>
      </w:pPr>
      <w:r w:rsidRPr="00472541">
        <w:rPr>
          <w:sz w:val="22"/>
          <w:szCs w:val="22"/>
          <w:lang w:val="en-US"/>
        </w:rPr>
        <w:t>T. Hatakeyama, A. Mizutani and T. Koike, WO2017188111A1, 2017.</w:t>
      </w:r>
    </w:p>
    <w:p w14:paraId="3D3EB868" w14:textId="77777777" w:rsidR="00472541" w:rsidRPr="00472541" w:rsidRDefault="00472541" w:rsidP="00472541">
      <w:pPr>
        <w:pStyle w:val="RSCR02References"/>
        <w:spacing w:line="22" w:lineRule="atLeast"/>
        <w:rPr>
          <w:sz w:val="22"/>
          <w:szCs w:val="22"/>
          <w:lang w:val="en-US"/>
        </w:rPr>
      </w:pPr>
      <w:r w:rsidRPr="00472541">
        <w:rPr>
          <w:sz w:val="22"/>
          <w:szCs w:val="22"/>
          <w:lang w:val="en-US"/>
        </w:rPr>
        <w:t xml:space="preserve">During borylation experiments on </w:t>
      </w:r>
      <w:r w:rsidRPr="00472541">
        <w:rPr>
          <w:b/>
          <w:sz w:val="22"/>
          <w:szCs w:val="22"/>
          <w:lang w:val="en-US"/>
        </w:rPr>
        <w:t>3</w:t>
      </w:r>
      <w:r w:rsidRPr="00472541">
        <w:rPr>
          <w:b/>
          <w:sz w:val="22"/>
          <w:szCs w:val="22"/>
          <w:vertAlign w:val="superscript"/>
          <w:lang w:val="en-US"/>
        </w:rPr>
        <w:t>Mes</w:t>
      </w:r>
      <w:r w:rsidRPr="00472541">
        <w:rPr>
          <w:sz w:val="22"/>
          <w:szCs w:val="22"/>
          <w:lang w:val="en-US"/>
        </w:rPr>
        <w:t xml:space="preserve"> with BBr</w:t>
      </w:r>
      <w:r w:rsidRPr="00472541">
        <w:rPr>
          <w:sz w:val="22"/>
          <w:szCs w:val="22"/>
          <w:vertAlign w:val="subscript"/>
          <w:lang w:val="en-US"/>
        </w:rPr>
        <w:t>3</w:t>
      </w:r>
      <w:r w:rsidRPr="00472541">
        <w:rPr>
          <w:sz w:val="22"/>
          <w:szCs w:val="22"/>
          <w:lang w:val="en-US"/>
        </w:rPr>
        <w:t xml:space="preserve"> in C</w:t>
      </w:r>
      <w:r w:rsidRPr="00472541">
        <w:rPr>
          <w:sz w:val="22"/>
          <w:szCs w:val="22"/>
          <w:vertAlign w:val="subscript"/>
          <w:lang w:val="en-US"/>
        </w:rPr>
        <w:t>6</w:t>
      </w:r>
      <w:r w:rsidRPr="00472541">
        <w:rPr>
          <w:sz w:val="22"/>
          <w:szCs w:val="22"/>
          <w:lang w:val="en-US"/>
        </w:rPr>
        <w:t>D</w:t>
      </w:r>
      <w:r w:rsidRPr="00472541">
        <w:rPr>
          <w:sz w:val="22"/>
          <w:szCs w:val="22"/>
          <w:vertAlign w:val="subscript"/>
          <w:lang w:val="en-US"/>
        </w:rPr>
        <w:t>6</w:t>
      </w:r>
      <w:r w:rsidRPr="00472541">
        <w:rPr>
          <w:sz w:val="22"/>
          <w:szCs w:val="22"/>
          <w:lang w:val="en-US"/>
        </w:rPr>
        <w:t xml:space="preserve">, we observed essentially quantitative H/D exchange at the positions </w:t>
      </w:r>
      <w:r w:rsidRPr="00472541">
        <w:rPr>
          <w:i/>
          <w:sz w:val="22"/>
          <w:szCs w:val="22"/>
          <w:lang w:val="en-US"/>
        </w:rPr>
        <w:t>ortho</w:t>
      </w:r>
      <w:r w:rsidRPr="00472541">
        <w:rPr>
          <w:sz w:val="22"/>
          <w:szCs w:val="22"/>
          <w:lang w:val="en-US"/>
        </w:rPr>
        <w:t xml:space="preserve"> and </w:t>
      </w:r>
      <w:r w:rsidRPr="00472541">
        <w:rPr>
          <w:i/>
          <w:sz w:val="22"/>
          <w:szCs w:val="22"/>
          <w:lang w:val="en-US"/>
        </w:rPr>
        <w:t>para</w:t>
      </w:r>
      <w:r w:rsidRPr="00472541">
        <w:rPr>
          <w:sz w:val="22"/>
          <w:szCs w:val="22"/>
          <w:lang w:val="en-US"/>
        </w:rPr>
        <w:t xml:space="preserve"> to the N atoms, while exchange at the </w:t>
      </w:r>
      <w:r w:rsidRPr="00472541">
        <w:rPr>
          <w:i/>
          <w:sz w:val="22"/>
          <w:szCs w:val="22"/>
          <w:lang w:val="en-US"/>
        </w:rPr>
        <w:t>meta</w:t>
      </w:r>
      <w:r w:rsidRPr="00472541">
        <w:rPr>
          <w:sz w:val="22"/>
          <w:szCs w:val="22"/>
          <w:lang w:val="en-US"/>
        </w:rPr>
        <w:t xml:space="preserve"> positions was far less pronounced (see the ESI for more details). This can be considered as an experimental mapping of the charge-density distribution in the HOMO of </w:t>
      </w:r>
      <w:r w:rsidRPr="00472541">
        <w:rPr>
          <w:b/>
          <w:sz w:val="22"/>
          <w:szCs w:val="22"/>
          <w:lang w:val="en-US"/>
        </w:rPr>
        <w:t>3</w:t>
      </w:r>
      <w:r w:rsidRPr="00472541">
        <w:rPr>
          <w:b/>
          <w:sz w:val="22"/>
          <w:szCs w:val="22"/>
          <w:vertAlign w:val="superscript"/>
          <w:lang w:val="en-US"/>
        </w:rPr>
        <w:t>Mes</w:t>
      </w:r>
      <w:r w:rsidRPr="00472541">
        <w:rPr>
          <w:sz w:val="22"/>
          <w:szCs w:val="22"/>
          <w:lang w:val="en-US"/>
        </w:rPr>
        <w:t>/</w:t>
      </w:r>
      <w:r w:rsidRPr="00472541">
        <w:rPr>
          <w:b/>
          <w:sz w:val="22"/>
          <w:szCs w:val="22"/>
          <w:lang w:val="en-US"/>
        </w:rPr>
        <w:t>2</w:t>
      </w:r>
      <w:r w:rsidRPr="00472541">
        <w:rPr>
          <w:b/>
          <w:sz w:val="22"/>
          <w:szCs w:val="22"/>
          <w:vertAlign w:val="superscript"/>
          <w:lang w:val="en-US"/>
        </w:rPr>
        <w:t>Br</w:t>
      </w:r>
      <w:r w:rsidRPr="00472541">
        <w:rPr>
          <w:sz w:val="22"/>
          <w:szCs w:val="22"/>
          <w:lang w:val="en-US"/>
        </w:rPr>
        <w:t>.</w:t>
      </w:r>
    </w:p>
    <w:p w14:paraId="2A35503D" w14:textId="77777777" w:rsidR="00472541" w:rsidRPr="00472541" w:rsidRDefault="00472541" w:rsidP="00472541">
      <w:pPr>
        <w:pStyle w:val="RSCR02References"/>
        <w:spacing w:line="22" w:lineRule="atLeast"/>
        <w:rPr>
          <w:sz w:val="22"/>
          <w:szCs w:val="22"/>
          <w:lang w:val="en-US"/>
        </w:rPr>
      </w:pPr>
      <w:r w:rsidRPr="00472541">
        <w:rPr>
          <w:sz w:val="22"/>
          <w:szCs w:val="22"/>
          <w:lang w:val="en-US"/>
        </w:rPr>
        <w:t xml:space="preserve">J. F. Coetzee and T.-H. Chang, </w:t>
      </w:r>
      <w:r w:rsidRPr="00472541">
        <w:rPr>
          <w:i/>
          <w:sz w:val="22"/>
          <w:szCs w:val="22"/>
          <w:lang w:val="en-US"/>
        </w:rPr>
        <w:t>Pure Appl. Chem.</w:t>
      </w:r>
      <w:r w:rsidRPr="00472541">
        <w:rPr>
          <w:sz w:val="22"/>
          <w:szCs w:val="22"/>
          <w:lang w:val="en-US"/>
        </w:rPr>
        <w:t xml:space="preserve">, 1985, </w:t>
      </w:r>
      <w:r w:rsidRPr="00472541">
        <w:rPr>
          <w:b/>
          <w:sz w:val="22"/>
          <w:szCs w:val="22"/>
          <w:lang w:val="en-US"/>
        </w:rPr>
        <w:t>57</w:t>
      </w:r>
      <w:r w:rsidRPr="00472541">
        <w:rPr>
          <w:sz w:val="22"/>
          <w:szCs w:val="22"/>
          <w:lang w:val="en-US"/>
        </w:rPr>
        <w:t>, 633–638.</w:t>
      </w:r>
    </w:p>
    <w:p w14:paraId="35586323" w14:textId="6FA769B6" w:rsidR="00DB3A2E" w:rsidRPr="00472541" w:rsidRDefault="00472541" w:rsidP="00472541">
      <w:pPr>
        <w:spacing w:line="22" w:lineRule="atLeast"/>
        <w:jc w:val="both"/>
        <w:rPr>
          <w:lang w:val="en-US"/>
        </w:rPr>
      </w:pPr>
      <w:r>
        <w:rPr>
          <w:lang w:val="en-US"/>
        </w:rPr>
        <w:t xml:space="preserve">31 </w:t>
      </w:r>
      <w:r w:rsidRPr="00472541">
        <w:rPr>
          <w:lang w:val="en-US"/>
        </w:rPr>
        <w:t xml:space="preserve">Y. Olivier, B. </w:t>
      </w:r>
      <w:proofErr w:type="spellStart"/>
      <w:r w:rsidRPr="00472541">
        <w:rPr>
          <w:lang w:val="en-US"/>
        </w:rPr>
        <w:t>Yurash</w:t>
      </w:r>
      <w:proofErr w:type="spellEnd"/>
      <w:r w:rsidRPr="00472541">
        <w:rPr>
          <w:lang w:val="en-US"/>
        </w:rPr>
        <w:t xml:space="preserve">, L. Muccioli, G. </w:t>
      </w:r>
      <w:proofErr w:type="spellStart"/>
      <w:r w:rsidRPr="00472541">
        <w:rPr>
          <w:lang w:val="en-US"/>
        </w:rPr>
        <w:t>D’Avino</w:t>
      </w:r>
      <w:proofErr w:type="spellEnd"/>
      <w:r w:rsidRPr="00472541">
        <w:rPr>
          <w:lang w:val="en-US"/>
        </w:rPr>
        <w:t xml:space="preserve">, O. </w:t>
      </w:r>
      <w:proofErr w:type="spellStart"/>
      <w:r w:rsidRPr="00472541">
        <w:rPr>
          <w:lang w:val="en-US"/>
        </w:rPr>
        <w:t>Mikhnenko</w:t>
      </w:r>
      <w:proofErr w:type="spellEnd"/>
      <w:r w:rsidRPr="00472541">
        <w:rPr>
          <w:lang w:val="en-US"/>
        </w:rPr>
        <w:t xml:space="preserve">, J. C. Sancho-García, C. Adachi, T.-Q. Nguyen and D. </w:t>
      </w:r>
      <w:proofErr w:type="spellStart"/>
      <w:r w:rsidRPr="00472541">
        <w:rPr>
          <w:lang w:val="en-US"/>
        </w:rPr>
        <w:t>Beljonne</w:t>
      </w:r>
      <w:proofErr w:type="spellEnd"/>
      <w:r w:rsidRPr="00472541">
        <w:rPr>
          <w:lang w:val="en-US"/>
        </w:rPr>
        <w:t xml:space="preserve">, </w:t>
      </w:r>
      <w:r w:rsidRPr="00472541">
        <w:rPr>
          <w:i/>
          <w:iCs/>
          <w:lang w:val="en-US"/>
        </w:rPr>
        <w:t>Phys. Rev. Mater.</w:t>
      </w:r>
      <w:r w:rsidRPr="00472541">
        <w:rPr>
          <w:lang w:val="en-US"/>
        </w:rPr>
        <w:t xml:space="preserve">, 2017, </w:t>
      </w:r>
      <w:r w:rsidRPr="00472541">
        <w:rPr>
          <w:b/>
          <w:bCs/>
          <w:lang w:val="en-US"/>
        </w:rPr>
        <w:t>1</w:t>
      </w:r>
      <w:r w:rsidRPr="00472541">
        <w:rPr>
          <w:lang w:val="en-US"/>
        </w:rPr>
        <w:t>, 075602.</w:t>
      </w:r>
    </w:p>
    <w:p w14:paraId="105E7E94" w14:textId="77777777" w:rsidR="002C1777" w:rsidRPr="006D5544" w:rsidRDefault="002C1777" w:rsidP="00B42021">
      <w:pPr>
        <w:jc w:val="both"/>
        <w:rPr>
          <w:lang w:val="en-US"/>
        </w:rPr>
      </w:pPr>
    </w:p>
    <w:sectPr w:rsidR="002C1777" w:rsidRPr="006D5544">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no Pro">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C4793E"/>
    <w:multiLevelType w:val="hybridMultilevel"/>
    <w:tmpl w:val="1E5E52AA"/>
    <w:lvl w:ilvl="0" w:tplc="A2DA1DF6">
      <w:start w:val="1"/>
      <w:numFmt w:val="decimal"/>
      <w:pStyle w:val="RSCR02References"/>
      <w:lvlText w:val="%1"/>
      <w:lvlJc w:val="left"/>
      <w:pPr>
        <w:ind w:left="5890" w:hanging="360"/>
      </w:pPr>
      <w:rPr>
        <w:rFonts w:hint="default"/>
      </w:rPr>
    </w:lvl>
    <w:lvl w:ilvl="1" w:tplc="08090019" w:tentative="1">
      <w:start w:val="1"/>
      <w:numFmt w:val="lowerLetter"/>
      <w:lvlText w:val="%2."/>
      <w:lvlJc w:val="left"/>
      <w:pPr>
        <w:ind w:left="6610" w:hanging="360"/>
      </w:pPr>
    </w:lvl>
    <w:lvl w:ilvl="2" w:tplc="0809001B" w:tentative="1">
      <w:start w:val="1"/>
      <w:numFmt w:val="lowerRoman"/>
      <w:lvlText w:val="%3."/>
      <w:lvlJc w:val="right"/>
      <w:pPr>
        <w:ind w:left="7330" w:hanging="180"/>
      </w:pPr>
    </w:lvl>
    <w:lvl w:ilvl="3" w:tplc="0809000F" w:tentative="1">
      <w:start w:val="1"/>
      <w:numFmt w:val="decimal"/>
      <w:lvlText w:val="%4."/>
      <w:lvlJc w:val="left"/>
      <w:pPr>
        <w:ind w:left="8050" w:hanging="360"/>
      </w:pPr>
    </w:lvl>
    <w:lvl w:ilvl="4" w:tplc="08090019" w:tentative="1">
      <w:start w:val="1"/>
      <w:numFmt w:val="lowerLetter"/>
      <w:lvlText w:val="%5."/>
      <w:lvlJc w:val="left"/>
      <w:pPr>
        <w:ind w:left="8770" w:hanging="360"/>
      </w:pPr>
    </w:lvl>
    <w:lvl w:ilvl="5" w:tplc="0809001B" w:tentative="1">
      <w:start w:val="1"/>
      <w:numFmt w:val="lowerRoman"/>
      <w:lvlText w:val="%6."/>
      <w:lvlJc w:val="right"/>
      <w:pPr>
        <w:ind w:left="9490" w:hanging="180"/>
      </w:pPr>
    </w:lvl>
    <w:lvl w:ilvl="6" w:tplc="0809000F" w:tentative="1">
      <w:start w:val="1"/>
      <w:numFmt w:val="decimal"/>
      <w:lvlText w:val="%7."/>
      <w:lvlJc w:val="left"/>
      <w:pPr>
        <w:ind w:left="10210" w:hanging="360"/>
      </w:pPr>
    </w:lvl>
    <w:lvl w:ilvl="7" w:tplc="08090019" w:tentative="1">
      <w:start w:val="1"/>
      <w:numFmt w:val="lowerLetter"/>
      <w:lvlText w:val="%8."/>
      <w:lvlJc w:val="left"/>
      <w:pPr>
        <w:ind w:left="10930" w:hanging="360"/>
      </w:pPr>
    </w:lvl>
    <w:lvl w:ilvl="8" w:tplc="0809001B" w:tentative="1">
      <w:start w:val="1"/>
      <w:numFmt w:val="lowerRoman"/>
      <w:lvlText w:val="%9."/>
      <w:lvlJc w:val="right"/>
      <w:pPr>
        <w:ind w:left="11650" w:hanging="180"/>
      </w:pPr>
    </w:lvl>
  </w:abstractNum>
  <w:abstractNum w:abstractNumId="1" w15:restartNumberingAfterBreak="0">
    <w:nsid w:val="4C73275D"/>
    <w:multiLevelType w:val="multilevel"/>
    <w:tmpl w:val="EDFC8AE2"/>
    <w:lvl w:ilvl="0">
      <w:start w:val="1"/>
      <w:numFmt w:val="decimal"/>
      <w:pStyle w:val="Siberschrift1"/>
      <w:lvlText w:val="%1."/>
      <w:lvlJc w:val="left"/>
      <w:pPr>
        <w:ind w:left="720" w:hanging="360"/>
      </w:pPr>
      <w:rPr>
        <w:rFonts w:hint="default"/>
      </w:rPr>
    </w:lvl>
    <w:lvl w:ilvl="1">
      <w:start w:val="1"/>
      <w:numFmt w:val="decimal"/>
      <w:pStyle w:val="SIberschrift2"/>
      <w:isLgl/>
      <w:lvlText w:val="%1.%2."/>
      <w:lvlJc w:val="left"/>
      <w:pPr>
        <w:ind w:left="720" w:hanging="36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2118982781">
    <w:abstractNumId w:val="1"/>
  </w:num>
  <w:num w:numId="2" w16cid:durableId="1133273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0950"/>
    <w:rsid w:val="0000233E"/>
    <w:rsid w:val="00010295"/>
    <w:rsid w:val="00021E1B"/>
    <w:rsid w:val="00027D14"/>
    <w:rsid w:val="00034473"/>
    <w:rsid w:val="00036CBF"/>
    <w:rsid w:val="00044623"/>
    <w:rsid w:val="0005028E"/>
    <w:rsid w:val="000545BE"/>
    <w:rsid w:val="00065AE8"/>
    <w:rsid w:val="00071183"/>
    <w:rsid w:val="0008104C"/>
    <w:rsid w:val="000850B4"/>
    <w:rsid w:val="00093C96"/>
    <w:rsid w:val="00094E7E"/>
    <w:rsid w:val="000A32CE"/>
    <w:rsid w:val="000A7403"/>
    <w:rsid w:val="000C062E"/>
    <w:rsid w:val="000D2FD6"/>
    <w:rsid w:val="000E3AD4"/>
    <w:rsid w:val="000E4B54"/>
    <w:rsid w:val="000F25CC"/>
    <w:rsid w:val="000F6ACC"/>
    <w:rsid w:val="0010092D"/>
    <w:rsid w:val="001218FC"/>
    <w:rsid w:val="00123E46"/>
    <w:rsid w:val="001257A8"/>
    <w:rsid w:val="001475D2"/>
    <w:rsid w:val="00147BA1"/>
    <w:rsid w:val="00153946"/>
    <w:rsid w:val="00161274"/>
    <w:rsid w:val="00161E8B"/>
    <w:rsid w:val="00164326"/>
    <w:rsid w:val="00170391"/>
    <w:rsid w:val="0017313F"/>
    <w:rsid w:val="001734F8"/>
    <w:rsid w:val="001A4F3A"/>
    <w:rsid w:val="001A54DB"/>
    <w:rsid w:val="001A5529"/>
    <w:rsid w:val="001B2B1F"/>
    <w:rsid w:val="001B6199"/>
    <w:rsid w:val="001C60F4"/>
    <w:rsid w:val="001D6065"/>
    <w:rsid w:val="001E09FF"/>
    <w:rsid w:val="001E445C"/>
    <w:rsid w:val="0020225E"/>
    <w:rsid w:val="00203254"/>
    <w:rsid w:val="0022061A"/>
    <w:rsid w:val="00223069"/>
    <w:rsid w:val="00234179"/>
    <w:rsid w:val="0023480A"/>
    <w:rsid w:val="00235D32"/>
    <w:rsid w:val="00257278"/>
    <w:rsid w:val="0026121F"/>
    <w:rsid w:val="00263C0C"/>
    <w:rsid w:val="00280F3F"/>
    <w:rsid w:val="00281EBF"/>
    <w:rsid w:val="00282FCA"/>
    <w:rsid w:val="0028663F"/>
    <w:rsid w:val="00290BB4"/>
    <w:rsid w:val="002946BC"/>
    <w:rsid w:val="002A5EA9"/>
    <w:rsid w:val="002B6C43"/>
    <w:rsid w:val="002C1777"/>
    <w:rsid w:val="00314BF1"/>
    <w:rsid w:val="00316621"/>
    <w:rsid w:val="00317D48"/>
    <w:rsid w:val="003213F1"/>
    <w:rsid w:val="00324D1B"/>
    <w:rsid w:val="00334209"/>
    <w:rsid w:val="00342226"/>
    <w:rsid w:val="00353205"/>
    <w:rsid w:val="00356AE5"/>
    <w:rsid w:val="00362E16"/>
    <w:rsid w:val="00364C36"/>
    <w:rsid w:val="00380CB1"/>
    <w:rsid w:val="00392442"/>
    <w:rsid w:val="00392483"/>
    <w:rsid w:val="00394864"/>
    <w:rsid w:val="00395DD3"/>
    <w:rsid w:val="003B2833"/>
    <w:rsid w:val="003B2C00"/>
    <w:rsid w:val="003B4DC9"/>
    <w:rsid w:val="003B71C7"/>
    <w:rsid w:val="003C64E6"/>
    <w:rsid w:val="003D1028"/>
    <w:rsid w:val="003D2157"/>
    <w:rsid w:val="003E1500"/>
    <w:rsid w:val="003E6D48"/>
    <w:rsid w:val="003E725B"/>
    <w:rsid w:val="003E7598"/>
    <w:rsid w:val="003F20BA"/>
    <w:rsid w:val="003F2F7E"/>
    <w:rsid w:val="003F3CF4"/>
    <w:rsid w:val="003F4B12"/>
    <w:rsid w:val="003F5A95"/>
    <w:rsid w:val="00400F7F"/>
    <w:rsid w:val="00404F91"/>
    <w:rsid w:val="004121E2"/>
    <w:rsid w:val="004173C5"/>
    <w:rsid w:val="00420950"/>
    <w:rsid w:val="00436CD4"/>
    <w:rsid w:val="00452C9A"/>
    <w:rsid w:val="004569CF"/>
    <w:rsid w:val="004616F8"/>
    <w:rsid w:val="00461FC6"/>
    <w:rsid w:val="00466AB6"/>
    <w:rsid w:val="0046757E"/>
    <w:rsid w:val="00472541"/>
    <w:rsid w:val="0047418C"/>
    <w:rsid w:val="00483F9F"/>
    <w:rsid w:val="00487BF7"/>
    <w:rsid w:val="0049169B"/>
    <w:rsid w:val="004917C9"/>
    <w:rsid w:val="004A038A"/>
    <w:rsid w:val="004A14F5"/>
    <w:rsid w:val="004C18D7"/>
    <w:rsid w:val="004C3221"/>
    <w:rsid w:val="004D3569"/>
    <w:rsid w:val="004D69BB"/>
    <w:rsid w:val="004E1E78"/>
    <w:rsid w:val="004E558C"/>
    <w:rsid w:val="004F3829"/>
    <w:rsid w:val="004F516A"/>
    <w:rsid w:val="00517645"/>
    <w:rsid w:val="00535D7F"/>
    <w:rsid w:val="00557BC8"/>
    <w:rsid w:val="005644FE"/>
    <w:rsid w:val="00565EC3"/>
    <w:rsid w:val="00574933"/>
    <w:rsid w:val="00591517"/>
    <w:rsid w:val="005917B7"/>
    <w:rsid w:val="005936B0"/>
    <w:rsid w:val="0059483F"/>
    <w:rsid w:val="005A66E8"/>
    <w:rsid w:val="005C510F"/>
    <w:rsid w:val="005C7490"/>
    <w:rsid w:val="005D3A75"/>
    <w:rsid w:val="005F1AA3"/>
    <w:rsid w:val="005F2066"/>
    <w:rsid w:val="005F34EA"/>
    <w:rsid w:val="00605B54"/>
    <w:rsid w:val="00606289"/>
    <w:rsid w:val="00606734"/>
    <w:rsid w:val="006113B3"/>
    <w:rsid w:val="006121E1"/>
    <w:rsid w:val="00616235"/>
    <w:rsid w:val="0062195E"/>
    <w:rsid w:val="00621BCC"/>
    <w:rsid w:val="006326B8"/>
    <w:rsid w:val="00632A15"/>
    <w:rsid w:val="0063668C"/>
    <w:rsid w:val="00680783"/>
    <w:rsid w:val="006831CD"/>
    <w:rsid w:val="006841F1"/>
    <w:rsid w:val="006932A3"/>
    <w:rsid w:val="006A174C"/>
    <w:rsid w:val="006A5D89"/>
    <w:rsid w:val="006C33EF"/>
    <w:rsid w:val="006C52A8"/>
    <w:rsid w:val="006D5544"/>
    <w:rsid w:val="006D6843"/>
    <w:rsid w:val="006E6E5D"/>
    <w:rsid w:val="006F16B0"/>
    <w:rsid w:val="006F6DC5"/>
    <w:rsid w:val="00703E99"/>
    <w:rsid w:val="007051D9"/>
    <w:rsid w:val="00731166"/>
    <w:rsid w:val="00737E24"/>
    <w:rsid w:val="0075119C"/>
    <w:rsid w:val="007565B6"/>
    <w:rsid w:val="007665DD"/>
    <w:rsid w:val="00773BD9"/>
    <w:rsid w:val="00774DB5"/>
    <w:rsid w:val="00786274"/>
    <w:rsid w:val="007930E5"/>
    <w:rsid w:val="00793C4D"/>
    <w:rsid w:val="007A1213"/>
    <w:rsid w:val="007A316C"/>
    <w:rsid w:val="007A436B"/>
    <w:rsid w:val="007A4748"/>
    <w:rsid w:val="007A6ED2"/>
    <w:rsid w:val="007B7D42"/>
    <w:rsid w:val="007C57D5"/>
    <w:rsid w:val="007D0B76"/>
    <w:rsid w:val="007D5CF6"/>
    <w:rsid w:val="007F16DE"/>
    <w:rsid w:val="007F17E3"/>
    <w:rsid w:val="007F3B6B"/>
    <w:rsid w:val="00801AD6"/>
    <w:rsid w:val="008200EF"/>
    <w:rsid w:val="00831025"/>
    <w:rsid w:val="00834CEE"/>
    <w:rsid w:val="008362DE"/>
    <w:rsid w:val="00843E70"/>
    <w:rsid w:val="00845507"/>
    <w:rsid w:val="00853E42"/>
    <w:rsid w:val="0086693A"/>
    <w:rsid w:val="008706D5"/>
    <w:rsid w:val="0087735C"/>
    <w:rsid w:val="00882BA3"/>
    <w:rsid w:val="00897CC6"/>
    <w:rsid w:val="008A129F"/>
    <w:rsid w:val="008A7EBD"/>
    <w:rsid w:val="008B0F60"/>
    <w:rsid w:val="008B4FDA"/>
    <w:rsid w:val="008C7BD0"/>
    <w:rsid w:val="008D49E0"/>
    <w:rsid w:val="008E28C6"/>
    <w:rsid w:val="008E3022"/>
    <w:rsid w:val="00923DAC"/>
    <w:rsid w:val="00926D75"/>
    <w:rsid w:val="00930F86"/>
    <w:rsid w:val="009363F0"/>
    <w:rsid w:val="00943CC8"/>
    <w:rsid w:val="009460AB"/>
    <w:rsid w:val="00962B98"/>
    <w:rsid w:val="00965431"/>
    <w:rsid w:val="00967975"/>
    <w:rsid w:val="0097304A"/>
    <w:rsid w:val="0097437C"/>
    <w:rsid w:val="00994A00"/>
    <w:rsid w:val="009A0ECA"/>
    <w:rsid w:val="009A1787"/>
    <w:rsid w:val="009A7487"/>
    <w:rsid w:val="009C24D1"/>
    <w:rsid w:val="009C2FA7"/>
    <w:rsid w:val="009C315C"/>
    <w:rsid w:val="009C691F"/>
    <w:rsid w:val="009D29CC"/>
    <w:rsid w:val="009D70A3"/>
    <w:rsid w:val="009F48EE"/>
    <w:rsid w:val="00A03408"/>
    <w:rsid w:val="00A07C5E"/>
    <w:rsid w:val="00A16A8D"/>
    <w:rsid w:val="00A16BC8"/>
    <w:rsid w:val="00A43DCB"/>
    <w:rsid w:val="00A444A4"/>
    <w:rsid w:val="00A470F6"/>
    <w:rsid w:val="00A62FD3"/>
    <w:rsid w:val="00A6513B"/>
    <w:rsid w:val="00A7508A"/>
    <w:rsid w:val="00A82F8F"/>
    <w:rsid w:val="00A85922"/>
    <w:rsid w:val="00A95DA9"/>
    <w:rsid w:val="00A96432"/>
    <w:rsid w:val="00A97594"/>
    <w:rsid w:val="00A97E43"/>
    <w:rsid w:val="00AA7FE6"/>
    <w:rsid w:val="00AC0061"/>
    <w:rsid w:val="00AC38AE"/>
    <w:rsid w:val="00AC3A30"/>
    <w:rsid w:val="00AD0350"/>
    <w:rsid w:val="00AE13D1"/>
    <w:rsid w:val="00AF0574"/>
    <w:rsid w:val="00B0364C"/>
    <w:rsid w:val="00B33787"/>
    <w:rsid w:val="00B33A7F"/>
    <w:rsid w:val="00B37300"/>
    <w:rsid w:val="00B42021"/>
    <w:rsid w:val="00B643C9"/>
    <w:rsid w:val="00B6685F"/>
    <w:rsid w:val="00B96EBA"/>
    <w:rsid w:val="00BA5204"/>
    <w:rsid w:val="00BA78E7"/>
    <w:rsid w:val="00BB5908"/>
    <w:rsid w:val="00BC466E"/>
    <w:rsid w:val="00BE05C9"/>
    <w:rsid w:val="00BF3530"/>
    <w:rsid w:val="00BF5374"/>
    <w:rsid w:val="00BF698F"/>
    <w:rsid w:val="00C01857"/>
    <w:rsid w:val="00C1093F"/>
    <w:rsid w:val="00C164C2"/>
    <w:rsid w:val="00C20A2D"/>
    <w:rsid w:val="00C21D3D"/>
    <w:rsid w:val="00C248ED"/>
    <w:rsid w:val="00C31118"/>
    <w:rsid w:val="00C35D25"/>
    <w:rsid w:val="00C4660E"/>
    <w:rsid w:val="00C47ED9"/>
    <w:rsid w:val="00C50B78"/>
    <w:rsid w:val="00C5303F"/>
    <w:rsid w:val="00C56079"/>
    <w:rsid w:val="00C572C9"/>
    <w:rsid w:val="00C676CA"/>
    <w:rsid w:val="00C70E08"/>
    <w:rsid w:val="00C734CC"/>
    <w:rsid w:val="00C774AA"/>
    <w:rsid w:val="00C8154D"/>
    <w:rsid w:val="00C90FC9"/>
    <w:rsid w:val="00C927C3"/>
    <w:rsid w:val="00C92D2E"/>
    <w:rsid w:val="00CA2166"/>
    <w:rsid w:val="00CB4292"/>
    <w:rsid w:val="00CC1767"/>
    <w:rsid w:val="00CD31C9"/>
    <w:rsid w:val="00CE2602"/>
    <w:rsid w:val="00CF0A36"/>
    <w:rsid w:val="00CF399F"/>
    <w:rsid w:val="00CF40B7"/>
    <w:rsid w:val="00CF7FA2"/>
    <w:rsid w:val="00D1010F"/>
    <w:rsid w:val="00D16592"/>
    <w:rsid w:val="00D53C86"/>
    <w:rsid w:val="00D64BCC"/>
    <w:rsid w:val="00D84F8B"/>
    <w:rsid w:val="00D96A4A"/>
    <w:rsid w:val="00DA00C1"/>
    <w:rsid w:val="00DA075A"/>
    <w:rsid w:val="00DA6674"/>
    <w:rsid w:val="00DA6C6E"/>
    <w:rsid w:val="00DA79C8"/>
    <w:rsid w:val="00DB3A2E"/>
    <w:rsid w:val="00DB774E"/>
    <w:rsid w:val="00DC2EAF"/>
    <w:rsid w:val="00DD6521"/>
    <w:rsid w:val="00DE456F"/>
    <w:rsid w:val="00E0395C"/>
    <w:rsid w:val="00E04D5C"/>
    <w:rsid w:val="00E060E5"/>
    <w:rsid w:val="00E06FBE"/>
    <w:rsid w:val="00E13419"/>
    <w:rsid w:val="00E14E72"/>
    <w:rsid w:val="00E17640"/>
    <w:rsid w:val="00E22D33"/>
    <w:rsid w:val="00E33C89"/>
    <w:rsid w:val="00E51770"/>
    <w:rsid w:val="00E54BA8"/>
    <w:rsid w:val="00E6514B"/>
    <w:rsid w:val="00E701AD"/>
    <w:rsid w:val="00E75727"/>
    <w:rsid w:val="00E85D8F"/>
    <w:rsid w:val="00E87BF6"/>
    <w:rsid w:val="00EA0CD0"/>
    <w:rsid w:val="00EB2268"/>
    <w:rsid w:val="00EB3BF9"/>
    <w:rsid w:val="00EC08E1"/>
    <w:rsid w:val="00EC6D44"/>
    <w:rsid w:val="00ED3771"/>
    <w:rsid w:val="00ED4733"/>
    <w:rsid w:val="00ED5CD7"/>
    <w:rsid w:val="00ED71BA"/>
    <w:rsid w:val="00EE106B"/>
    <w:rsid w:val="00EE4101"/>
    <w:rsid w:val="00EE73DE"/>
    <w:rsid w:val="00EE7FE7"/>
    <w:rsid w:val="00EF741D"/>
    <w:rsid w:val="00F01D3A"/>
    <w:rsid w:val="00F02490"/>
    <w:rsid w:val="00F03573"/>
    <w:rsid w:val="00F12B47"/>
    <w:rsid w:val="00F131A5"/>
    <w:rsid w:val="00F206D9"/>
    <w:rsid w:val="00F34C02"/>
    <w:rsid w:val="00F43862"/>
    <w:rsid w:val="00F44838"/>
    <w:rsid w:val="00F54484"/>
    <w:rsid w:val="00F55FD2"/>
    <w:rsid w:val="00F631FA"/>
    <w:rsid w:val="00F74ABE"/>
    <w:rsid w:val="00F81CC1"/>
    <w:rsid w:val="00FA3CEA"/>
    <w:rsid w:val="00FA4536"/>
    <w:rsid w:val="00FB1320"/>
    <w:rsid w:val="00FC6957"/>
    <w:rsid w:val="00FD4C9A"/>
    <w:rsid w:val="00FE63BF"/>
    <w:rsid w:val="00FF240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E73E4F"/>
  <w15:docId w15:val="{18FEEC86-86FA-4254-8BDB-483F2E758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164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CTableBody">
    <w:name w:val="TC_Table_Body"/>
    <w:basedOn w:val="Normal"/>
    <w:next w:val="Normal"/>
    <w:link w:val="TCTableBodyChar"/>
    <w:autoRedefine/>
    <w:rsid w:val="00C164C2"/>
    <w:pPr>
      <w:spacing w:before="20" w:after="60" w:line="240" w:lineRule="auto"/>
      <w:jc w:val="both"/>
    </w:pPr>
    <w:rPr>
      <w:rFonts w:ascii="Arno Pro" w:eastAsia="Times New Roman" w:hAnsi="Arno Pro" w:cs="Times New Roman"/>
      <w:kern w:val="20"/>
      <w:sz w:val="18"/>
      <w:szCs w:val="20"/>
      <w:lang w:val="en-US"/>
    </w:rPr>
  </w:style>
  <w:style w:type="character" w:customStyle="1" w:styleId="TCTableBodyChar">
    <w:name w:val="TC_Table_Body Char"/>
    <w:link w:val="TCTableBody"/>
    <w:rsid w:val="00C164C2"/>
    <w:rPr>
      <w:rFonts w:ascii="Arno Pro" w:eastAsia="Times New Roman" w:hAnsi="Arno Pro" w:cs="Times New Roman"/>
      <w:kern w:val="20"/>
      <w:sz w:val="18"/>
      <w:szCs w:val="20"/>
      <w:lang w:val="en-US"/>
    </w:rPr>
  </w:style>
  <w:style w:type="paragraph" w:customStyle="1" w:styleId="FETableFootnote">
    <w:name w:val="FE_Table_Footnote"/>
    <w:basedOn w:val="Normal"/>
    <w:next w:val="Normal"/>
    <w:autoRedefine/>
    <w:rsid w:val="001B6199"/>
    <w:pPr>
      <w:spacing w:before="60" w:after="120" w:line="240" w:lineRule="auto"/>
      <w:ind w:firstLine="187"/>
      <w:jc w:val="both"/>
    </w:pPr>
    <w:rPr>
      <w:rFonts w:eastAsia="Times New Roman" w:cstheme="minorHAnsi"/>
      <w:kern w:val="0"/>
      <w:szCs w:val="24"/>
      <w:lang w:val="en-US"/>
    </w:rPr>
  </w:style>
  <w:style w:type="paragraph" w:styleId="Revision">
    <w:name w:val="Revision"/>
    <w:hidden/>
    <w:uiPriority w:val="99"/>
    <w:semiHidden/>
    <w:rsid w:val="0017313F"/>
    <w:pPr>
      <w:spacing w:after="0" w:line="240" w:lineRule="auto"/>
    </w:pPr>
  </w:style>
  <w:style w:type="character" w:styleId="CommentReference">
    <w:name w:val="annotation reference"/>
    <w:basedOn w:val="DefaultParagraphFont"/>
    <w:uiPriority w:val="99"/>
    <w:semiHidden/>
    <w:unhideWhenUsed/>
    <w:rsid w:val="00C31118"/>
    <w:rPr>
      <w:sz w:val="16"/>
      <w:szCs w:val="16"/>
    </w:rPr>
  </w:style>
  <w:style w:type="paragraph" w:styleId="CommentText">
    <w:name w:val="annotation text"/>
    <w:basedOn w:val="Normal"/>
    <w:link w:val="CommentTextChar"/>
    <w:uiPriority w:val="99"/>
    <w:unhideWhenUsed/>
    <w:rsid w:val="00C31118"/>
    <w:pPr>
      <w:spacing w:line="240" w:lineRule="auto"/>
    </w:pPr>
    <w:rPr>
      <w:sz w:val="20"/>
      <w:szCs w:val="20"/>
    </w:rPr>
  </w:style>
  <w:style w:type="character" w:customStyle="1" w:styleId="CommentTextChar">
    <w:name w:val="Comment Text Char"/>
    <w:basedOn w:val="DefaultParagraphFont"/>
    <w:link w:val="CommentText"/>
    <w:uiPriority w:val="99"/>
    <w:rsid w:val="00C31118"/>
    <w:rPr>
      <w:sz w:val="20"/>
      <w:szCs w:val="20"/>
    </w:rPr>
  </w:style>
  <w:style w:type="paragraph" w:customStyle="1" w:styleId="Siberschrift1">
    <w:name w:val="Si Überschrift 1"/>
    <w:basedOn w:val="ListParagraph"/>
    <w:link w:val="Siberschrift1Zchn"/>
    <w:qFormat/>
    <w:rsid w:val="00C572C9"/>
    <w:pPr>
      <w:numPr>
        <w:numId w:val="1"/>
      </w:numPr>
      <w:ind w:left="360"/>
      <w:jc w:val="both"/>
    </w:pPr>
    <w:rPr>
      <w:b/>
      <w:bCs/>
      <w:sz w:val="28"/>
      <w:szCs w:val="28"/>
      <w:lang w:val="en-US"/>
    </w:rPr>
  </w:style>
  <w:style w:type="character" w:customStyle="1" w:styleId="Siberschrift1Zchn">
    <w:name w:val="Si Überschrift 1 Zchn"/>
    <w:basedOn w:val="DefaultParagraphFont"/>
    <w:link w:val="Siberschrift1"/>
    <w:rsid w:val="00C572C9"/>
    <w:rPr>
      <w:b/>
      <w:bCs/>
      <w:sz w:val="28"/>
      <w:szCs w:val="28"/>
      <w:lang w:val="en-US"/>
    </w:rPr>
  </w:style>
  <w:style w:type="paragraph" w:customStyle="1" w:styleId="SIberschrift2">
    <w:name w:val="SI Überschrift 2"/>
    <w:basedOn w:val="ListParagraph"/>
    <w:qFormat/>
    <w:rsid w:val="00C572C9"/>
    <w:pPr>
      <w:numPr>
        <w:ilvl w:val="1"/>
        <w:numId w:val="1"/>
      </w:numPr>
      <w:ind w:left="360"/>
      <w:jc w:val="both"/>
    </w:pPr>
    <w:rPr>
      <w:b/>
      <w:sz w:val="24"/>
      <w:szCs w:val="24"/>
      <w:lang w:val="en-US"/>
    </w:rPr>
  </w:style>
  <w:style w:type="paragraph" w:styleId="Caption">
    <w:name w:val="caption"/>
    <w:basedOn w:val="Normal"/>
    <w:next w:val="Normal"/>
    <w:link w:val="CaptionChar"/>
    <w:uiPriority w:val="35"/>
    <w:unhideWhenUsed/>
    <w:qFormat/>
    <w:rsid w:val="00C572C9"/>
    <w:pPr>
      <w:spacing w:after="200" w:line="240" w:lineRule="auto"/>
      <w:jc w:val="both"/>
    </w:pPr>
    <w:rPr>
      <w:i/>
      <w:iCs/>
      <w:color w:val="44546A" w:themeColor="text2"/>
      <w:sz w:val="18"/>
      <w:szCs w:val="18"/>
      <w:lang w:val="en-US"/>
    </w:rPr>
  </w:style>
  <w:style w:type="character" w:customStyle="1" w:styleId="CaptionChar">
    <w:name w:val="Caption Char"/>
    <w:basedOn w:val="DefaultParagraphFont"/>
    <w:link w:val="Caption"/>
    <w:uiPriority w:val="35"/>
    <w:rsid w:val="00C572C9"/>
    <w:rPr>
      <w:i/>
      <w:iCs/>
      <w:color w:val="44546A" w:themeColor="text2"/>
      <w:sz w:val="18"/>
      <w:szCs w:val="18"/>
      <w:lang w:val="en-US"/>
    </w:rPr>
  </w:style>
  <w:style w:type="paragraph" w:styleId="ListParagraph">
    <w:name w:val="List Paragraph"/>
    <w:basedOn w:val="Normal"/>
    <w:uiPriority w:val="34"/>
    <w:qFormat/>
    <w:rsid w:val="00C572C9"/>
    <w:pPr>
      <w:ind w:left="720"/>
      <w:contextualSpacing/>
    </w:pPr>
  </w:style>
  <w:style w:type="paragraph" w:styleId="CommentSubject">
    <w:name w:val="annotation subject"/>
    <w:basedOn w:val="CommentText"/>
    <w:next w:val="CommentText"/>
    <w:link w:val="CommentSubjectChar"/>
    <w:uiPriority w:val="99"/>
    <w:semiHidden/>
    <w:unhideWhenUsed/>
    <w:rsid w:val="00EA0CD0"/>
    <w:rPr>
      <w:b/>
      <w:bCs/>
    </w:rPr>
  </w:style>
  <w:style w:type="character" w:customStyle="1" w:styleId="CommentSubjectChar">
    <w:name w:val="Comment Subject Char"/>
    <w:basedOn w:val="CommentTextChar"/>
    <w:link w:val="CommentSubject"/>
    <w:uiPriority w:val="99"/>
    <w:semiHidden/>
    <w:rsid w:val="00EA0CD0"/>
    <w:rPr>
      <w:b/>
      <w:bCs/>
      <w:sz w:val="20"/>
      <w:szCs w:val="20"/>
    </w:rPr>
  </w:style>
  <w:style w:type="paragraph" w:styleId="NormalWeb">
    <w:name w:val="Normal (Web)"/>
    <w:basedOn w:val="Normal"/>
    <w:uiPriority w:val="99"/>
    <w:semiHidden/>
    <w:unhideWhenUsed/>
    <w:rsid w:val="00BE05C9"/>
    <w:pPr>
      <w:spacing w:before="100" w:beforeAutospacing="1" w:after="100" w:afterAutospacing="1" w:line="240" w:lineRule="auto"/>
    </w:pPr>
    <w:rPr>
      <w:rFonts w:ascii="Times New Roman" w:eastAsia="Times New Roman" w:hAnsi="Times New Roman" w:cs="Times New Roman"/>
      <w:kern w:val="0"/>
      <w:sz w:val="24"/>
      <w:szCs w:val="24"/>
      <w:lang w:val="en-US"/>
    </w:rPr>
  </w:style>
  <w:style w:type="character" w:customStyle="1" w:styleId="cf01">
    <w:name w:val="cf01"/>
    <w:basedOn w:val="DefaultParagraphFont"/>
    <w:rsid w:val="003D2157"/>
    <w:rPr>
      <w:rFonts w:ascii="Segoe UI" w:hAnsi="Segoe UI" w:cs="Segoe UI" w:hint="default"/>
      <w:color w:val="2E2E2E"/>
      <w:sz w:val="18"/>
      <w:szCs w:val="18"/>
      <w:shd w:val="clear" w:color="auto" w:fill="FFFFFF"/>
    </w:rPr>
  </w:style>
  <w:style w:type="paragraph" w:customStyle="1" w:styleId="RSCB02ArticleText">
    <w:name w:val="RSC B02 Article Text"/>
    <w:basedOn w:val="Normal"/>
    <w:link w:val="RSCB02ArticleTextChar"/>
    <w:qFormat/>
    <w:rsid w:val="00BA5204"/>
    <w:pPr>
      <w:spacing w:after="0" w:line="240" w:lineRule="exact"/>
      <w:jc w:val="both"/>
    </w:pPr>
    <w:rPr>
      <w:rFonts w:cs="Times New Roman"/>
      <w:w w:val="108"/>
      <w:kern w:val="0"/>
      <w:sz w:val="18"/>
      <w:szCs w:val="18"/>
      <w:lang w:val="en-GB"/>
      <w14:ligatures w14:val="none"/>
    </w:rPr>
  </w:style>
  <w:style w:type="character" w:customStyle="1" w:styleId="RSCB02ArticleTextChar">
    <w:name w:val="RSC B02 Article Text Char"/>
    <w:basedOn w:val="DefaultParagraphFont"/>
    <w:link w:val="RSCB02ArticleText"/>
    <w:rsid w:val="00BA5204"/>
    <w:rPr>
      <w:rFonts w:cs="Times New Roman"/>
      <w:w w:val="108"/>
      <w:kern w:val="0"/>
      <w:sz w:val="18"/>
      <w:szCs w:val="18"/>
      <w:lang w:val="en-GB"/>
      <w14:ligatures w14:val="none"/>
    </w:rPr>
  </w:style>
  <w:style w:type="paragraph" w:customStyle="1" w:styleId="RSCR02References">
    <w:name w:val="RSC R02 References"/>
    <w:basedOn w:val="Normal"/>
    <w:link w:val="RSCR02ReferencesChar"/>
    <w:qFormat/>
    <w:rsid w:val="00472541"/>
    <w:pPr>
      <w:numPr>
        <w:numId w:val="2"/>
      </w:numPr>
      <w:spacing w:after="0" w:line="200" w:lineRule="exact"/>
      <w:ind w:left="284" w:hanging="284"/>
      <w:jc w:val="both"/>
    </w:pPr>
    <w:rPr>
      <w:rFonts w:cs="Times New Roman"/>
      <w:w w:val="105"/>
      <w:kern w:val="0"/>
      <w:sz w:val="18"/>
      <w:szCs w:val="18"/>
      <w:lang w:val="en-GB"/>
      <w14:ligatures w14:val="none"/>
    </w:rPr>
  </w:style>
  <w:style w:type="character" w:customStyle="1" w:styleId="RSCR02ReferencesChar">
    <w:name w:val="RSC R02 References Char"/>
    <w:basedOn w:val="DefaultParagraphFont"/>
    <w:link w:val="RSCR02References"/>
    <w:rsid w:val="00472541"/>
    <w:rPr>
      <w:rFonts w:cs="Times New Roman"/>
      <w:w w:val="105"/>
      <w:kern w:val="0"/>
      <w:sz w:val="18"/>
      <w:szCs w:val="18"/>
      <w:lang w:val="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573764">
      <w:bodyDiv w:val="1"/>
      <w:marLeft w:val="0"/>
      <w:marRight w:val="0"/>
      <w:marTop w:val="0"/>
      <w:marBottom w:val="0"/>
      <w:divBdr>
        <w:top w:val="none" w:sz="0" w:space="0" w:color="auto"/>
        <w:left w:val="none" w:sz="0" w:space="0" w:color="auto"/>
        <w:bottom w:val="none" w:sz="0" w:space="0" w:color="auto"/>
        <w:right w:val="none" w:sz="0" w:space="0" w:color="auto"/>
      </w:divBdr>
    </w:div>
    <w:div w:id="491336836">
      <w:bodyDiv w:val="1"/>
      <w:marLeft w:val="0"/>
      <w:marRight w:val="0"/>
      <w:marTop w:val="0"/>
      <w:marBottom w:val="0"/>
      <w:divBdr>
        <w:top w:val="none" w:sz="0" w:space="0" w:color="auto"/>
        <w:left w:val="none" w:sz="0" w:space="0" w:color="auto"/>
        <w:bottom w:val="none" w:sz="0" w:space="0" w:color="auto"/>
        <w:right w:val="none" w:sz="0" w:space="0" w:color="auto"/>
      </w:divBdr>
    </w:div>
    <w:div w:id="11740301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oleObject" Target="embeddings/oleObject3.bin"/><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6.tif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223BBD-C07F-413D-B85F-5B4D0553F5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11</Pages>
  <Words>14699</Words>
  <Characters>83790</Characters>
  <Application>Microsoft Office Word</Application>
  <DocSecurity>0</DocSecurity>
  <Lines>698</Lines>
  <Paragraphs>196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98293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aeptms44eb@goetheuniversitaet.onmicrosoft.com</dc:creator>
  <cp:keywords/>
  <dc:description/>
  <cp:lastModifiedBy>Yoann Olivier</cp:lastModifiedBy>
  <cp:revision>25</cp:revision>
  <cp:lastPrinted>2024-02-26T07:23:00Z</cp:lastPrinted>
  <dcterms:created xsi:type="dcterms:W3CDTF">2024-04-22T16:53:00Z</dcterms:created>
  <dcterms:modified xsi:type="dcterms:W3CDTF">2024-04-24T17:21:00Z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http://csl.mendeley.com/styles/496950591/american-chemical-society-SI</vt:lpwstr>
  </property>
  <property fmtid="{D5CDD505-2E9C-101B-9397-08002B2CF9AE}" pid="3" name="Mendeley Recent Style Name 0_1">
    <vt:lpwstr>American Chemical Society - Elena Zender</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http://www.zotero.org/styles/angewandte-chemie</vt:lpwstr>
  </property>
  <property fmtid="{D5CDD505-2E9C-101B-9397-08002B2CF9AE}" pid="7" name="Mendeley Recent Style Name 2_1">
    <vt:lpwstr>Angewandte Chemie International Edition</vt:lpwstr>
  </property>
  <property fmtid="{D5CDD505-2E9C-101B-9397-08002B2CF9AE}" pid="8" name="Mendeley Recent Style Id 3_1">
    <vt:lpwstr>http://csl.mendeley.com/styles/546255831/angewandte-chemie-footnote</vt:lpwstr>
  </property>
  <property fmtid="{D5CDD505-2E9C-101B-9397-08002B2CF9AE}" pid="9" name="Mendeley Recent Style Name 3_1">
    <vt:lpwstr>Angewandte Chemie International Edition - Footnotes</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http://www.zotero.org/styles/dalton-transactions</vt:lpwstr>
  </property>
  <property fmtid="{D5CDD505-2E9C-101B-9397-08002B2CF9AE}" pid="13" name="Mendeley Recent Style Name 5_1">
    <vt:lpwstr>Dalton Transactions</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http://csl.mendeley.com/styles/496950591/royal-society-of-chemistry-SI</vt:lpwstr>
  </property>
  <property fmtid="{D5CDD505-2E9C-101B-9397-08002B2CF9AE}" pid="21" name="Mendeley Recent Style Name 9_1">
    <vt:lpwstr>Royal Society of Chemistry - SI</vt:lpwstr>
  </property>
  <property fmtid="{D5CDD505-2E9C-101B-9397-08002B2CF9AE}" pid="22" name="Mendeley Document_1">
    <vt:lpwstr>True</vt:lpwstr>
  </property>
  <property fmtid="{D5CDD505-2E9C-101B-9397-08002B2CF9AE}" pid="23" name="Mendeley Unique User Id_1">
    <vt:lpwstr>335b7b9e-5f65-3e1f-b33d-df29fce607f6</vt:lpwstr>
  </property>
  <property fmtid="{D5CDD505-2E9C-101B-9397-08002B2CF9AE}" pid="24" name="Mendeley Citation Style_1">
    <vt:lpwstr>http://www.zotero.org/styles/dalton-transactions</vt:lpwstr>
  </property>
</Properties>
</file>