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18ABF9" w14:textId="5A4B404A" w:rsidR="00C26BE5" w:rsidRPr="00CB51D5" w:rsidRDefault="00C26BE5" w:rsidP="00270044">
      <w:pPr>
        <w:spacing w:line="480" w:lineRule="auto"/>
        <w:jc w:val="both"/>
        <w:rPr>
          <w:rFonts w:ascii="Times New Roman" w:hAnsi="Times New Roman" w:cs="Times New Roman"/>
          <w:b/>
          <w:bCs/>
          <w:sz w:val="24"/>
          <w:szCs w:val="24"/>
          <w:lang w:val="en-US"/>
        </w:rPr>
      </w:pPr>
      <w:r w:rsidRPr="00CB51D5">
        <w:rPr>
          <w:rFonts w:ascii="Times New Roman" w:hAnsi="Times New Roman" w:cs="Times New Roman"/>
          <w:b/>
          <w:bCs/>
          <w:sz w:val="24"/>
          <w:szCs w:val="24"/>
          <w:lang w:val="en-US"/>
        </w:rPr>
        <w:t xml:space="preserve">AMPK protects proximal tubular epithelial cells from lysosomal dysfunction and dedifferentiation induced by </w:t>
      </w:r>
      <w:proofErr w:type="spellStart"/>
      <w:r w:rsidRPr="00CB51D5">
        <w:rPr>
          <w:rFonts w:ascii="Times New Roman" w:hAnsi="Times New Roman" w:cs="Times New Roman"/>
          <w:b/>
          <w:bCs/>
          <w:sz w:val="24"/>
          <w:szCs w:val="24"/>
          <w:lang w:val="en-US"/>
        </w:rPr>
        <w:t>lipotoxicity</w:t>
      </w:r>
      <w:proofErr w:type="spellEnd"/>
    </w:p>
    <w:p w14:paraId="718A71E8" w14:textId="47BC60B1" w:rsidR="00C26BE5" w:rsidRPr="00C6122E" w:rsidRDefault="00C26BE5" w:rsidP="00270044">
      <w:pPr>
        <w:spacing w:line="480" w:lineRule="auto"/>
        <w:jc w:val="both"/>
        <w:rPr>
          <w:rFonts w:ascii="Times New Roman" w:hAnsi="Times New Roman" w:cs="Times New Roman"/>
          <w:sz w:val="24"/>
          <w:szCs w:val="24"/>
          <w:vertAlign w:val="superscript"/>
          <w:lang w:val="en-US"/>
        </w:rPr>
      </w:pPr>
      <w:r w:rsidRPr="00C6122E">
        <w:rPr>
          <w:rFonts w:ascii="Times New Roman" w:hAnsi="Times New Roman" w:cs="Times New Roman"/>
          <w:sz w:val="24"/>
          <w:szCs w:val="24"/>
          <w:lang w:val="en-US"/>
        </w:rPr>
        <w:t xml:space="preserve">Louise </w:t>
      </w:r>
      <w:proofErr w:type="spellStart"/>
      <w:proofErr w:type="gramStart"/>
      <w:r w:rsidRPr="00C6122E">
        <w:rPr>
          <w:rFonts w:ascii="Times New Roman" w:hAnsi="Times New Roman" w:cs="Times New Roman"/>
          <w:sz w:val="24"/>
          <w:szCs w:val="24"/>
          <w:lang w:val="en-US"/>
        </w:rPr>
        <w:t>Pierre</w:t>
      </w:r>
      <w:r w:rsidR="00EE4BC3">
        <w:rPr>
          <w:rFonts w:ascii="Times New Roman" w:hAnsi="Times New Roman" w:cs="Times New Roman"/>
          <w:sz w:val="24"/>
          <w:szCs w:val="24"/>
          <w:vertAlign w:val="superscript"/>
          <w:lang w:val="en-US"/>
        </w:rPr>
        <w:t>a</w:t>
      </w:r>
      <w:r w:rsidRPr="00C6122E">
        <w:rPr>
          <w:rFonts w:ascii="Times New Roman" w:hAnsi="Times New Roman" w:cs="Times New Roman"/>
          <w:sz w:val="24"/>
          <w:szCs w:val="24"/>
          <w:vertAlign w:val="superscript"/>
          <w:lang w:val="en-US"/>
        </w:rPr>
        <w:t>,</w:t>
      </w:r>
      <w:r w:rsidR="00EE4BC3">
        <w:rPr>
          <w:rFonts w:ascii="Times New Roman" w:hAnsi="Times New Roman" w:cs="Times New Roman"/>
          <w:sz w:val="24"/>
          <w:szCs w:val="24"/>
          <w:vertAlign w:val="superscript"/>
          <w:lang w:val="en-US"/>
        </w:rPr>
        <w:t>b</w:t>
      </w:r>
      <w:proofErr w:type="spellEnd"/>
      <w:proofErr w:type="gramEnd"/>
      <w:r w:rsidRPr="00C6122E">
        <w:rPr>
          <w:rFonts w:ascii="Times New Roman" w:hAnsi="Times New Roman" w:cs="Times New Roman"/>
          <w:sz w:val="24"/>
          <w:szCs w:val="24"/>
          <w:lang w:val="en-US"/>
        </w:rPr>
        <w:t xml:space="preserve">, Florian </w:t>
      </w:r>
      <w:proofErr w:type="spellStart"/>
      <w:r w:rsidRPr="00C6122E">
        <w:rPr>
          <w:rFonts w:ascii="Times New Roman" w:hAnsi="Times New Roman" w:cs="Times New Roman"/>
          <w:sz w:val="24"/>
          <w:szCs w:val="24"/>
          <w:lang w:val="en-US"/>
        </w:rPr>
        <w:t>Juszczak</w:t>
      </w:r>
      <w:r w:rsidR="00EE4BC3">
        <w:rPr>
          <w:rFonts w:ascii="Times New Roman" w:hAnsi="Times New Roman" w:cs="Times New Roman"/>
          <w:sz w:val="24"/>
          <w:szCs w:val="24"/>
          <w:vertAlign w:val="superscript"/>
          <w:lang w:val="en-US"/>
        </w:rPr>
        <w:t>b</w:t>
      </w:r>
      <w:proofErr w:type="spellEnd"/>
      <w:r w:rsidRPr="00C6122E">
        <w:rPr>
          <w:rFonts w:ascii="Times New Roman" w:hAnsi="Times New Roman" w:cs="Times New Roman"/>
          <w:sz w:val="24"/>
          <w:szCs w:val="24"/>
          <w:lang w:val="en-US"/>
        </w:rPr>
        <w:t xml:space="preserve">, Valentine </w:t>
      </w:r>
      <w:proofErr w:type="spellStart"/>
      <w:r w:rsidRPr="00C6122E">
        <w:rPr>
          <w:rFonts w:ascii="Times New Roman" w:hAnsi="Times New Roman" w:cs="Times New Roman"/>
          <w:sz w:val="24"/>
          <w:szCs w:val="24"/>
          <w:lang w:val="en-US"/>
        </w:rPr>
        <w:t>Delmotte</w:t>
      </w:r>
      <w:r w:rsidR="00EE4BC3">
        <w:rPr>
          <w:rFonts w:ascii="Times New Roman" w:hAnsi="Times New Roman" w:cs="Times New Roman"/>
          <w:sz w:val="24"/>
          <w:szCs w:val="24"/>
          <w:vertAlign w:val="superscript"/>
          <w:lang w:val="en-US"/>
        </w:rPr>
        <w:t>a</w:t>
      </w:r>
      <w:proofErr w:type="spellEnd"/>
      <w:r w:rsidRPr="00C6122E">
        <w:rPr>
          <w:rFonts w:ascii="Times New Roman" w:hAnsi="Times New Roman" w:cs="Times New Roman"/>
          <w:sz w:val="24"/>
          <w:szCs w:val="24"/>
          <w:lang w:val="en-US"/>
        </w:rPr>
        <w:t xml:space="preserve">, Morgane </w:t>
      </w:r>
      <w:proofErr w:type="spellStart"/>
      <w:r w:rsidRPr="00C6122E">
        <w:rPr>
          <w:rFonts w:ascii="Times New Roman" w:hAnsi="Times New Roman" w:cs="Times New Roman"/>
          <w:sz w:val="24"/>
          <w:szCs w:val="24"/>
          <w:lang w:val="en-US"/>
        </w:rPr>
        <w:t>Decarnoncle</w:t>
      </w:r>
      <w:r w:rsidR="00EE4BC3">
        <w:rPr>
          <w:rFonts w:ascii="Times New Roman" w:hAnsi="Times New Roman" w:cs="Times New Roman"/>
          <w:sz w:val="24"/>
          <w:szCs w:val="24"/>
          <w:vertAlign w:val="superscript"/>
          <w:lang w:val="en-US"/>
        </w:rPr>
        <w:t>b</w:t>
      </w:r>
      <w:proofErr w:type="spellEnd"/>
      <w:r w:rsidRPr="00C6122E">
        <w:rPr>
          <w:rFonts w:ascii="Times New Roman" w:hAnsi="Times New Roman" w:cs="Times New Roman"/>
          <w:sz w:val="24"/>
          <w:szCs w:val="24"/>
          <w:lang w:val="en-US"/>
        </w:rPr>
        <w:t xml:space="preserve">, Benjamin </w:t>
      </w:r>
      <w:proofErr w:type="spellStart"/>
      <w:r w:rsidRPr="00C6122E">
        <w:rPr>
          <w:rFonts w:ascii="Times New Roman" w:hAnsi="Times New Roman" w:cs="Times New Roman"/>
          <w:sz w:val="24"/>
          <w:szCs w:val="24"/>
          <w:lang w:val="en-US"/>
        </w:rPr>
        <w:t>Ledoux</w:t>
      </w:r>
      <w:r w:rsidR="00EE4BC3">
        <w:rPr>
          <w:rFonts w:ascii="Times New Roman" w:hAnsi="Times New Roman" w:cs="Times New Roman"/>
          <w:sz w:val="24"/>
          <w:szCs w:val="24"/>
          <w:vertAlign w:val="superscript"/>
          <w:lang w:val="en-US"/>
        </w:rPr>
        <w:t>a</w:t>
      </w:r>
      <w:proofErr w:type="spellEnd"/>
      <w:r w:rsidRPr="00C6122E">
        <w:rPr>
          <w:rFonts w:ascii="Times New Roman" w:hAnsi="Times New Roman" w:cs="Times New Roman"/>
          <w:sz w:val="24"/>
          <w:szCs w:val="24"/>
          <w:lang w:val="en-US"/>
        </w:rPr>
        <w:t xml:space="preserve">, Laurent </w:t>
      </w:r>
      <w:proofErr w:type="spellStart"/>
      <w:r w:rsidRPr="00C6122E">
        <w:rPr>
          <w:rFonts w:ascii="Times New Roman" w:hAnsi="Times New Roman" w:cs="Times New Roman"/>
          <w:sz w:val="24"/>
          <w:szCs w:val="24"/>
          <w:lang w:val="en-US"/>
        </w:rPr>
        <w:t>Bultot</w:t>
      </w:r>
      <w:r w:rsidR="00EE4BC3">
        <w:rPr>
          <w:rFonts w:ascii="Times New Roman" w:hAnsi="Times New Roman" w:cs="Times New Roman"/>
          <w:sz w:val="24"/>
          <w:szCs w:val="24"/>
          <w:vertAlign w:val="superscript"/>
          <w:lang w:val="en-US"/>
        </w:rPr>
        <w:t>c</w:t>
      </w:r>
      <w:proofErr w:type="spellEnd"/>
      <w:r w:rsidRPr="00C6122E">
        <w:rPr>
          <w:rFonts w:ascii="Times New Roman" w:hAnsi="Times New Roman" w:cs="Times New Roman"/>
          <w:sz w:val="24"/>
          <w:szCs w:val="24"/>
          <w:lang w:val="en-US"/>
        </w:rPr>
        <w:t xml:space="preserve">, Luc </w:t>
      </w:r>
      <w:proofErr w:type="spellStart"/>
      <w:r w:rsidRPr="00C6122E">
        <w:rPr>
          <w:rFonts w:ascii="Times New Roman" w:hAnsi="Times New Roman" w:cs="Times New Roman"/>
          <w:sz w:val="24"/>
          <w:szCs w:val="24"/>
          <w:lang w:val="en-US"/>
        </w:rPr>
        <w:t>Bertrand</w:t>
      </w:r>
      <w:r w:rsidR="00EE4BC3">
        <w:rPr>
          <w:rFonts w:ascii="Times New Roman" w:hAnsi="Times New Roman" w:cs="Times New Roman"/>
          <w:sz w:val="24"/>
          <w:szCs w:val="24"/>
          <w:vertAlign w:val="superscript"/>
          <w:lang w:val="en-US"/>
        </w:rPr>
        <w:t>c</w:t>
      </w:r>
      <w:r w:rsidR="00DB2704" w:rsidRPr="00C6122E">
        <w:rPr>
          <w:rFonts w:ascii="Times New Roman" w:hAnsi="Times New Roman" w:cs="Times New Roman"/>
          <w:sz w:val="24"/>
          <w:szCs w:val="24"/>
          <w:vertAlign w:val="superscript"/>
          <w:lang w:val="en-US"/>
        </w:rPr>
        <w:t>,</w:t>
      </w:r>
      <w:r w:rsidR="00EE4BC3">
        <w:rPr>
          <w:rFonts w:ascii="Times New Roman" w:hAnsi="Times New Roman" w:cs="Times New Roman"/>
          <w:sz w:val="24"/>
          <w:szCs w:val="24"/>
          <w:vertAlign w:val="superscript"/>
          <w:lang w:val="en-US"/>
        </w:rPr>
        <w:t>d</w:t>
      </w:r>
      <w:proofErr w:type="spellEnd"/>
      <w:r w:rsidRPr="00C6122E">
        <w:rPr>
          <w:rFonts w:ascii="Times New Roman" w:hAnsi="Times New Roman" w:cs="Times New Roman"/>
          <w:sz w:val="24"/>
          <w:szCs w:val="24"/>
          <w:lang w:val="en-US"/>
        </w:rPr>
        <w:t xml:space="preserve">, </w:t>
      </w:r>
      <w:r w:rsidR="00CC4E4E" w:rsidRPr="00C6122E">
        <w:rPr>
          <w:rFonts w:ascii="Times New Roman" w:hAnsi="Times New Roman" w:cs="Times New Roman"/>
          <w:sz w:val="24"/>
          <w:szCs w:val="24"/>
          <w:lang w:val="en-US"/>
        </w:rPr>
        <w:t xml:space="preserve">Marielle </w:t>
      </w:r>
      <w:proofErr w:type="spellStart"/>
      <w:r w:rsidR="00CC4E4E" w:rsidRPr="00C6122E">
        <w:rPr>
          <w:rFonts w:ascii="Times New Roman" w:hAnsi="Times New Roman" w:cs="Times New Roman"/>
          <w:sz w:val="24"/>
          <w:szCs w:val="24"/>
          <w:lang w:val="en-US"/>
        </w:rPr>
        <w:t>Bo</w:t>
      </w:r>
      <w:r w:rsidR="00C6122E" w:rsidRPr="00C6122E">
        <w:rPr>
          <w:rFonts w:ascii="Times New Roman" w:hAnsi="Times New Roman" w:cs="Times New Roman"/>
          <w:sz w:val="24"/>
          <w:szCs w:val="24"/>
          <w:lang w:val="en-US"/>
        </w:rPr>
        <w:t>o</w:t>
      </w:r>
      <w:r w:rsidR="00CC4E4E" w:rsidRPr="00C6122E">
        <w:rPr>
          <w:rFonts w:ascii="Times New Roman" w:hAnsi="Times New Roman" w:cs="Times New Roman"/>
          <w:sz w:val="24"/>
          <w:szCs w:val="24"/>
          <w:lang w:val="en-US"/>
        </w:rPr>
        <w:t>n</w:t>
      </w:r>
      <w:r w:rsidR="00C6122E" w:rsidRPr="00C6122E">
        <w:rPr>
          <w:rFonts w:ascii="Times New Roman" w:hAnsi="Times New Roman" w:cs="Times New Roman"/>
          <w:sz w:val="24"/>
          <w:szCs w:val="24"/>
          <w:lang w:val="en-US"/>
        </w:rPr>
        <w:t>e</w:t>
      </w:r>
      <w:r w:rsidR="00C6122E">
        <w:rPr>
          <w:rFonts w:ascii="Times New Roman" w:hAnsi="Times New Roman" w:cs="Times New Roman"/>
          <w:sz w:val="24"/>
          <w:szCs w:val="24"/>
          <w:lang w:val="en-US"/>
        </w:rPr>
        <w:t>n</w:t>
      </w:r>
      <w:r w:rsidR="00EE4BC3">
        <w:rPr>
          <w:rFonts w:ascii="Times New Roman" w:hAnsi="Times New Roman" w:cs="Times New Roman"/>
          <w:sz w:val="24"/>
          <w:szCs w:val="24"/>
          <w:vertAlign w:val="superscript"/>
          <w:lang w:val="en-US"/>
        </w:rPr>
        <w:t>e</w:t>
      </w:r>
      <w:proofErr w:type="spellEnd"/>
      <w:r w:rsidR="00C6122E">
        <w:rPr>
          <w:rFonts w:ascii="Times New Roman" w:hAnsi="Times New Roman" w:cs="Times New Roman"/>
          <w:sz w:val="24"/>
          <w:szCs w:val="24"/>
          <w:lang w:val="en-US"/>
        </w:rPr>
        <w:t xml:space="preserve">, </w:t>
      </w:r>
      <w:r w:rsidRPr="00C6122E">
        <w:rPr>
          <w:rFonts w:ascii="Times New Roman" w:hAnsi="Times New Roman" w:cs="Times New Roman"/>
          <w:sz w:val="24"/>
          <w:szCs w:val="24"/>
          <w:lang w:val="en-US"/>
        </w:rPr>
        <w:t>Patricia Renard</w:t>
      </w:r>
      <w:r w:rsidR="00EE4BC3">
        <w:rPr>
          <w:rFonts w:ascii="Times New Roman" w:hAnsi="Times New Roman" w:cs="Times New Roman"/>
          <w:sz w:val="24"/>
          <w:szCs w:val="24"/>
          <w:vertAlign w:val="superscript"/>
          <w:lang w:val="en-US"/>
        </w:rPr>
        <w:t>a</w:t>
      </w:r>
      <w:r w:rsidRPr="00C6122E">
        <w:rPr>
          <w:rFonts w:ascii="Times New Roman" w:hAnsi="Times New Roman" w:cs="Times New Roman"/>
          <w:sz w:val="24"/>
          <w:szCs w:val="24"/>
          <w:lang w:val="en-US"/>
        </w:rPr>
        <w:t xml:space="preserve">, Thierry </w:t>
      </w:r>
      <w:proofErr w:type="spellStart"/>
      <w:r w:rsidRPr="00C6122E">
        <w:rPr>
          <w:rFonts w:ascii="Times New Roman" w:hAnsi="Times New Roman" w:cs="Times New Roman"/>
          <w:sz w:val="24"/>
          <w:szCs w:val="24"/>
          <w:lang w:val="en-US"/>
        </w:rPr>
        <w:t>Arnould</w:t>
      </w:r>
      <w:r w:rsidR="00EE4BC3">
        <w:rPr>
          <w:rFonts w:ascii="Times New Roman" w:hAnsi="Times New Roman" w:cs="Times New Roman"/>
          <w:sz w:val="24"/>
          <w:szCs w:val="24"/>
          <w:vertAlign w:val="superscript"/>
          <w:lang w:val="en-US"/>
        </w:rPr>
        <w:t>a</w:t>
      </w:r>
      <w:proofErr w:type="spellEnd"/>
      <w:r w:rsidRPr="00C6122E">
        <w:rPr>
          <w:rFonts w:ascii="Times New Roman" w:hAnsi="Times New Roman" w:cs="Times New Roman"/>
          <w:sz w:val="24"/>
          <w:szCs w:val="24"/>
          <w:vertAlign w:val="superscript"/>
          <w:lang w:val="en-US"/>
        </w:rPr>
        <w:t>*</w:t>
      </w:r>
      <w:r w:rsidRPr="00C6122E">
        <w:rPr>
          <w:rFonts w:ascii="Times New Roman" w:hAnsi="Times New Roman" w:cs="Times New Roman"/>
          <w:sz w:val="24"/>
          <w:szCs w:val="24"/>
          <w:lang w:val="en-US"/>
        </w:rPr>
        <w:t xml:space="preserve">, and Anne-Emilie </w:t>
      </w:r>
      <w:proofErr w:type="spellStart"/>
      <w:r w:rsidRPr="00C6122E">
        <w:rPr>
          <w:rFonts w:ascii="Times New Roman" w:hAnsi="Times New Roman" w:cs="Times New Roman"/>
          <w:sz w:val="24"/>
          <w:szCs w:val="24"/>
          <w:lang w:val="en-US"/>
        </w:rPr>
        <w:t>Declèves</w:t>
      </w:r>
      <w:r w:rsidR="00EE4BC3">
        <w:rPr>
          <w:rFonts w:ascii="Times New Roman" w:hAnsi="Times New Roman" w:cs="Times New Roman"/>
          <w:sz w:val="24"/>
          <w:szCs w:val="24"/>
          <w:vertAlign w:val="superscript"/>
          <w:lang w:val="en-US"/>
        </w:rPr>
        <w:t>b</w:t>
      </w:r>
      <w:proofErr w:type="spellEnd"/>
      <w:r w:rsidRPr="00C6122E">
        <w:rPr>
          <w:rFonts w:ascii="Times New Roman" w:hAnsi="Times New Roman" w:cs="Times New Roman"/>
          <w:sz w:val="24"/>
          <w:szCs w:val="24"/>
          <w:vertAlign w:val="superscript"/>
          <w:lang w:val="en-US"/>
        </w:rPr>
        <w:t>*</w:t>
      </w:r>
    </w:p>
    <w:p w14:paraId="6740B442" w14:textId="44BEF704" w:rsidR="00C26BE5" w:rsidRPr="00CB51D5" w:rsidRDefault="00EE4BC3" w:rsidP="00270044">
      <w:pPr>
        <w:tabs>
          <w:tab w:val="left" w:pos="360"/>
        </w:tabs>
        <w:autoSpaceDE w:val="0"/>
        <w:autoSpaceDN w:val="0"/>
        <w:adjustRightInd w:val="0"/>
        <w:spacing w:after="0" w:line="480" w:lineRule="auto"/>
        <w:contextualSpacing/>
        <w:jc w:val="both"/>
        <w:rPr>
          <w:rFonts w:ascii="Times New Roman" w:eastAsia="Times New Roman" w:hAnsi="Times New Roman" w:cs="Times New Roman"/>
          <w:sz w:val="24"/>
          <w:szCs w:val="24"/>
          <w:lang w:val="en-US" w:eastAsia="it-IT"/>
        </w:rPr>
      </w:pPr>
      <w:proofErr w:type="spellStart"/>
      <w:r>
        <w:rPr>
          <w:rFonts w:ascii="Times New Roman" w:eastAsia="Times New Roman" w:hAnsi="Times New Roman" w:cs="Times New Roman"/>
          <w:sz w:val="24"/>
          <w:szCs w:val="24"/>
          <w:vertAlign w:val="superscript"/>
          <w:lang w:val="en-US" w:eastAsia="it-IT"/>
        </w:rPr>
        <w:t>a</w:t>
      </w:r>
      <w:r w:rsidR="00C26BE5" w:rsidRPr="00CB51D5">
        <w:rPr>
          <w:rFonts w:ascii="Times New Roman" w:eastAsia="Times New Roman" w:hAnsi="Times New Roman" w:cs="Times New Roman"/>
          <w:sz w:val="24"/>
          <w:szCs w:val="24"/>
          <w:lang w:val="en-US" w:eastAsia="it-IT"/>
        </w:rPr>
        <w:t>Laboratory</w:t>
      </w:r>
      <w:proofErr w:type="spellEnd"/>
      <w:r w:rsidR="00C26BE5" w:rsidRPr="00CB51D5">
        <w:rPr>
          <w:rFonts w:ascii="Times New Roman" w:eastAsia="Times New Roman" w:hAnsi="Times New Roman" w:cs="Times New Roman"/>
          <w:sz w:val="24"/>
          <w:szCs w:val="24"/>
          <w:lang w:val="en-US" w:eastAsia="it-IT"/>
        </w:rPr>
        <w:t xml:space="preserve"> of Biochemistry and Cell Biology, Namur Research Institute for Life Sciences</w:t>
      </w:r>
      <w:r w:rsidR="00AD2CAB">
        <w:rPr>
          <w:rFonts w:ascii="Times New Roman" w:eastAsia="Times New Roman" w:hAnsi="Times New Roman" w:cs="Times New Roman"/>
          <w:sz w:val="24"/>
          <w:szCs w:val="24"/>
          <w:lang w:val="en-US" w:eastAsia="it-IT"/>
        </w:rPr>
        <w:t xml:space="preserve"> (NARILIS)</w:t>
      </w:r>
      <w:r w:rsidR="00C26BE5" w:rsidRPr="00CB51D5">
        <w:rPr>
          <w:rFonts w:ascii="Times New Roman" w:eastAsia="Times New Roman" w:hAnsi="Times New Roman" w:cs="Times New Roman"/>
          <w:sz w:val="24"/>
          <w:szCs w:val="24"/>
          <w:lang w:val="en-US" w:eastAsia="it-IT"/>
        </w:rPr>
        <w:t>, University of Namur, Namur, Belgium.</w:t>
      </w:r>
    </w:p>
    <w:p w14:paraId="3850463B" w14:textId="5BD4DD8A" w:rsidR="00C26BE5" w:rsidRPr="00CB51D5" w:rsidRDefault="00EE4BC3" w:rsidP="00270044">
      <w:pPr>
        <w:tabs>
          <w:tab w:val="left" w:pos="360"/>
        </w:tabs>
        <w:autoSpaceDE w:val="0"/>
        <w:autoSpaceDN w:val="0"/>
        <w:adjustRightInd w:val="0"/>
        <w:spacing w:after="0" w:line="480" w:lineRule="auto"/>
        <w:contextualSpacing/>
        <w:jc w:val="both"/>
        <w:rPr>
          <w:rFonts w:ascii="Times New Roman" w:eastAsia="Times New Roman" w:hAnsi="Times New Roman" w:cs="Times New Roman"/>
          <w:sz w:val="24"/>
          <w:szCs w:val="24"/>
          <w:shd w:val="clear" w:color="auto" w:fill="FFFFFF"/>
          <w:lang w:val="en-US" w:eastAsia="it-IT"/>
        </w:rPr>
      </w:pPr>
      <w:proofErr w:type="spellStart"/>
      <w:r>
        <w:rPr>
          <w:rFonts w:ascii="Times New Roman" w:eastAsia="Times New Roman" w:hAnsi="Times New Roman" w:cs="Times New Roman"/>
          <w:sz w:val="24"/>
          <w:szCs w:val="24"/>
          <w:vertAlign w:val="superscript"/>
          <w:lang w:val="en-US" w:eastAsia="it-IT"/>
        </w:rPr>
        <w:t>b</w:t>
      </w:r>
      <w:r w:rsidR="00C26BE5" w:rsidRPr="00CB51D5">
        <w:rPr>
          <w:rFonts w:ascii="Times New Roman" w:eastAsia="Times New Roman" w:hAnsi="Times New Roman" w:cs="Times New Roman"/>
          <w:sz w:val="24"/>
          <w:szCs w:val="24"/>
          <w:shd w:val="clear" w:color="auto" w:fill="FFFFFF"/>
          <w:lang w:val="en-US" w:eastAsia="it-IT"/>
        </w:rPr>
        <w:t>Laboratory</w:t>
      </w:r>
      <w:proofErr w:type="spellEnd"/>
      <w:r w:rsidR="00C26BE5" w:rsidRPr="00CB51D5">
        <w:rPr>
          <w:rFonts w:ascii="Times New Roman" w:eastAsia="Times New Roman" w:hAnsi="Times New Roman" w:cs="Times New Roman"/>
          <w:sz w:val="24"/>
          <w:szCs w:val="24"/>
          <w:shd w:val="clear" w:color="auto" w:fill="FFFFFF"/>
          <w:lang w:val="en-US" w:eastAsia="it-IT"/>
        </w:rPr>
        <w:t xml:space="preserve"> of </w:t>
      </w:r>
      <w:r w:rsidR="00C26BE5" w:rsidRPr="00CB51D5">
        <w:rPr>
          <w:rFonts w:ascii="Times New Roman" w:eastAsia="Times New Roman" w:hAnsi="Times New Roman" w:cs="Times New Roman"/>
          <w:iCs/>
          <w:sz w:val="24"/>
          <w:szCs w:val="24"/>
          <w:lang w:val="en-US" w:eastAsia="it-IT"/>
        </w:rPr>
        <w:t>Metabolic and Molecular Biochemistry</w:t>
      </w:r>
      <w:r w:rsidR="00C26BE5" w:rsidRPr="00CB51D5">
        <w:rPr>
          <w:rFonts w:ascii="Times New Roman" w:eastAsia="Times New Roman" w:hAnsi="Times New Roman" w:cs="Times New Roman"/>
          <w:sz w:val="24"/>
          <w:szCs w:val="24"/>
          <w:shd w:val="clear" w:color="auto" w:fill="FFFFFF"/>
          <w:lang w:val="en-US" w:eastAsia="it-IT"/>
        </w:rPr>
        <w:t>, Faculty of Medicine and Pharmacy, Research Institute for Health Sciences and Technology, University of Mons, Mons, Belgium.</w:t>
      </w:r>
    </w:p>
    <w:p w14:paraId="7AA321BE" w14:textId="0EA69884" w:rsidR="00C26BE5" w:rsidRPr="00CB51D5" w:rsidRDefault="00EE4BC3" w:rsidP="00270044">
      <w:pPr>
        <w:tabs>
          <w:tab w:val="left" w:pos="360"/>
        </w:tabs>
        <w:autoSpaceDE w:val="0"/>
        <w:autoSpaceDN w:val="0"/>
        <w:adjustRightInd w:val="0"/>
        <w:spacing w:after="0" w:line="480" w:lineRule="auto"/>
        <w:contextualSpacing/>
        <w:jc w:val="both"/>
        <w:rPr>
          <w:rFonts w:ascii="Times New Roman" w:eastAsia="Times New Roman" w:hAnsi="Times New Roman" w:cs="Times New Roman"/>
          <w:sz w:val="24"/>
          <w:szCs w:val="24"/>
          <w:shd w:val="clear" w:color="auto" w:fill="FFFFFF"/>
          <w:lang w:val="en-US" w:eastAsia="it-IT"/>
        </w:rPr>
      </w:pPr>
      <w:proofErr w:type="spellStart"/>
      <w:r>
        <w:rPr>
          <w:rFonts w:ascii="Times New Roman" w:eastAsia="Times New Roman" w:hAnsi="Times New Roman" w:cs="Times New Roman"/>
          <w:sz w:val="24"/>
          <w:szCs w:val="24"/>
          <w:vertAlign w:val="superscript"/>
          <w:lang w:val="en-US" w:eastAsia="it-IT"/>
        </w:rPr>
        <w:t>c</w:t>
      </w:r>
      <w:r w:rsidR="00DB2704" w:rsidRPr="00CB51D5">
        <w:rPr>
          <w:rFonts w:ascii="Times New Roman" w:eastAsia="Times New Roman" w:hAnsi="Times New Roman" w:cs="Times New Roman"/>
          <w:sz w:val="24"/>
          <w:szCs w:val="24"/>
          <w:shd w:val="clear" w:color="auto" w:fill="FFFFFF"/>
          <w:lang w:val="en-US" w:eastAsia="it-IT"/>
        </w:rPr>
        <w:t>Pole</w:t>
      </w:r>
      <w:proofErr w:type="spellEnd"/>
      <w:r w:rsidR="00DB2704" w:rsidRPr="00CB51D5">
        <w:rPr>
          <w:rFonts w:ascii="Times New Roman" w:eastAsia="Times New Roman" w:hAnsi="Times New Roman" w:cs="Times New Roman"/>
          <w:sz w:val="24"/>
          <w:szCs w:val="24"/>
          <w:shd w:val="clear" w:color="auto" w:fill="FFFFFF"/>
          <w:lang w:val="en-US" w:eastAsia="it-IT"/>
        </w:rPr>
        <w:t xml:space="preserve"> of Cardiovascular Research</w:t>
      </w:r>
      <w:r w:rsidR="00C26BE5" w:rsidRPr="00CB51D5">
        <w:rPr>
          <w:rFonts w:ascii="Times New Roman" w:eastAsia="Times New Roman" w:hAnsi="Times New Roman" w:cs="Times New Roman"/>
          <w:sz w:val="24"/>
          <w:szCs w:val="24"/>
          <w:shd w:val="clear" w:color="auto" w:fill="FFFFFF"/>
          <w:lang w:val="en-US" w:eastAsia="it-IT"/>
        </w:rPr>
        <w:t xml:space="preserve">, Experimental and </w:t>
      </w:r>
      <w:r w:rsidR="00DB2704" w:rsidRPr="00CB51D5">
        <w:rPr>
          <w:rFonts w:ascii="Times New Roman" w:eastAsia="Times New Roman" w:hAnsi="Times New Roman" w:cs="Times New Roman"/>
          <w:sz w:val="24"/>
          <w:szCs w:val="24"/>
          <w:shd w:val="clear" w:color="auto" w:fill="FFFFFF"/>
          <w:lang w:val="en-US" w:eastAsia="it-IT"/>
        </w:rPr>
        <w:t>C</w:t>
      </w:r>
      <w:r w:rsidR="00C26BE5" w:rsidRPr="00CB51D5">
        <w:rPr>
          <w:rFonts w:ascii="Times New Roman" w:eastAsia="Times New Roman" w:hAnsi="Times New Roman" w:cs="Times New Roman"/>
          <w:sz w:val="24"/>
          <w:szCs w:val="24"/>
          <w:shd w:val="clear" w:color="auto" w:fill="FFFFFF"/>
          <w:lang w:val="en-US" w:eastAsia="it-IT"/>
        </w:rPr>
        <w:t xml:space="preserve">linical </w:t>
      </w:r>
      <w:r w:rsidR="00DB2704" w:rsidRPr="00CB51D5">
        <w:rPr>
          <w:rFonts w:ascii="Times New Roman" w:eastAsia="Times New Roman" w:hAnsi="Times New Roman" w:cs="Times New Roman"/>
          <w:sz w:val="24"/>
          <w:szCs w:val="24"/>
          <w:shd w:val="clear" w:color="auto" w:fill="FFFFFF"/>
          <w:lang w:val="en-US" w:eastAsia="it-IT"/>
        </w:rPr>
        <w:t>R</w:t>
      </w:r>
      <w:r w:rsidR="00C26BE5" w:rsidRPr="00CB51D5">
        <w:rPr>
          <w:rFonts w:ascii="Times New Roman" w:eastAsia="Times New Roman" w:hAnsi="Times New Roman" w:cs="Times New Roman"/>
          <w:sz w:val="24"/>
          <w:szCs w:val="24"/>
          <w:shd w:val="clear" w:color="auto" w:fill="FFFFFF"/>
          <w:lang w:val="en-US" w:eastAsia="it-IT"/>
        </w:rPr>
        <w:t xml:space="preserve">esearch </w:t>
      </w:r>
      <w:r w:rsidR="00DB2704" w:rsidRPr="00CB51D5">
        <w:rPr>
          <w:rFonts w:ascii="Times New Roman" w:eastAsia="Times New Roman" w:hAnsi="Times New Roman" w:cs="Times New Roman"/>
          <w:sz w:val="24"/>
          <w:szCs w:val="24"/>
          <w:shd w:val="clear" w:color="auto" w:fill="FFFFFF"/>
          <w:lang w:val="en-US" w:eastAsia="it-IT"/>
        </w:rPr>
        <w:t>I</w:t>
      </w:r>
      <w:r w:rsidR="00C26BE5" w:rsidRPr="00CB51D5">
        <w:rPr>
          <w:rFonts w:ascii="Times New Roman" w:eastAsia="Times New Roman" w:hAnsi="Times New Roman" w:cs="Times New Roman"/>
          <w:sz w:val="24"/>
          <w:szCs w:val="24"/>
          <w:shd w:val="clear" w:color="auto" w:fill="FFFFFF"/>
          <w:lang w:val="en-US" w:eastAsia="it-IT"/>
        </w:rPr>
        <w:t>nstitute</w:t>
      </w:r>
      <w:r w:rsidR="00E00E6E">
        <w:rPr>
          <w:rFonts w:ascii="Times New Roman" w:eastAsia="Times New Roman" w:hAnsi="Times New Roman" w:cs="Times New Roman"/>
          <w:sz w:val="24"/>
          <w:szCs w:val="24"/>
          <w:shd w:val="clear" w:color="auto" w:fill="FFFFFF"/>
          <w:lang w:val="en-US" w:eastAsia="it-IT"/>
        </w:rPr>
        <w:t xml:space="preserve"> (CARD)</w:t>
      </w:r>
      <w:r w:rsidR="00C26BE5" w:rsidRPr="00CB51D5">
        <w:rPr>
          <w:rFonts w:ascii="Times New Roman" w:eastAsia="Times New Roman" w:hAnsi="Times New Roman" w:cs="Times New Roman"/>
          <w:sz w:val="24"/>
          <w:szCs w:val="24"/>
          <w:shd w:val="clear" w:color="auto" w:fill="FFFFFF"/>
          <w:lang w:val="en-US" w:eastAsia="it-IT"/>
        </w:rPr>
        <w:t xml:space="preserve">, </w:t>
      </w:r>
      <w:proofErr w:type="spellStart"/>
      <w:r w:rsidR="00DB2704" w:rsidRPr="00CB51D5">
        <w:rPr>
          <w:rFonts w:ascii="Times New Roman" w:eastAsia="Times New Roman" w:hAnsi="Times New Roman" w:cs="Times New Roman"/>
          <w:sz w:val="24"/>
          <w:szCs w:val="24"/>
          <w:shd w:val="clear" w:color="auto" w:fill="FFFFFF"/>
          <w:lang w:val="en-US" w:eastAsia="it-IT"/>
        </w:rPr>
        <w:t>UCLouvain</w:t>
      </w:r>
      <w:proofErr w:type="spellEnd"/>
      <w:r w:rsidR="00C26BE5" w:rsidRPr="00CB51D5">
        <w:rPr>
          <w:rFonts w:ascii="Times New Roman" w:eastAsia="Times New Roman" w:hAnsi="Times New Roman" w:cs="Times New Roman"/>
          <w:sz w:val="24"/>
          <w:szCs w:val="24"/>
          <w:shd w:val="clear" w:color="auto" w:fill="FFFFFF"/>
          <w:lang w:val="en-US" w:eastAsia="it-IT"/>
        </w:rPr>
        <w:t xml:space="preserve">, </w:t>
      </w:r>
      <w:r w:rsidR="00DB2704" w:rsidRPr="00CB51D5">
        <w:rPr>
          <w:rFonts w:ascii="Times New Roman" w:eastAsia="Times New Roman" w:hAnsi="Times New Roman" w:cs="Times New Roman"/>
          <w:sz w:val="24"/>
          <w:szCs w:val="24"/>
          <w:shd w:val="clear" w:color="auto" w:fill="FFFFFF"/>
          <w:lang w:val="en-US" w:eastAsia="it-IT"/>
        </w:rPr>
        <w:t>Brussels</w:t>
      </w:r>
      <w:r w:rsidR="00C26BE5" w:rsidRPr="00CB51D5">
        <w:rPr>
          <w:rFonts w:ascii="Times New Roman" w:eastAsia="Times New Roman" w:hAnsi="Times New Roman" w:cs="Times New Roman"/>
          <w:sz w:val="24"/>
          <w:szCs w:val="24"/>
          <w:shd w:val="clear" w:color="auto" w:fill="FFFFFF"/>
          <w:lang w:val="en-US" w:eastAsia="it-IT"/>
        </w:rPr>
        <w:t>, Belgium.</w:t>
      </w:r>
    </w:p>
    <w:p w14:paraId="5AC03D07" w14:textId="6A8C3625" w:rsidR="00270044" w:rsidRDefault="00EE4BC3" w:rsidP="00270044">
      <w:pPr>
        <w:spacing w:line="480" w:lineRule="auto"/>
        <w:jc w:val="both"/>
        <w:rPr>
          <w:rFonts w:ascii="Times New Roman" w:eastAsia="Times New Roman" w:hAnsi="Times New Roman" w:cs="Times New Roman"/>
          <w:sz w:val="24"/>
          <w:szCs w:val="24"/>
          <w:shd w:val="clear" w:color="auto" w:fill="FFFFFF"/>
          <w:lang w:val="en-US" w:eastAsia="it-IT"/>
        </w:rPr>
      </w:pPr>
      <w:proofErr w:type="spellStart"/>
      <w:r>
        <w:rPr>
          <w:rFonts w:ascii="Times New Roman" w:eastAsia="Times New Roman" w:hAnsi="Times New Roman" w:cs="Times New Roman"/>
          <w:sz w:val="24"/>
          <w:szCs w:val="24"/>
          <w:shd w:val="clear" w:color="auto" w:fill="FFFFFF"/>
          <w:vertAlign w:val="superscript"/>
          <w:lang w:val="en-US" w:eastAsia="it-IT"/>
        </w:rPr>
        <w:t>d</w:t>
      </w:r>
      <w:r w:rsidR="00DB2704" w:rsidRPr="00CB51D5">
        <w:rPr>
          <w:rFonts w:ascii="Times New Roman" w:eastAsia="Times New Roman" w:hAnsi="Times New Roman" w:cs="Times New Roman"/>
          <w:sz w:val="24"/>
          <w:szCs w:val="24"/>
          <w:shd w:val="clear" w:color="auto" w:fill="FFFFFF"/>
          <w:lang w:val="en-US" w:eastAsia="it-IT"/>
        </w:rPr>
        <w:t>WELBIO</w:t>
      </w:r>
      <w:proofErr w:type="spellEnd"/>
      <w:r w:rsidR="00DB2704" w:rsidRPr="00CB51D5">
        <w:rPr>
          <w:rFonts w:ascii="Times New Roman" w:eastAsia="Times New Roman" w:hAnsi="Times New Roman" w:cs="Times New Roman"/>
          <w:sz w:val="24"/>
          <w:szCs w:val="24"/>
          <w:shd w:val="clear" w:color="auto" w:fill="FFFFFF"/>
          <w:lang w:val="en-US" w:eastAsia="it-IT"/>
        </w:rPr>
        <w:t xml:space="preserve"> Department, WEL Research Institute, Wavre, Belgium</w:t>
      </w:r>
      <w:r w:rsidR="002B42A0" w:rsidRPr="00CB51D5">
        <w:rPr>
          <w:rFonts w:ascii="Times New Roman" w:eastAsia="Times New Roman" w:hAnsi="Times New Roman" w:cs="Times New Roman"/>
          <w:sz w:val="24"/>
          <w:szCs w:val="24"/>
          <w:shd w:val="clear" w:color="auto" w:fill="FFFFFF"/>
          <w:lang w:val="en-US" w:eastAsia="it-IT"/>
        </w:rPr>
        <w:t>.</w:t>
      </w:r>
    </w:p>
    <w:p w14:paraId="7AC5286D" w14:textId="17686216" w:rsidR="00C6122E" w:rsidRPr="00AD2CAB" w:rsidRDefault="00EE4BC3" w:rsidP="00270044">
      <w:pPr>
        <w:spacing w:line="480" w:lineRule="auto"/>
        <w:jc w:val="both"/>
        <w:rPr>
          <w:rFonts w:ascii="Times New Roman" w:eastAsia="Times New Roman" w:hAnsi="Times New Roman" w:cs="Times New Roman"/>
          <w:sz w:val="24"/>
          <w:szCs w:val="24"/>
          <w:shd w:val="clear" w:color="auto" w:fill="FFFFFF"/>
          <w:lang w:val="en-US" w:eastAsia="it-IT"/>
        </w:rPr>
      </w:pPr>
      <w:proofErr w:type="spellStart"/>
      <w:r>
        <w:rPr>
          <w:rFonts w:ascii="Times New Roman" w:eastAsia="Times New Roman" w:hAnsi="Times New Roman" w:cs="Times New Roman"/>
          <w:sz w:val="24"/>
          <w:szCs w:val="24"/>
          <w:shd w:val="clear" w:color="auto" w:fill="FFFFFF"/>
          <w:vertAlign w:val="superscript"/>
          <w:lang w:val="en-US" w:eastAsia="it-IT"/>
        </w:rPr>
        <w:t>e</w:t>
      </w:r>
      <w:r w:rsidR="00AD2CAB" w:rsidRPr="00D513BE">
        <w:rPr>
          <w:rFonts w:ascii="Times New Roman" w:eastAsia="Times New Roman" w:hAnsi="Times New Roman" w:cs="Times New Roman"/>
          <w:sz w:val="24"/>
          <w:szCs w:val="24"/>
          <w:shd w:val="clear" w:color="auto" w:fill="FFFFFF"/>
          <w:lang w:val="en-US" w:eastAsia="it-IT"/>
        </w:rPr>
        <w:t>URPhyM</w:t>
      </w:r>
      <w:proofErr w:type="spellEnd"/>
      <w:r w:rsidR="00AD2CAB" w:rsidRPr="00D513BE">
        <w:rPr>
          <w:rFonts w:ascii="Times New Roman" w:eastAsia="Times New Roman" w:hAnsi="Times New Roman" w:cs="Times New Roman"/>
          <w:sz w:val="24"/>
          <w:szCs w:val="24"/>
          <w:shd w:val="clear" w:color="auto" w:fill="FFFFFF"/>
          <w:lang w:val="en-US" w:eastAsia="it-IT"/>
        </w:rPr>
        <w:t>,</w:t>
      </w:r>
      <w:r w:rsidR="00AD2CAB" w:rsidRPr="00AD2CAB">
        <w:rPr>
          <w:rFonts w:ascii="Times New Roman" w:eastAsia="Times New Roman" w:hAnsi="Times New Roman" w:cs="Times New Roman"/>
          <w:sz w:val="24"/>
          <w:szCs w:val="24"/>
          <w:shd w:val="clear" w:color="auto" w:fill="FFFFFF"/>
          <w:lang w:val="en-US" w:eastAsia="it-IT"/>
        </w:rPr>
        <w:t xml:space="preserve"> Intracellular Traf</w:t>
      </w:r>
      <w:r w:rsidR="00AD2CAB">
        <w:rPr>
          <w:rFonts w:ascii="Times New Roman" w:eastAsia="Times New Roman" w:hAnsi="Times New Roman" w:cs="Times New Roman"/>
          <w:sz w:val="24"/>
          <w:szCs w:val="24"/>
          <w:shd w:val="clear" w:color="auto" w:fill="FFFFFF"/>
          <w:lang w:val="en-US" w:eastAsia="it-IT"/>
        </w:rPr>
        <w:t>fi</w:t>
      </w:r>
      <w:r w:rsidR="00AD2CAB" w:rsidRPr="00AD2CAB">
        <w:rPr>
          <w:rFonts w:ascii="Times New Roman" w:eastAsia="Times New Roman" w:hAnsi="Times New Roman" w:cs="Times New Roman"/>
          <w:sz w:val="24"/>
          <w:szCs w:val="24"/>
          <w:shd w:val="clear" w:color="auto" w:fill="FFFFFF"/>
          <w:lang w:val="en-US" w:eastAsia="it-IT"/>
        </w:rPr>
        <w:t>cking</w:t>
      </w:r>
      <w:r w:rsidR="00AD2CAB">
        <w:rPr>
          <w:rFonts w:ascii="Times New Roman" w:eastAsia="Times New Roman" w:hAnsi="Times New Roman" w:cs="Times New Roman"/>
          <w:sz w:val="24"/>
          <w:szCs w:val="24"/>
          <w:shd w:val="clear" w:color="auto" w:fill="FFFFFF"/>
          <w:lang w:val="en-US" w:eastAsia="it-IT"/>
        </w:rPr>
        <w:t xml:space="preserve"> </w:t>
      </w:r>
      <w:r w:rsidR="00AD2CAB" w:rsidRPr="00AD2CAB">
        <w:rPr>
          <w:rFonts w:ascii="Times New Roman" w:eastAsia="Times New Roman" w:hAnsi="Times New Roman" w:cs="Times New Roman"/>
          <w:sz w:val="24"/>
          <w:szCs w:val="24"/>
          <w:shd w:val="clear" w:color="auto" w:fill="FFFFFF"/>
          <w:lang w:val="en-US" w:eastAsia="it-IT"/>
        </w:rPr>
        <w:t>Biology, NARILIS,</w:t>
      </w:r>
      <w:r w:rsidR="00AD2CAB">
        <w:rPr>
          <w:rFonts w:ascii="Times New Roman" w:eastAsia="Times New Roman" w:hAnsi="Times New Roman" w:cs="Times New Roman"/>
          <w:sz w:val="24"/>
          <w:szCs w:val="24"/>
          <w:shd w:val="clear" w:color="auto" w:fill="FFFFFF"/>
          <w:lang w:val="en-US" w:eastAsia="it-IT"/>
        </w:rPr>
        <w:t xml:space="preserve"> </w:t>
      </w:r>
      <w:r w:rsidR="009670C1">
        <w:rPr>
          <w:rFonts w:ascii="Times New Roman" w:eastAsia="Times New Roman" w:hAnsi="Times New Roman" w:cs="Times New Roman"/>
          <w:sz w:val="24"/>
          <w:szCs w:val="24"/>
          <w:shd w:val="clear" w:color="auto" w:fill="FFFFFF"/>
          <w:lang w:val="en-US" w:eastAsia="it-IT"/>
        </w:rPr>
        <w:t>University of Namur, Namur, Belgium.</w:t>
      </w:r>
    </w:p>
    <w:p w14:paraId="4824C81D" w14:textId="28C5CE86" w:rsidR="002B101E" w:rsidRPr="006D6038" w:rsidRDefault="00C26BE5" w:rsidP="00270044">
      <w:pPr>
        <w:tabs>
          <w:tab w:val="left" w:pos="360"/>
        </w:tabs>
        <w:autoSpaceDE w:val="0"/>
        <w:autoSpaceDN w:val="0"/>
        <w:adjustRightInd w:val="0"/>
        <w:spacing w:after="0" w:line="480" w:lineRule="auto"/>
        <w:contextualSpacing/>
        <w:jc w:val="both"/>
        <w:rPr>
          <w:rFonts w:ascii="Times New Roman" w:eastAsia="Times New Roman" w:hAnsi="Times New Roman" w:cs="Times New Roman"/>
          <w:sz w:val="24"/>
          <w:szCs w:val="24"/>
          <w:shd w:val="clear" w:color="auto" w:fill="FFFFFF"/>
          <w:lang w:val="en-US" w:eastAsia="it-IT"/>
        </w:rPr>
      </w:pPr>
      <w:r w:rsidRPr="00CB51D5">
        <w:rPr>
          <w:rFonts w:ascii="Times New Roman" w:eastAsia="Times New Roman" w:hAnsi="Times New Roman" w:cs="Times New Roman"/>
          <w:sz w:val="24"/>
          <w:szCs w:val="24"/>
          <w:shd w:val="clear" w:color="auto" w:fill="FFFFFF"/>
          <w:vertAlign w:val="superscript"/>
          <w:lang w:val="en-US" w:eastAsia="it-IT"/>
        </w:rPr>
        <w:t>*</w:t>
      </w:r>
      <w:r w:rsidRPr="00CB51D5">
        <w:rPr>
          <w:rFonts w:ascii="Times New Roman" w:eastAsia="Times New Roman" w:hAnsi="Times New Roman" w:cs="Times New Roman"/>
          <w:sz w:val="24"/>
          <w:szCs w:val="24"/>
          <w:shd w:val="clear" w:color="auto" w:fill="FFFFFF"/>
          <w:lang w:val="en-US" w:eastAsia="it-IT"/>
        </w:rPr>
        <w:t xml:space="preserve">TA and AED </w:t>
      </w:r>
      <w:r w:rsidR="00F0586A">
        <w:rPr>
          <w:rFonts w:ascii="Times New Roman" w:eastAsia="Times New Roman" w:hAnsi="Times New Roman" w:cs="Times New Roman"/>
          <w:sz w:val="24"/>
          <w:szCs w:val="24"/>
          <w:shd w:val="clear" w:color="auto" w:fill="FFFFFF"/>
          <w:lang w:val="en-US" w:eastAsia="it-IT"/>
        </w:rPr>
        <w:t>contribute equally to this work as co-last authors</w:t>
      </w:r>
      <w:r w:rsidRPr="00CB51D5">
        <w:rPr>
          <w:rFonts w:ascii="Times New Roman" w:eastAsia="Times New Roman" w:hAnsi="Times New Roman" w:cs="Times New Roman"/>
          <w:sz w:val="24"/>
          <w:szCs w:val="24"/>
          <w:shd w:val="clear" w:color="auto" w:fill="FFFFFF"/>
          <w:lang w:val="en-US" w:eastAsia="it-IT"/>
        </w:rPr>
        <w:t>.</w:t>
      </w:r>
      <w:r w:rsidR="002B101E">
        <w:rPr>
          <w:rFonts w:ascii="Times New Roman" w:hAnsi="Times New Roman" w:cs="Times New Roman"/>
          <w:b/>
          <w:bCs/>
          <w:sz w:val="24"/>
          <w:szCs w:val="24"/>
          <w:lang w:val="en-US"/>
        </w:rPr>
        <w:br w:type="page"/>
      </w:r>
    </w:p>
    <w:p w14:paraId="2756BE88" w14:textId="790C7538" w:rsidR="00C26BE5" w:rsidRPr="00CB51D5" w:rsidRDefault="00C26BE5" w:rsidP="00270044">
      <w:pPr>
        <w:spacing w:after="100" w:afterAutospacing="1" w:line="480" w:lineRule="auto"/>
        <w:jc w:val="both"/>
        <w:rPr>
          <w:rFonts w:ascii="Times New Roman" w:hAnsi="Times New Roman" w:cs="Times New Roman"/>
          <w:sz w:val="24"/>
          <w:szCs w:val="24"/>
          <w:lang w:val="en-US"/>
        </w:rPr>
      </w:pPr>
      <w:r w:rsidRPr="00CB51D5">
        <w:rPr>
          <w:rFonts w:ascii="Times New Roman" w:hAnsi="Times New Roman" w:cs="Times New Roman"/>
          <w:b/>
          <w:bCs/>
          <w:sz w:val="24"/>
          <w:szCs w:val="24"/>
          <w:lang w:val="en-US"/>
        </w:rPr>
        <w:lastRenderedPageBreak/>
        <w:t>Abstract:</w:t>
      </w:r>
      <w:r w:rsidRPr="00CB51D5">
        <w:rPr>
          <w:rFonts w:ascii="Times New Roman" w:hAnsi="Times New Roman" w:cs="Times New Roman"/>
          <w:sz w:val="24"/>
          <w:szCs w:val="24"/>
          <w:lang w:val="en-US"/>
        </w:rPr>
        <w:t xml:space="preserve"> </w:t>
      </w:r>
      <w:r w:rsidR="00691C69" w:rsidRPr="00CB51D5">
        <w:rPr>
          <w:rFonts w:ascii="Times New Roman" w:hAnsi="Times New Roman" w:cs="Times New Roman"/>
          <w:sz w:val="24"/>
          <w:szCs w:val="24"/>
          <w:lang w:val="en-US"/>
        </w:rPr>
        <w:t>Renal p</w:t>
      </w:r>
      <w:r w:rsidRPr="00CB51D5">
        <w:rPr>
          <w:rFonts w:ascii="Times New Roman" w:hAnsi="Times New Roman" w:cs="Times New Roman"/>
          <w:sz w:val="24"/>
          <w:szCs w:val="24"/>
          <w:lang w:val="en-US"/>
        </w:rPr>
        <w:t>roximal tubules are a primary site of injury in metabolic diseases. In obese patients and animal models, proximal tubular epithelial cells (PTEC</w:t>
      </w:r>
      <w:r w:rsidR="00581D04">
        <w:rPr>
          <w:rFonts w:ascii="Times New Roman" w:hAnsi="Times New Roman" w:cs="Times New Roman"/>
          <w:sz w:val="24"/>
          <w:szCs w:val="24"/>
          <w:lang w:val="en-US"/>
        </w:rPr>
        <w:t>s</w:t>
      </w:r>
      <w:r w:rsidRPr="00CB51D5">
        <w:rPr>
          <w:rFonts w:ascii="Times New Roman" w:hAnsi="Times New Roman" w:cs="Times New Roman"/>
          <w:sz w:val="24"/>
          <w:szCs w:val="24"/>
          <w:lang w:val="en-US"/>
        </w:rPr>
        <w:t xml:space="preserve">) </w:t>
      </w:r>
      <w:r w:rsidRPr="00CB51D5">
        <w:rPr>
          <w:rFonts w:ascii="Times New Roman" w:eastAsia="Times New Roman" w:hAnsi="Times New Roman" w:cs="Times New Roman"/>
          <w:sz w:val="24"/>
          <w:szCs w:val="24"/>
          <w:lang w:val="en-US" w:eastAsia="it-IT"/>
        </w:rPr>
        <w:t xml:space="preserve">display dysregulated lipid metabolism, organelle dysfunctions, and oxidative stress </w:t>
      </w:r>
      <w:r w:rsidR="004B51A1" w:rsidRPr="00CB51D5">
        <w:rPr>
          <w:rFonts w:ascii="Times New Roman" w:eastAsia="Times New Roman" w:hAnsi="Times New Roman" w:cs="Times New Roman"/>
          <w:sz w:val="24"/>
          <w:szCs w:val="24"/>
          <w:lang w:val="en-US" w:eastAsia="it-IT"/>
        </w:rPr>
        <w:t xml:space="preserve">that </w:t>
      </w:r>
      <w:r w:rsidRPr="00CB51D5">
        <w:rPr>
          <w:rFonts w:ascii="Times New Roman" w:eastAsia="Times New Roman" w:hAnsi="Times New Roman" w:cs="Times New Roman"/>
          <w:sz w:val="24"/>
          <w:szCs w:val="24"/>
          <w:lang w:val="en-US" w:eastAsia="it-IT"/>
        </w:rPr>
        <w:t>contribute to interstitial inflammation, fibrosis and ultimately end-stage renal failure</w:t>
      </w:r>
      <w:r w:rsidRPr="00CB51D5">
        <w:rPr>
          <w:rFonts w:ascii="Times New Roman" w:hAnsi="Times New Roman" w:cs="Times New Roman"/>
          <w:sz w:val="24"/>
          <w:szCs w:val="24"/>
          <w:lang w:val="en-US"/>
        </w:rPr>
        <w:t xml:space="preserve">. Our research group previously pointed out AMP-activated protein kinase (AMPK) </w:t>
      </w:r>
      <w:r w:rsidR="00240005" w:rsidRPr="00CB51D5">
        <w:rPr>
          <w:rFonts w:ascii="Times New Roman" w:hAnsi="Times New Roman" w:cs="Times New Roman"/>
          <w:sz w:val="24"/>
          <w:szCs w:val="24"/>
          <w:lang w:val="en-US"/>
        </w:rPr>
        <w:t xml:space="preserve">decline </w:t>
      </w:r>
      <w:r w:rsidRPr="00CB51D5">
        <w:rPr>
          <w:rFonts w:ascii="Times New Roman" w:hAnsi="Times New Roman" w:cs="Times New Roman"/>
          <w:sz w:val="24"/>
          <w:szCs w:val="24"/>
          <w:lang w:val="en-US"/>
        </w:rPr>
        <w:t>as a driver of obesity-induced renal disease. Because PTEC</w:t>
      </w:r>
      <w:r w:rsidR="00581D04">
        <w:rPr>
          <w:rFonts w:ascii="Times New Roman" w:hAnsi="Times New Roman" w:cs="Times New Roman"/>
          <w:sz w:val="24"/>
          <w:szCs w:val="24"/>
          <w:lang w:val="en-US"/>
        </w:rPr>
        <w:t>s</w:t>
      </w:r>
      <w:r w:rsidRPr="00CB51D5">
        <w:rPr>
          <w:rFonts w:ascii="Times New Roman" w:hAnsi="Times New Roman" w:cs="Times New Roman"/>
          <w:sz w:val="24"/>
          <w:szCs w:val="24"/>
          <w:lang w:val="en-US"/>
        </w:rPr>
        <w:t xml:space="preserve"> display high </w:t>
      </w:r>
      <w:r w:rsidR="000A7DD2">
        <w:rPr>
          <w:rFonts w:ascii="Times New Roman" w:hAnsi="Times New Roman" w:cs="Times New Roman"/>
          <w:sz w:val="24"/>
          <w:szCs w:val="24"/>
          <w:lang w:val="en-US"/>
        </w:rPr>
        <w:t>macroautophagic/</w:t>
      </w:r>
      <w:r w:rsidRPr="00CB51D5">
        <w:rPr>
          <w:rFonts w:ascii="Times New Roman" w:hAnsi="Times New Roman" w:cs="Times New Roman"/>
          <w:sz w:val="24"/>
          <w:szCs w:val="24"/>
          <w:lang w:val="en-US"/>
        </w:rPr>
        <w:t>autophagic activity and rely heavily on their endo-lysosomal system, we investigated the effect of lipid stress on autophagic flux and lysosome</w:t>
      </w:r>
      <w:r w:rsidR="00C6421E" w:rsidRPr="00CB51D5">
        <w:rPr>
          <w:rFonts w:ascii="Times New Roman" w:hAnsi="Times New Roman" w:cs="Times New Roman"/>
          <w:sz w:val="24"/>
          <w:szCs w:val="24"/>
          <w:lang w:val="en-US"/>
        </w:rPr>
        <w:t>s</w:t>
      </w:r>
      <w:r w:rsidRPr="00CB51D5">
        <w:rPr>
          <w:rFonts w:ascii="Times New Roman" w:hAnsi="Times New Roman" w:cs="Times New Roman"/>
          <w:sz w:val="24"/>
          <w:szCs w:val="24"/>
          <w:lang w:val="en-US"/>
        </w:rPr>
        <w:t xml:space="preserve"> in these cells. Using a model of highly differentiated primary PTEC</w:t>
      </w:r>
      <w:r w:rsidR="00581D04">
        <w:rPr>
          <w:rFonts w:ascii="Times New Roman" w:hAnsi="Times New Roman" w:cs="Times New Roman"/>
          <w:sz w:val="24"/>
          <w:szCs w:val="24"/>
          <w:lang w:val="en-US"/>
        </w:rPr>
        <w:t>s</w:t>
      </w:r>
      <w:r w:rsidRPr="00CB51D5">
        <w:rPr>
          <w:rFonts w:ascii="Times New Roman" w:hAnsi="Times New Roman" w:cs="Times New Roman"/>
          <w:sz w:val="24"/>
          <w:szCs w:val="24"/>
          <w:lang w:val="en-US"/>
        </w:rPr>
        <w:t xml:space="preserve"> challenged with palmit</w:t>
      </w:r>
      <w:r w:rsidR="00294C6C">
        <w:rPr>
          <w:rFonts w:ascii="Times New Roman" w:hAnsi="Times New Roman" w:cs="Times New Roman"/>
          <w:sz w:val="24"/>
          <w:szCs w:val="24"/>
          <w:lang w:val="en-US"/>
        </w:rPr>
        <w:t>ate</w:t>
      </w:r>
      <w:r w:rsidRPr="00CB51D5">
        <w:rPr>
          <w:rFonts w:ascii="Times New Roman" w:hAnsi="Times New Roman" w:cs="Times New Roman"/>
          <w:sz w:val="24"/>
          <w:szCs w:val="24"/>
          <w:lang w:val="en-US"/>
        </w:rPr>
        <w:t xml:space="preserve">, our data </w:t>
      </w:r>
      <w:r w:rsidRPr="00CB51D5">
        <w:rPr>
          <w:rFonts w:ascii="Times New Roman" w:eastAsia="Calibri" w:hAnsi="Times New Roman" w:cs="Times New Roman"/>
          <w:kern w:val="2"/>
          <w:sz w:val="24"/>
          <w:szCs w:val="24"/>
          <w:lang w:val="en-US"/>
          <w14:ligatures w14:val="standardContextual"/>
        </w:rPr>
        <w:t>placed lysosomes at the cornerstone</w:t>
      </w:r>
      <w:r w:rsidR="00AB1200">
        <w:rPr>
          <w:rFonts w:ascii="Times New Roman" w:eastAsia="Calibri" w:hAnsi="Times New Roman" w:cs="Times New Roman"/>
          <w:kern w:val="2"/>
          <w:sz w:val="24"/>
          <w:szCs w:val="24"/>
          <w:lang w:val="en-US"/>
          <w14:ligatures w14:val="standardContextual"/>
        </w:rPr>
        <w:t xml:space="preserve"> of</w:t>
      </w:r>
      <w:r w:rsidRPr="00CB51D5">
        <w:rPr>
          <w:rFonts w:ascii="Times New Roman" w:eastAsia="Calibri" w:hAnsi="Times New Roman" w:cs="Times New Roman"/>
          <w:kern w:val="2"/>
          <w:sz w:val="24"/>
          <w:szCs w:val="24"/>
          <w:lang w:val="en-US"/>
          <w14:ligatures w14:val="standardContextual"/>
        </w:rPr>
        <w:t xml:space="preserve"> the lipotoxic phenotype. </w:t>
      </w:r>
      <w:r w:rsidRPr="00CB51D5">
        <w:rPr>
          <w:rFonts w:ascii="Times New Roman" w:hAnsi="Times New Roman" w:cs="Times New Roman"/>
          <w:sz w:val="24"/>
          <w:szCs w:val="24"/>
          <w:lang w:val="en-US"/>
        </w:rPr>
        <w:t>As soon as 6 h after palmit</w:t>
      </w:r>
      <w:r w:rsidR="00294C6C">
        <w:rPr>
          <w:rFonts w:ascii="Times New Roman" w:hAnsi="Times New Roman" w:cs="Times New Roman"/>
          <w:sz w:val="24"/>
          <w:szCs w:val="24"/>
          <w:lang w:val="en-US"/>
        </w:rPr>
        <w:t>ate</w:t>
      </w:r>
      <w:r w:rsidRPr="00CB51D5">
        <w:rPr>
          <w:rFonts w:ascii="Times New Roman" w:hAnsi="Times New Roman" w:cs="Times New Roman"/>
          <w:sz w:val="24"/>
          <w:szCs w:val="24"/>
          <w:lang w:val="en-US"/>
        </w:rPr>
        <w:t xml:space="preserve"> exposure, cells displayed impaired lysosomal acidification subsequently leading to autophagosome accumulation and activation of lysosomal biogenesis. We also showed the inability of lysosomal quality control to restore acidic pH which finally drove PTEC</w:t>
      </w:r>
      <w:r w:rsidR="00581D04">
        <w:rPr>
          <w:rFonts w:ascii="Times New Roman" w:hAnsi="Times New Roman" w:cs="Times New Roman"/>
          <w:sz w:val="24"/>
          <w:szCs w:val="24"/>
          <w:lang w:val="en-US"/>
        </w:rPr>
        <w:t>s</w:t>
      </w:r>
      <w:r w:rsidRPr="00CB51D5">
        <w:rPr>
          <w:rFonts w:ascii="Times New Roman" w:hAnsi="Times New Roman" w:cs="Times New Roman"/>
          <w:sz w:val="24"/>
          <w:szCs w:val="24"/>
          <w:lang w:val="en-US"/>
        </w:rPr>
        <w:t xml:space="preserve"> dedifferentiation. When palmit</w:t>
      </w:r>
      <w:r w:rsidR="00294C6C">
        <w:rPr>
          <w:rFonts w:ascii="Times New Roman" w:hAnsi="Times New Roman" w:cs="Times New Roman"/>
          <w:sz w:val="24"/>
          <w:szCs w:val="24"/>
          <w:lang w:val="en-US"/>
        </w:rPr>
        <w:t>ate</w:t>
      </w:r>
      <w:r w:rsidRPr="00CB51D5">
        <w:rPr>
          <w:rFonts w:ascii="Times New Roman" w:hAnsi="Times New Roman" w:cs="Times New Roman"/>
          <w:sz w:val="24"/>
          <w:szCs w:val="24"/>
          <w:lang w:val="en-US"/>
        </w:rPr>
        <w:t>-induced AMPK activity</w:t>
      </w:r>
      <w:r w:rsidR="009B5F4F" w:rsidRPr="00CB51D5">
        <w:rPr>
          <w:rFonts w:ascii="Times New Roman" w:hAnsi="Times New Roman" w:cs="Times New Roman"/>
          <w:sz w:val="24"/>
          <w:szCs w:val="24"/>
          <w:lang w:val="en-US"/>
        </w:rPr>
        <w:t xml:space="preserve"> </w:t>
      </w:r>
      <w:r w:rsidR="00240005" w:rsidRPr="00CB51D5">
        <w:rPr>
          <w:rFonts w:ascii="Times New Roman" w:hAnsi="Times New Roman" w:cs="Times New Roman"/>
          <w:sz w:val="24"/>
          <w:szCs w:val="24"/>
          <w:lang w:val="en-US"/>
        </w:rPr>
        <w:t>decline</w:t>
      </w:r>
      <w:r w:rsidRPr="00CB51D5">
        <w:rPr>
          <w:rFonts w:ascii="Times New Roman" w:hAnsi="Times New Roman" w:cs="Times New Roman"/>
          <w:sz w:val="24"/>
          <w:szCs w:val="24"/>
          <w:lang w:val="en-US"/>
        </w:rPr>
        <w:t xml:space="preserve"> was prevented by AMPK activators, lysosomal acidification and the differentiation profile of PTEC</w:t>
      </w:r>
      <w:r w:rsidR="00581D04">
        <w:rPr>
          <w:rFonts w:ascii="Times New Roman" w:hAnsi="Times New Roman" w:cs="Times New Roman"/>
          <w:sz w:val="24"/>
          <w:szCs w:val="24"/>
          <w:lang w:val="en-US"/>
        </w:rPr>
        <w:t>s</w:t>
      </w:r>
      <w:r w:rsidRPr="00CB51D5">
        <w:rPr>
          <w:rFonts w:ascii="Times New Roman" w:hAnsi="Times New Roman" w:cs="Times New Roman"/>
          <w:sz w:val="24"/>
          <w:szCs w:val="24"/>
          <w:lang w:val="en-US"/>
        </w:rPr>
        <w:t xml:space="preserve"> were preserved. Our work provided key insights on the importance of lysosomes in PTEC</w:t>
      </w:r>
      <w:r w:rsidR="00581D04">
        <w:rPr>
          <w:rFonts w:ascii="Times New Roman" w:hAnsi="Times New Roman" w:cs="Times New Roman"/>
          <w:sz w:val="24"/>
          <w:szCs w:val="24"/>
          <w:lang w:val="en-US"/>
        </w:rPr>
        <w:t>s</w:t>
      </w:r>
      <w:r w:rsidRPr="00CB51D5">
        <w:rPr>
          <w:rFonts w:ascii="Times New Roman" w:hAnsi="Times New Roman" w:cs="Times New Roman"/>
          <w:sz w:val="24"/>
          <w:szCs w:val="24"/>
          <w:lang w:val="en-US"/>
        </w:rPr>
        <w:t xml:space="preserve"> homeostasis and </w:t>
      </w:r>
      <w:proofErr w:type="spellStart"/>
      <w:r w:rsidRPr="00CB51D5">
        <w:rPr>
          <w:rFonts w:ascii="Times New Roman" w:hAnsi="Times New Roman" w:cs="Times New Roman"/>
          <w:sz w:val="24"/>
          <w:szCs w:val="24"/>
          <w:lang w:val="en-US"/>
        </w:rPr>
        <w:t>lipotoxicity</w:t>
      </w:r>
      <w:proofErr w:type="spellEnd"/>
      <w:r w:rsidRPr="00CB51D5">
        <w:rPr>
          <w:rFonts w:ascii="Times New Roman" w:hAnsi="Times New Roman" w:cs="Times New Roman"/>
          <w:sz w:val="24"/>
          <w:szCs w:val="24"/>
          <w:lang w:val="en-US"/>
        </w:rPr>
        <w:t xml:space="preserve"> and demonstrated the potential of AMPK in protecting the organelle from lipid stress.</w:t>
      </w:r>
    </w:p>
    <w:p w14:paraId="45D82E10" w14:textId="21E1F3D5" w:rsidR="00C26BE5" w:rsidRPr="00CB51D5" w:rsidRDefault="00C26BE5" w:rsidP="00270044">
      <w:pPr>
        <w:spacing w:after="100" w:afterAutospacing="1" w:line="480" w:lineRule="auto"/>
        <w:jc w:val="both"/>
        <w:rPr>
          <w:rFonts w:ascii="Times New Roman" w:hAnsi="Times New Roman" w:cs="Times New Roman"/>
          <w:sz w:val="24"/>
          <w:szCs w:val="24"/>
          <w:lang w:val="en-US"/>
        </w:rPr>
      </w:pPr>
      <w:r w:rsidRPr="00CB51D5">
        <w:rPr>
          <w:rFonts w:ascii="Times New Roman" w:hAnsi="Times New Roman" w:cs="Times New Roman"/>
          <w:b/>
          <w:bCs/>
          <w:sz w:val="24"/>
          <w:szCs w:val="24"/>
          <w:lang w:val="en-US"/>
        </w:rPr>
        <w:t>Keywords:</w:t>
      </w:r>
      <w:r w:rsidRPr="00CB51D5">
        <w:rPr>
          <w:rFonts w:ascii="Times New Roman" w:hAnsi="Times New Roman" w:cs="Times New Roman"/>
          <w:sz w:val="24"/>
          <w:szCs w:val="24"/>
          <w:lang w:val="en-US"/>
        </w:rPr>
        <w:t xml:space="preserve"> </w:t>
      </w:r>
      <w:r w:rsidR="00EE4BC3">
        <w:rPr>
          <w:rFonts w:ascii="Times New Roman" w:hAnsi="Times New Roman" w:cs="Times New Roman"/>
          <w:sz w:val="24"/>
          <w:szCs w:val="24"/>
          <w:lang w:val="en-US"/>
        </w:rPr>
        <w:t>A</w:t>
      </w:r>
      <w:r w:rsidR="005F4D5C">
        <w:rPr>
          <w:rFonts w:ascii="Times New Roman" w:hAnsi="Times New Roman" w:cs="Times New Roman"/>
          <w:sz w:val="24"/>
          <w:szCs w:val="24"/>
          <w:lang w:val="en-US"/>
        </w:rPr>
        <w:t>utophagy;</w:t>
      </w:r>
      <w:r w:rsidR="005F4D5C" w:rsidRPr="00CB51D5">
        <w:rPr>
          <w:rFonts w:ascii="Times New Roman" w:hAnsi="Times New Roman" w:cs="Times New Roman"/>
          <w:sz w:val="24"/>
          <w:szCs w:val="24"/>
          <w:lang w:val="en-US"/>
        </w:rPr>
        <w:t xml:space="preserve"> </w:t>
      </w:r>
      <w:r w:rsidRPr="00CB51D5">
        <w:rPr>
          <w:rFonts w:ascii="Times New Roman" w:hAnsi="Times New Roman" w:cs="Times New Roman"/>
          <w:sz w:val="24"/>
          <w:szCs w:val="24"/>
          <w:lang w:val="en-US"/>
        </w:rPr>
        <w:t>chronic kidney disease; lipid accumulation;</w:t>
      </w:r>
      <w:r w:rsidR="001F4012">
        <w:rPr>
          <w:rFonts w:ascii="Times New Roman" w:hAnsi="Times New Roman" w:cs="Times New Roman"/>
          <w:sz w:val="24"/>
          <w:szCs w:val="24"/>
          <w:lang w:val="en-US"/>
        </w:rPr>
        <w:t xml:space="preserve"> </w:t>
      </w:r>
      <w:r w:rsidR="001F4012" w:rsidRPr="00CB51D5">
        <w:rPr>
          <w:rFonts w:ascii="Times New Roman" w:hAnsi="Times New Roman" w:cs="Times New Roman"/>
          <w:sz w:val="24"/>
          <w:szCs w:val="24"/>
          <w:lang w:val="en-US"/>
        </w:rPr>
        <w:t xml:space="preserve">obesity; </w:t>
      </w:r>
      <w:r w:rsidRPr="00CB51D5">
        <w:rPr>
          <w:rFonts w:ascii="Times New Roman" w:hAnsi="Times New Roman" w:cs="Times New Roman"/>
          <w:sz w:val="24"/>
          <w:szCs w:val="24"/>
          <w:lang w:val="en-US"/>
        </w:rPr>
        <w:t xml:space="preserve">proximal </w:t>
      </w:r>
      <w:proofErr w:type="gramStart"/>
      <w:r w:rsidRPr="00CB51D5">
        <w:rPr>
          <w:rFonts w:ascii="Times New Roman" w:hAnsi="Times New Roman" w:cs="Times New Roman"/>
          <w:sz w:val="24"/>
          <w:szCs w:val="24"/>
          <w:lang w:val="en-US"/>
        </w:rPr>
        <w:t>tubules</w:t>
      </w:r>
      <w:proofErr w:type="gramEnd"/>
      <w:r w:rsidR="00A72D2E">
        <w:rPr>
          <w:rFonts w:ascii="Times New Roman" w:hAnsi="Times New Roman" w:cs="Times New Roman"/>
          <w:sz w:val="24"/>
          <w:szCs w:val="24"/>
          <w:lang w:val="en-US"/>
        </w:rPr>
        <w:t>.</w:t>
      </w:r>
    </w:p>
    <w:p w14:paraId="0CD0A136" w14:textId="5FC46C5E" w:rsidR="002B101E" w:rsidRPr="006B2C44" w:rsidRDefault="00C26BE5" w:rsidP="00270044">
      <w:pPr>
        <w:spacing w:after="100" w:afterAutospacing="1" w:line="480" w:lineRule="auto"/>
        <w:jc w:val="both"/>
        <w:rPr>
          <w:rFonts w:ascii="Times New Roman" w:hAnsi="Times New Roman" w:cs="Times New Roman"/>
          <w:sz w:val="24"/>
          <w:szCs w:val="24"/>
          <w:lang w:val="en-US"/>
        </w:rPr>
      </w:pPr>
      <w:r w:rsidRPr="00CB51D5">
        <w:rPr>
          <w:rFonts w:ascii="Times New Roman" w:hAnsi="Times New Roman" w:cs="Times New Roman"/>
          <w:b/>
          <w:bCs/>
          <w:sz w:val="24"/>
          <w:szCs w:val="24"/>
          <w:lang w:val="en-US"/>
        </w:rPr>
        <w:t>Abbreviation list:</w:t>
      </w:r>
      <w:r w:rsidRPr="00CB51D5">
        <w:rPr>
          <w:rFonts w:ascii="Times New Roman" w:hAnsi="Times New Roman" w:cs="Times New Roman"/>
          <w:sz w:val="24"/>
          <w:szCs w:val="24"/>
          <w:lang w:val="en-US"/>
        </w:rPr>
        <w:t xml:space="preserve"> </w:t>
      </w:r>
      <w:bookmarkStart w:id="0" w:name="_Hlk180160612"/>
      <w:r w:rsidR="000A7DD2">
        <w:rPr>
          <w:rFonts w:ascii="Times New Roman" w:hAnsi="Times New Roman" w:cs="Times New Roman"/>
          <w:sz w:val="24"/>
          <w:szCs w:val="24"/>
          <w:lang w:val="en-US"/>
        </w:rPr>
        <w:t>ACAC</w:t>
      </w:r>
      <w:bookmarkEnd w:id="0"/>
      <w:r w:rsidRPr="00CB51D5">
        <w:rPr>
          <w:rFonts w:ascii="Times New Roman" w:hAnsi="Times New Roman" w:cs="Times New Roman"/>
          <w:sz w:val="24"/>
          <w:szCs w:val="24"/>
          <w:lang w:val="en-US"/>
        </w:rPr>
        <w:t xml:space="preserve">: acetyl-CoA carboxylase; </w:t>
      </w:r>
      <w:r w:rsidR="00344A78">
        <w:rPr>
          <w:rFonts w:ascii="Times New Roman" w:hAnsi="Times New Roman" w:cs="Times New Roman"/>
          <w:sz w:val="24"/>
          <w:szCs w:val="24"/>
          <w:lang w:val="en-US"/>
        </w:rPr>
        <w:t xml:space="preserve">ACTB: actin beta; </w:t>
      </w:r>
      <w:r w:rsidRPr="00CB51D5">
        <w:rPr>
          <w:rFonts w:ascii="Times New Roman" w:hAnsi="Times New Roman" w:cs="Times New Roman"/>
          <w:sz w:val="24"/>
          <w:szCs w:val="24"/>
          <w:lang w:val="en-US"/>
        </w:rPr>
        <w:t>AICAR: 5-aminoimidazole</w:t>
      </w:r>
      <w:r w:rsidRPr="00405F18">
        <w:rPr>
          <w:rFonts w:ascii="Times New Roman" w:hAnsi="Times New Roman" w:cs="Times New Roman"/>
          <w:sz w:val="24"/>
          <w:szCs w:val="24"/>
          <w:lang w:val="en-US"/>
        </w:rPr>
        <w:t>-4-carboxamide-1-β-D-</w:t>
      </w:r>
      <w:proofErr w:type="spellStart"/>
      <w:r w:rsidRPr="00405F18">
        <w:rPr>
          <w:rFonts w:ascii="Times New Roman" w:hAnsi="Times New Roman" w:cs="Times New Roman"/>
          <w:sz w:val="24"/>
          <w:szCs w:val="24"/>
          <w:lang w:val="en-US"/>
        </w:rPr>
        <w:t>ribofuranoside</w:t>
      </w:r>
      <w:proofErr w:type="spellEnd"/>
      <w:r w:rsidRPr="00405F18">
        <w:rPr>
          <w:rFonts w:ascii="Times New Roman" w:hAnsi="Times New Roman" w:cs="Times New Roman"/>
          <w:sz w:val="24"/>
          <w:szCs w:val="24"/>
          <w:lang w:val="en-US"/>
        </w:rPr>
        <w:t xml:space="preserve">; AMPK: AMP-activated </w:t>
      </w:r>
      <w:r w:rsidR="001D3E74" w:rsidRPr="00405F18">
        <w:rPr>
          <w:rFonts w:ascii="Times New Roman" w:hAnsi="Times New Roman" w:cs="Times New Roman"/>
          <w:sz w:val="24"/>
          <w:szCs w:val="24"/>
          <w:lang w:val="en-US"/>
        </w:rPr>
        <w:t xml:space="preserve">protein </w:t>
      </w:r>
      <w:r w:rsidRPr="00405F18">
        <w:rPr>
          <w:rFonts w:ascii="Times New Roman" w:hAnsi="Times New Roman" w:cs="Times New Roman"/>
          <w:sz w:val="24"/>
          <w:szCs w:val="24"/>
          <w:lang w:val="en-US"/>
        </w:rPr>
        <w:t>kinase; APQ1: aquaporin</w:t>
      </w:r>
      <w:r w:rsidR="000A7DD2">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1</w:t>
      </w:r>
      <w:r w:rsidR="000A7DD2">
        <w:rPr>
          <w:rFonts w:ascii="Times New Roman" w:hAnsi="Times New Roman" w:cs="Times New Roman"/>
          <w:sz w:val="24"/>
          <w:szCs w:val="24"/>
          <w:lang w:val="en-US"/>
        </w:rPr>
        <w:t xml:space="preserve"> (Colton blood group)</w:t>
      </w:r>
      <w:r w:rsidRPr="00405F18">
        <w:rPr>
          <w:rFonts w:ascii="Times New Roman" w:hAnsi="Times New Roman" w:cs="Times New Roman"/>
          <w:sz w:val="24"/>
          <w:szCs w:val="24"/>
          <w:lang w:val="en-US"/>
        </w:rPr>
        <w:t xml:space="preserve">; BSA: bovine serum albumin; </w:t>
      </w:r>
      <w:r w:rsidR="00C732B8" w:rsidRPr="00C732B8">
        <w:rPr>
          <w:rFonts w:ascii="Times New Roman" w:hAnsi="Times New Roman" w:cs="Times New Roman"/>
          <w:sz w:val="24"/>
          <w:szCs w:val="24"/>
          <w:lang w:val="en-US"/>
        </w:rPr>
        <w:t>C</w:t>
      </w:r>
      <w:r w:rsidR="00C732B8">
        <w:rPr>
          <w:rFonts w:ascii="Times New Roman" w:hAnsi="Times New Roman" w:cs="Times New Roman"/>
          <w:sz w:val="24"/>
          <w:szCs w:val="24"/>
          <w:lang w:val="en-US"/>
        </w:rPr>
        <w:t>DH</w:t>
      </w:r>
      <w:r w:rsidR="00C732B8" w:rsidRPr="00C732B8">
        <w:rPr>
          <w:rFonts w:ascii="Times New Roman" w:hAnsi="Times New Roman" w:cs="Times New Roman"/>
          <w:sz w:val="24"/>
          <w:szCs w:val="24"/>
          <w:lang w:val="en-US"/>
        </w:rPr>
        <w:t>16</w:t>
      </w:r>
      <w:r w:rsidR="00C732B8">
        <w:rPr>
          <w:rFonts w:ascii="Times New Roman" w:hAnsi="Times New Roman" w:cs="Times New Roman"/>
          <w:sz w:val="24"/>
          <w:szCs w:val="24"/>
          <w:lang w:val="en-US"/>
        </w:rPr>
        <w:t>:</w:t>
      </w:r>
      <w:r w:rsidR="00C732B8" w:rsidRPr="00C732B8">
        <w:rPr>
          <w:rFonts w:ascii="Times New Roman" w:hAnsi="Times New Roman" w:cs="Times New Roman"/>
          <w:sz w:val="24"/>
          <w:szCs w:val="24"/>
          <w:lang w:val="en-US"/>
        </w:rPr>
        <w:t xml:space="preserve"> cadherin 16</w:t>
      </w:r>
      <w:r w:rsidR="00C732B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CKD: chronic kidney disease;</w:t>
      </w:r>
      <w:r w:rsidR="006B2C44">
        <w:rPr>
          <w:rFonts w:ascii="Times New Roman" w:hAnsi="Times New Roman" w:cs="Times New Roman"/>
          <w:sz w:val="24"/>
          <w:szCs w:val="24"/>
          <w:lang w:val="en-US"/>
        </w:rPr>
        <w:t xml:space="preserve"> </w:t>
      </w:r>
      <w:bookmarkStart w:id="1" w:name="OLE_LINK1"/>
      <w:r w:rsidR="006B2C44">
        <w:rPr>
          <w:rFonts w:ascii="Times New Roman" w:hAnsi="Times New Roman" w:cs="Times New Roman"/>
          <w:sz w:val="24"/>
          <w:szCs w:val="24"/>
          <w:lang w:val="en-US"/>
        </w:rPr>
        <w:t>CTSB: cathepsin B</w:t>
      </w:r>
      <w:bookmarkEnd w:id="1"/>
      <w:r w:rsidR="006B2C44">
        <w:rPr>
          <w:rFonts w:ascii="Times New Roman" w:hAnsi="Times New Roman" w:cs="Times New Roman"/>
          <w:sz w:val="24"/>
          <w:szCs w:val="24"/>
          <w:lang w:val="en-US"/>
        </w:rPr>
        <w:t>;</w:t>
      </w:r>
      <w:r w:rsidR="006B2C44" w:rsidRPr="006B2C44">
        <w:rPr>
          <w:rFonts w:ascii="Times New Roman" w:hAnsi="Times New Roman" w:cs="Times New Roman"/>
          <w:sz w:val="24"/>
          <w:szCs w:val="24"/>
          <w:lang w:val="en-US"/>
        </w:rPr>
        <w:t xml:space="preserve"> </w:t>
      </w:r>
      <w:r w:rsidR="006B2C44">
        <w:rPr>
          <w:rFonts w:ascii="Times New Roman" w:hAnsi="Times New Roman" w:cs="Times New Roman"/>
          <w:sz w:val="24"/>
          <w:szCs w:val="24"/>
          <w:lang w:val="en-US"/>
        </w:rPr>
        <w:t>CTSD: cathepsin D;</w:t>
      </w:r>
      <w:r w:rsidRPr="00405F18">
        <w:rPr>
          <w:rFonts w:ascii="Times New Roman" w:hAnsi="Times New Roman" w:cs="Times New Roman"/>
          <w:sz w:val="24"/>
          <w:szCs w:val="24"/>
          <w:lang w:val="en-US"/>
        </w:rPr>
        <w:t xml:space="preserve"> E</w:t>
      </w:r>
      <w:r w:rsidR="000A7DD2">
        <w:rPr>
          <w:rFonts w:ascii="Times New Roman" w:hAnsi="Times New Roman" w:cs="Times New Roman"/>
          <w:sz w:val="24"/>
          <w:szCs w:val="24"/>
          <w:lang w:val="en-US"/>
        </w:rPr>
        <w:t>PB</w:t>
      </w:r>
      <w:r w:rsidRPr="00405F18">
        <w:rPr>
          <w:rFonts w:ascii="Times New Roman" w:hAnsi="Times New Roman" w:cs="Times New Roman"/>
          <w:sz w:val="24"/>
          <w:szCs w:val="24"/>
          <w:lang w:val="en-US"/>
        </w:rPr>
        <w:t xml:space="preserve">41L5: erythrocyte membrane protein band 4.1 like 5; </w:t>
      </w:r>
      <w:r w:rsidR="000A7DD2">
        <w:rPr>
          <w:rFonts w:ascii="Times New Roman" w:hAnsi="Times New Roman" w:cs="Times New Roman"/>
          <w:sz w:val="24"/>
          <w:szCs w:val="24"/>
          <w:lang w:val="en-US"/>
        </w:rPr>
        <w:t>EIF</w:t>
      </w:r>
      <w:r w:rsidR="000A7DD2" w:rsidRPr="00CB51D5">
        <w:rPr>
          <w:rFonts w:ascii="Times New Roman" w:hAnsi="Times New Roman" w:cs="Times New Roman"/>
          <w:sz w:val="24"/>
          <w:szCs w:val="24"/>
          <w:lang w:val="en-US"/>
        </w:rPr>
        <w:t xml:space="preserve">4EBP1: </w:t>
      </w:r>
      <w:r w:rsidR="000A7DD2">
        <w:rPr>
          <w:rFonts w:ascii="Times New Roman" w:hAnsi="Times New Roman" w:cs="Times New Roman"/>
          <w:sz w:val="24"/>
          <w:szCs w:val="24"/>
          <w:lang w:val="en-US"/>
        </w:rPr>
        <w:t xml:space="preserve">eukaryotic translation initiation factor </w:t>
      </w:r>
      <w:r w:rsidR="000A7DD2" w:rsidRPr="00CB51D5">
        <w:rPr>
          <w:rFonts w:ascii="Times New Roman" w:hAnsi="Times New Roman" w:cs="Times New Roman"/>
          <w:sz w:val="24"/>
          <w:szCs w:val="24"/>
          <w:lang w:val="en-US"/>
        </w:rPr>
        <w:t>4E</w:t>
      </w:r>
      <w:r w:rsidR="000A7DD2">
        <w:rPr>
          <w:rFonts w:ascii="Times New Roman" w:hAnsi="Times New Roman" w:cs="Times New Roman"/>
          <w:sz w:val="24"/>
          <w:szCs w:val="24"/>
          <w:lang w:val="en-US"/>
        </w:rPr>
        <w:t xml:space="preserve"> </w:t>
      </w:r>
      <w:r w:rsidR="000A7DD2" w:rsidRPr="00CB51D5">
        <w:rPr>
          <w:rFonts w:ascii="Times New Roman" w:hAnsi="Times New Roman" w:cs="Times New Roman"/>
          <w:sz w:val="24"/>
          <w:szCs w:val="24"/>
          <w:lang w:val="en-US"/>
        </w:rPr>
        <w:t xml:space="preserve">binding protein 1; </w:t>
      </w:r>
      <w:r w:rsidRPr="00405F18">
        <w:rPr>
          <w:rFonts w:ascii="Times New Roman" w:hAnsi="Times New Roman" w:cs="Times New Roman"/>
          <w:sz w:val="24"/>
          <w:szCs w:val="24"/>
          <w:lang w:val="en-US"/>
        </w:rPr>
        <w:t>EMT: epithelial</w:t>
      </w:r>
      <w:r w:rsidR="000A7DD2">
        <w:rPr>
          <w:rFonts w:ascii="Times New Roman" w:hAnsi="Times New Roman" w:cs="Times New Roman"/>
          <w:sz w:val="24"/>
          <w:szCs w:val="24"/>
          <w:lang w:val="en-US"/>
        </w:rPr>
        <w:t>-</w:t>
      </w:r>
      <w:r w:rsidRPr="00405F18">
        <w:rPr>
          <w:rFonts w:ascii="Times New Roman" w:hAnsi="Times New Roman" w:cs="Times New Roman"/>
          <w:sz w:val="24"/>
          <w:szCs w:val="24"/>
          <w:lang w:val="en-US"/>
        </w:rPr>
        <w:t>to</w:t>
      </w:r>
      <w:r w:rsidR="000A7DD2">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mesenchymal transition; FA: fatty acid; FCCP: carbonyl </w:t>
      </w:r>
      <w:r w:rsidRPr="00405F18">
        <w:rPr>
          <w:rFonts w:ascii="Times New Roman" w:hAnsi="Times New Roman" w:cs="Times New Roman"/>
          <w:sz w:val="24"/>
          <w:szCs w:val="24"/>
          <w:lang w:val="en-US"/>
        </w:rPr>
        <w:lastRenderedPageBreak/>
        <w:t xml:space="preserve">cyanide 4-(trifluoromethoxy)phenylhydrazone; </w:t>
      </w:r>
      <w:r w:rsidR="006B2C44" w:rsidRPr="00405F18">
        <w:rPr>
          <w:rFonts w:ascii="Times New Roman" w:hAnsi="Times New Roman" w:cs="Times New Roman"/>
          <w:sz w:val="24"/>
          <w:szCs w:val="24"/>
          <w:lang w:val="en-US"/>
        </w:rPr>
        <w:t>GFP: green fluorescent protein;</w:t>
      </w:r>
      <w:r w:rsidR="006B2C44" w:rsidRPr="006B2C44">
        <w:rPr>
          <w:lang w:val="en-US"/>
        </w:rPr>
        <w:t xml:space="preserve"> </w:t>
      </w:r>
      <w:r w:rsidR="006B2C44" w:rsidRPr="006B2C44">
        <w:rPr>
          <w:rFonts w:ascii="Times New Roman" w:hAnsi="Times New Roman" w:cs="Times New Roman"/>
          <w:sz w:val="24"/>
          <w:szCs w:val="24"/>
          <w:lang w:val="en-US"/>
        </w:rPr>
        <w:t>GUSB</w:t>
      </w:r>
      <w:r w:rsidR="006B2C44">
        <w:rPr>
          <w:rFonts w:ascii="Times New Roman" w:hAnsi="Times New Roman" w:cs="Times New Roman"/>
          <w:sz w:val="24"/>
          <w:szCs w:val="24"/>
          <w:lang w:val="en-US"/>
        </w:rPr>
        <w:t>:</w:t>
      </w:r>
      <w:r w:rsidR="006B2C44" w:rsidRPr="006B2C44">
        <w:rPr>
          <w:rFonts w:ascii="Times New Roman" w:hAnsi="Times New Roman" w:cs="Times New Roman"/>
          <w:sz w:val="24"/>
          <w:szCs w:val="24"/>
          <w:lang w:val="en-US"/>
        </w:rPr>
        <w:t xml:space="preserve"> glucuronidase beta</w:t>
      </w:r>
      <w:r w:rsidR="006B2C44">
        <w:rPr>
          <w:rFonts w:ascii="Times New Roman" w:hAnsi="Times New Roman" w:cs="Times New Roman"/>
          <w:sz w:val="24"/>
          <w:szCs w:val="24"/>
          <w:lang w:val="en-US"/>
        </w:rPr>
        <w:t>;</w:t>
      </w:r>
      <w:r w:rsidR="006B2C44" w:rsidRPr="00405F18">
        <w:rPr>
          <w:rFonts w:ascii="Times New Roman" w:hAnsi="Times New Roman" w:cs="Times New Roman"/>
          <w:sz w:val="24"/>
          <w:szCs w:val="24"/>
          <w:lang w:val="en-US"/>
        </w:rPr>
        <w:t xml:space="preserve"> </w:t>
      </w:r>
      <w:r w:rsidR="006B2C44" w:rsidRPr="006B2C44">
        <w:rPr>
          <w:rFonts w:ascii="Times New Roman" w:hAnsi="Times New Roman" w:cs="Times New Roman"/>
          <w:sz w:val="24"/>
          <w:szCs w:val="24"/>
          <w:lang w:val="en-US"/>
        </w:rPr>
        <w:t>HEXB</w:t>
      </w:r>
      <w:r w:rsidR="006B2C44">
        <w:rPr>
          <w:rFonts w:ascii="Times New Roman" w:hAnsi="Times New Roman" w:cs="Times New Roman"/>
          <w:sz w:val="24"/>
          <w:szCs w:val="24"/>
          <w:lang w:val="en-US"/>
        </w:rPr>
        <w:t xml:space="preserve">: </w:t>
      </w:r>
      <w:r w:rsidR="006B2C44" w:rsidRPr="006B2C44">
        <w:rPr>
          <w:rFonts w:ascii="Times New Roman" w:hAnsi="Times New Roman" w:cs="Times New Roman"/>
          <w:sz w:val="24"/>
          <w:szCs w:val="24"/>
          <w:lang w:val="en-US"/>
        </w:rPr>
        <w:t>hexosaminidase subunit beta</w:t>
      </w:r>
      <w:r w:rsidR="006B2C44">
        <w:rPr>
          <w:rFonts w:ascii="Times New Roman" w:hAnsi="Times New Roman" w:cs="Times New Roman"/>
          <w:sz w:val="24"/>
          <w:szCs w:val="24"/>
          <w:lang w:val="en-US"/>
        </w:rPr>
        <w:t>;</w:t>
      </w:r>
      <w:r w:rsidR="006B2C44" w:rsidRPr="006B2C44">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LAMP: lysosomal</w:t>
      </w:r>
      <w:r w:rsidR="000A7DD2">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associated membrane protein; LD: lipid droplet; </w:t>
      </w:r>
      <w:r w:rsidR="000A7DD2">
        <w:rPr>
          <w:rFonts w:ascii="Times New Roman" w:hAnsi="Times New Roman" w:cs="Times New Roman"/>
          <w:sz w:val="24"/>
          <w:szCs w:val="24"/>
          <w:lang w:val="en-US"/>
        </w:rPr>
        <w:t>LGALS3</w:t>
      </w:r>
      <w:r w:rsidR="000A7DD2" w:rsidRPr="00405F18">
        <w:rPr>
          <w:rFonts w:ascii="Times New Roman" w:hAnsi="Times New Roman" w:cs="Times New Roman"/>
          <w:sz w:val="24"/>
          <w:szCs w:val="24"/>
          <w:lang w:val="en-US"/>
        </w:rPr>
        <w:t>: galectin</w:t>
      </w:r>
      <w:r w:rsidR="000A7DD2">
        <w:rPr>
          <w:rFonts w:ascii="Times New Roman" w:hAnsi="Times New Roman" w:cs="Times New Roman"/>
          <w:sz w:val="24"/>
          <w:szCs w:val="24"/>
          <w:lang w:val="en-US"/>
        </w:rPr>
        <w:t xml:space="preserve"> </w:t>
      </w:r>
      <w:r w:rsidR="000A7DD2" w:rsidRPr="00405F18">
        <w:rPr>
          <w:rFonts w:ascii="Times New Roman" w:hAnsi="Times New Roman" w:cs="Times New Roman"/>
          <w:sz w:val="24"/>
          <w:szCs w:val="24"/>
          <w:lang w:val="en-US"/>
        </w:rPr>
        <w:t xml:space="preserve">3; </w:t>
      </w:r>
      <w:proofErr w:type="spellStart"/>
      <w:r w:rsidRPr="00405F18">
        <w:rPr>
          <w:rFonts w:ascii="Times New Roman" w:hAnsi="Times New Roman" w:cs="Times New Roman"/>
          <w:sz w:val="24"/>
          <w:szCs w:val="24"/>
          <w:lang w:val="en-US"/>
        </w:rPr>
        <w:t>LLOMe</w:t>
      </w:r>
      <w:proofErr w:type="spellEnd"/>
      <w:r w:rsidRPr="00405F18">
        <w:rPr>
          <w:rFonts w:ascii="Times New Roman" w:hAnsi="Times New Roman" w:cs="Times New Roman"/>
          <w:sz w:val="24"/>
          <w:szCs w:val="24"/>
          <w:lang w:val="en-US"/>
        </w:rPr>
        <w:t xml:space="preserve">: L-leucyl-L-leucine methyl ester hydrobromide; </w:t>
      </w:r>
      <w:r w:rsidR="006D6038" w:rsidRPr="00405F18">
        <w:rPr>
          <w:rFonts w:ascii="Times New Roman" w:hAnsi="Times New Roman" w:cs="Times New Roman"/>
          <w:sz w:val="24"/>
          <w:szCs w:val="24"/>
          <w:lang w:val="en-US"/>
        </w:rPr>
        <w:t xml:space="preserve">LMP: lysosomal membrane permeabilization; </w:t>
      </w:r>
      <w:r w:rsidRPr="00405F18">
        <w:rPr>
          <w:rFonts w:ascii="Times New Roman" w:hAnsi="Times New Roman" w:cs="Times New Roman"/>
          <w:sz w:val="24"/>
          <w:szCs w:val="24"/>
          <w:lang w:val="en-US"/>
        </w:rPr>
        <w:t>L</w:t>
      </w:r>
      <w:r w:rsidR="000A7DD2">
        <w:rPr>
          <w:rFonts w:ascii="Times New Roman" w:hAnsi="Times New Roman" w:cs="Times New Roman"/>
          <w:sz w:val="24"/>
          <w:szCs w:val="24"/>
          <w:lang w:val="en-US"/>
        </w:rPr>
        <w:t>RP</w:t>
      </w:r>
      <w:r w:rsidRPr="00405F18">
        <w:rPr>
          <w:rFonts w:ascii="Times New Roman" w:hAnsi="Times New Roman" w:cs="Times New Roman"/>
          <w:sz w:val="24"/>
          <w:szCs w:val="24"/>
          <w:lang w:val="en-US"/>
        </w:rPr>
        <w:t xml:space="preserve">2: </w:t>
      </w:r>
      <w:r w:rsidR="000A7DD2">
        <w:rPr>
          <w:rFonts w:ascii="Times New Roman" w:hAnsi="Times New Roman" w:cs="Times New Roman"/>
          <w:sz w:val="24"/>
          <w:szCs w:val="24"/>
          <w:lang w:val="en-US"/>
        </w:rPr>
        <w:t xml:space="preserve">LDL </w:t>
      </w:r>
      <w:r w:rsidRPr="00405F18">
        <w:rPr>
          <w:rFonts w:ascii="Times New Roman" w:hAnsi="Times New Roman" w:cs="Times New Roman"/>
          <w:sz w:val="24"/>
          <w:szCs w:val="24"/>
          <w:lang w:val="en-US"/>
        </w:rPr>
        <w:t>receptor</w:t>
      </w:r>
      <w:r w:rsidR="000A7DD2">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related protein 2; LSD: lysosomal storage disorder; </w:t>
      </w:r>
      <w:r w:rsidR="000A7DD2">
        <w:rPr>
          <w:rFonts w:ascii="Times New Roman" w:hAnsi="Times New Roman" w:cs="Times New Roman"/>
          <w:sz w:val="24"/>
          <w:szCs w:val="24"/>
          <w:lang w:val="en-US"/>
        </w:rPr>
        <w:t>MAP1LC3/</w:t>
      </w:r>
      <w:r w:rsidR="000A7DD2" w:rsidRPr="00405F18">
        <w:rPr>
          <w:rFonts w:ascii="Times New Roman" w:hAnsi="Times New Roman" w:cs="Times New Roman"/>
          <w:sz w:val="24"/>
          <w:szCs w:val="24"/>
          <w:lang w:val="en-US"/>
        </w:rPr>
        <w:t xml:space="preserve">LC3: microtubule associated protein 1 light chain 3; </w:t>
      </w:r>
      <w:bookmarkStart w:id="2" w:name="_Hlk180167527"/>
      <w:r w:rsidRPr="00405F18">
        <w:rPr>
          <w:rFonts w:ascii="Times New Roman" w:hAnsi="Times New Roman" w:cs="Times New Roman"/>
          <w:sz w:val="24"/>
          <w:szCs w:val="24"/>
          <w:lang w:val="en-US"/>
        </w:rPr>
        <w:t>MCOLN1: mucolipin</w:t>
      </w:r>
      <w:r w:rsidR="000A7DD2">
        <w:rPr>
          <w:rFonts w:ascii="Times New Roman" w:hAnsi="Times New Roman" w:cs="Times New Roman"/>
          <w:sz w:val="24"/>
          <w:szCs w:val="24"/>
          <w:lang w:val="en-US"/>
        </w:rPr>
        <w:t xml:space="preserve"> TRP cation channel </w:t>
      </w:r>
      <w:r w:rsidRPr="00405F18">
        <w:rPr>
          <w:rFonts w:ascii="Times New Roman" w:hAnsi="Times New Roman" w:cs="Times New Roman"/>
          <w:sz w:val="24"/>
          <w:szCs w:val="24"/>
          <w:lang w:val="en-US"/>
        </w:rPr>
        <w:t>1</w:t>
      </w:r>
      <w:bookmarkEnd w:id="2"/>
      <w:r w:rsidRPr="00405F18">
        <w:rPr>
          <w:rFonts w:ascii="Times New Roman" w:hAnsi="Times New Roman" w:cs="Times New Roman"/>
          <w:sz w:val="24"/>
          <w:szCs w:val="24"/>
          <w:lang w:val="en-US"/>
        </w:rPr>
        <w:t>; MG132: N-</w:t>
      </w:r>
      <w:proofErr w:type="spellStart"/>
      <w:r w:rsidRPr="00405F18">
        <w:rPr>
          <w:rFonts w:ascii="Times New Roman" w:hAnsi="Times New Roman" w:cs="Times New Roman"/>
          <w:sz w:val="24"/>
          <w:szCs w:val="24"/>
          <w:lang w:val="en-US"/>
        </w:rPr>
        <w:t>benzyloxycarbonyl</w:t>
      </w:r>
      <w:proofErr w:type="spellEnd"/>
      <w:r w:rsidRPr="00405F18">
        <w:rPr>
          <w:rFonts w:ascii="Times New Roman" w:hAnsi="Times New Roman" w:cs="Times New Roman"/>
          <w:sz w:val="24"/>
          <w:szCs w:val="24"/>
          <w:lang w:val="en-US"/>
        </w:rPr>
        <w:t>-L-leucyl-L-leucyl-L-</w:t>
      </w:r>
      <w:proofErr w:type="spellStart"/>
      <w:r w:rsidRPr="00405F18">
        <w:rPr>
          <w:rFonts w:ascii="Times New Roman" w:hAnsi="Times New Roman" w:cs="Times New Roman"/>
          <w:sz w:val="24"/>
          <w:szCs w:val="24"/>
          <w:lang w:val="en-US"/>
        </w:rPr>
        <w:t>leucinal</w:t>
      </w:r>
      <w:proofErr w:type="spellEnd"/>
      <w:r w:rsidRPr="00405F18">
        <w:rPr>
          <w:rFonts w:ascii="Times New Roman" w:hAnsi="Times New Roman" w:cs="Times New Roman"/>
          <w:sz w:val="24"/>
          <w:szCs w:val="24"/>
          <w:lang w:val="en-US"/>
        </w:rPr>
        <w:t xml:space="preserve">; </w:t>
      </w:r>
      <w:proofErr w:type="spellStart"/>
      <w:r w:rsidR="0026635C">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581D04"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w:t>
      </w:r>
      <w:r w:rsidR="0026635C">
        <w:rPr>
          <w:rFonts w:ascii="Times New Roman" w:hAnsi="Times New Roman" w:cs="Times New Roman"/>
          <w:i/>
          <w:sz w:val="24"/>
          <w:szCs w:val="24"/>
          <w:lang w:val="en-US"/>
        </w:rPr>
        <w:t>Mus musculus</w:t>
      </w:r>
      <w:r w:rsidR="0026635C">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mouse</w:t>
      </w:r>
      <w:r w:rsidR="0026635C">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proximal tubular epithelial cells; </w:t>
      </w:r>
      <w:r w:rsidR="003F4FA7" w:rsidRPr="003F4FA7">
        <w:rPr>
          <w:rFonts w:ascii="Times New Roman" w:hAnsi="Times New Roman" w:cs="Times New Roman"/>
          <w:sz w:val="24"/>
          <w:szCs w:val="24"/>
          <w:lang w:val="en-US"/>
        </w:rPr>
        <w:t>MTORC1: mechanistic target of rapamycin kinase complex 1</w:t>
      </w:r>
      <w:r w:rsidR="003F4FA7">
        <w:rPr>
          <w:rFonts w:ascii="Times New Roman" w:hAnsi="Times New Roman" w:cs="Times New Roman"/>
          <w:sz w:val="24"/>
          <w:szCs w:val="24"/>
          <w:lang w:val="en-US"/>
        </w:rPr>
        <w:t>;</w:t>
      </w:r>
      <w:r w:rsidR="003F4FA7" w:rsidRPr="003F4FA7">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OA: ole</w:t>
      </w:r>
      <w:r w:rsidR="00294C6C" w:rsidRPr="00405F18">
        <w:rPr>
          <w:rFonts w:ascii="Times New Roman" w:hAnsi="Times New Roman" w:cs="Times New Roman"/>
          <w:sz w:val="24"/>
          <w:szCs w:val="24"/>
          <w:lang w:val="en-US"/>
        </w:rPr>
        <w:t>ate</w:t>
      </w:r>
      <w:r w:rsidRPr="00405F18">
        <w:rPr>
          <w:rFonts w:ascii="Times New Roman" w:hAnsi="Times New Roman" w:cs="Times New Roman"/>
          <w:sz w:val="24"/>
          <w:szCs w:val="24"/>
          <w:lang w:val="en-US"/>
        </w:rPr>
        <w:t>; PA: palmit</w:t>
      </w:r>
      <w:r w:rsidR="00294C6C" w:rsidRPr="00405F18">
        <w:rPr>
          <w:rFonts w:ascii="Times New Roman" w:hAnsi="Times New Roman" w:cs="Times New Roman"/>
          <w:sz w:val="24"/>
          <w:szCs w:val="24"/>
          <w:lang w:val="en-US"/>
        </w:rPr>
        <w:t>ate</w:t>
      </w:r>
      <w:r w:rsidRPr="00405F18">
        <w:rPr>
          <w:rFonts w:ascii="Times New Roman" w:hAnsi="Times New Roman" w:cs="Times New Roman"/>
          <w:sz w:val="24"/>
          <w:szCs w:val="24"/>
          <w:lang w:val="en-US"/>
        </w:rPr>
        <w:t>; PIK</w:t>
      </w:r>
      <w:r w:rsidR="000A7DD2">
        <w:rPr>
          <w:rFonts w:ascii="Times New Roman" w:hAnsi="Times New Roman" w:cs="Times New Roman"/>
          <w:sz w:val="24"/>
          <w:szCs w:val="24"/>
          <w:lang w:val="en-US"/>
        </w:rPr>
        <w:t>FYVE</w:t>
      </w:r>
      <w:r w:rsidRPr="00405F18">
        <w:rPr>
          <w:rFonts w:ascii="Times New Roman" w:hAnsi="Times New Roman" w:cs="Times New Roman"/>
          <w:sz w:val="24"/>
          <w:szCs w:val="24"/>
          <w:lang w:val="en-US"/>
        </w:rPr>
        <w:t>: phosph</w:t>
      </w:r>
      <w:r w:rsidR="000A7DD2">
        <w:rPr>
          <w:rFonts w:ascii="Times New Roman" w:hAnsi="Times New Roman" w:cs="Times New Roman"/>
          <w:sz w:val="24"/>
          <w:szCs w:val="24"/>
          <w:lang w:val="en-US"/>
        </w:rPr>
        <w:t>o</w:t>
      </w:r>
      <w:r w:rsidRPr="00405F18">
        <w:rPr>
          <w:rFonts w:ascii="Times New Roman" w:hAnsi="Times New Roman" w:cs="Times New Roman"/>
          <w:sz w:val="24"/>
          <w:szCs w:val="24"/>
          <w:lang w:val="en-US"/>
        </w:rPr>
        <w:t>inosit</w:t>
      </w:r>
      <w:r w:rsidR="000A7DD2">
        <w:rPr>
          <w:rFonts w:ascii="Times New Roman" w:hAnsi="Times New Roman" w:cs="Times New Roman"/>
          <w:sz w:val="24"/>
          <w:szCs w:val="24"/>
          <w:lang w:val="en-US"/>
        </w:rPr>
        <w:t>ide kinase, FYVE-type zinc finger containing</w:t>
      </w:r>
      <w:r w:rsidRPr="00405F18">
        <w:rPr>
          <w:rFonts w:ascii="Times New Roman" w:hAnsi="Times New Roman" w:cs="Times New Roman"/>
          <w:sz w:val="24"/>
          <w:szCs w:val="24"/>
          <w:lang w:val="en-US"/>
        </w:rPr>
        <w:t>; PT</w:t>
      </w:r>
      <w:r w:rsidR="00CC5768">
        <w:rPr>
          <w:rFonts w:ascii="Times New Roman" w:hAnsi="Times New Roman" w:cs="Times New Roman"/>
          <w:sz w:val="24"/>
          <w:szCs w:val="24"/>
          <w:lang w:val="en-US"/>
        </w:rPr>
        <w:t>s</w:t>
      </w:r>
      <w:r w:rsidRPr="00405F18">
        <w:rPr>
          <w:rFonts w:ascii="Times New Roman" w:hAnsi="Times New Roman" w:cs="Times New Roman"/>
          <w:sz w:val="24"/>
          <w:szCs w:val="24"/>
          <w:lang w:val="en-US"/>
        </w:rPr>
        <w:t>: proximal tubules;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proximal tubular epithelial cells; P</w:t>
      </w:r>
      <w:r w:rsidR="000A7DD2">
        <w:rPr>
          <w:rFonts w:ascii="Times New Roman" w:hAnsi="Times New Roman" w:cs="Times New Roman"/>
          <w:sz w:val="24"/>
          <w:szCs w:val="24"/>
          <w:lang w:val="en-US"/>
        </w:rPr>
        <w:t>RKAA</w:t>
      </w:r>
      <w:r w:rsidRPr="00405F18">
        <w:rPr>
          <w:rFonts w:ascii="Times New Roman" w:hAnsi="Times New Roman" w:cs="Times New Roman"/>
          <w:sz w:val="24"/>
          <w:szCs w:val="24"/>
          <w:lang w:val="en-US"/>
        </w:rPr>
        <w:t xml:space="preserve">: protein kinase AMP-activated catalytic subunit alpha; RFP: red fluorescent protein; </w:t>
      </w:r>
      <w:r w:rsidR="000A7DD2">
        <w:rPr>
          <w:rFonts w:ascii="Times New Roman" w:hAnsi="Times New Roman" w:cs="Times New Roman"/>
          <w:sz w:val="24"/>
          <w:szCs w:val="24"/>
          <w:lang w:val="en-US"/>
        </w:rPr>
        <w:t>RPS6KB</w:t>
      </w:r>
      <w:r w:rsidRPr="00405F18">
        <w:rPr>
          <w:rFonts w:ascii="Times New Roman" w:hAnsi="Times New Roman" w:cs="Times New Roman"/>
          <w:sz w:val="24"/>
          <w:szCs w:val="24"/>
          <w:lang w:val="en-US"/>
        </w:rPr>
        <w:t>:</w:t>
      </w:r>
      <w:r w:rsidR="00E24829" w:rsidRPr="00405F18">
        <w:rPr>
          <w:rFonts w:ascii="Times New Roman" w:hAnsi="Times New Roman" w:cs="Times New Roman"/>
          <w:sz w:val="24"/>
          <w:szCs w:val="24"/>
          <w:lang w:val="en-US"/>
        </w:rPr>
        <w:t xml:space="preserve"> ribosomal protein S6 kinase</w:t>
      </w:r>
      <w:r w:rsidR="000A7DD2">
        <w:rPr>
          <w:rFonts w:ascii="Times New Roman" w:hAnsi="Times New Roman" w:cs="Times New Roman"/>
          <w:sz w:val="24"/>
          <w:szCs w:val="24"/>
          <w:lang w:val="en-US"/>
        </w:rPr>
        <w:t xml:space="preserve"> B</w:t>
      </w:r>
      <w:r w:rsidRPr="00405F18">
        <w:rPr>
          <w:rFonts w:ascii="Times New Roman" w:hAnsi="Times New Roman" w:cs="Times New Roman"/>
          <w:sz w:val="24"/>
          <w:szCs w:val="24"/>
          <w:lang w:val="en-US"/>
        </w:rPr>
        <w:t>; S</w:t>
      </w:r>
      <w:r w:rsidR="000A7DD2">
        <w:rPr>
          <w:rFonts w:ascii="Times New Roman" w:hAnsi="Times New Roman" w:cs="Times New Roman"/>
          <w:sz w:val="24"/>
          <w:szCs w:val="24"/>
          <w:lang w:val="en-US"/>
        </w:rPr>
        <w:t>LC</w:t>
      </w:r>
      <w:r w:rsidRPr="00405F18">
        <w:rPr>
          <w:rFonts w:ascii="Times New Roman" w:hAnsi="Times New Roman" w:cs="Times New Roman"/>
          <w:sz w:val="24"/>
          <w:szCs w:val="24"/>
          <w:lang w:val="en-US"/>
        </w:rPr>
        <w:t xml:space="preserve">5A2: </w:t>
      </w:r>
      <w:r w:rsidR="000A7DD2">
        <w:rPr>
          <w:rFonts w:ascii="Times New Roman" w:hAnsi="Times New Roman" w:cs="Times New Roman"/>
          <w:sz w:val="24"/>
          <w:szCs w:val="24"/>
          <w:lang w:val="en-US"/>
        </w:rPr>
        <w:t>solute carrier family 5 member</w:t>
      </w:r>
      <w:r w:rsidRPr="00405F18">
        <w:rPr>
          <w:rFonts w:ascii="Times New Roman" w:hAnsi="Times New Roman" w:cs="Times New Roman"/>
          <w:sz w:val="24"/>
          <w:szCs w:val="24"/>
          <w:lang w:val="en-US"/>
        </w:rPr>
        <w:t xml:space="preserve"> 2; S</w:t>
      </w:r>
      <w:r w:rsidR="000A7DD2">
        <w:rPr>
          <w:rFonts w:ascii="Times New Roman" w:hAnsi="Times New Roman" w:cs="Times New Roman"/>
          <w:sz w:val="24"/>
          <w:szCs w:val="24"/>
          <w:lang w:val="en-US"/>
        </w:rPr>
        <w:t>OX</w:t>
      </w:r>
      <w:r w:rsidRPr="00405F18">
        <w:rPr>
          <w:rFonts w:ascii="Times New Roman" w:hAnsi="Times New Roman" w:cs="Times New Roman"/>
          <w:sz w:val="24"/>
          <w:szCs w:val="24"/>
          <w:lang w:val="en-US"/>
        </w:rPr>
        <w:t xml:space="preserve">9: SRY-box transcription factor 9; SQSTM1: </w:t>
      </w:r>
      <w:proofErr w:type="spellStart"/>
      <w:r w:rsidRPr="00405F18">
        <w:rPr>
          <w:rFonts w:ascii="Times New Roman" w:hAnsi="Times New Roman" w:cs="Times New Roman"/>
          <w:sz w:val="24"/>
          <w:szCs w:val="24"/>
          <w:lang w:val="en-US"/>
        </w:rPr>
        <w:t>sequestosome</w:t>
      </w:r>
      <w:proofErr w:type="spellEnd"/>
      <w:r w:rsidRPr="00405F18">
        <w:rPr>
          <w:rFonts w:ascii="Times New Roman" w:hAnsi="Times New Roman" w:cs="Times New Roman"/>
          <w:sz w:val="24"/>
          <w:szCs w:val="24"/>
          <w:lang w:val="en-US"/>
        </w:rPr>
        <w:t xml:space="preserve"> 1; TFEB: transcription factor EB; </w:t>
      </w:r>
      <w:proofErr w:type="spellStart"/>
      <w:r w:rsidRPr="00405F18">
        <w:rPr>
          <w:rFonts w:ascii="Times New Roman" w:hAnsi="Times New Roman" w:cs="Times New Roman"/>
          <w:sz w:val="24"/>
          <w:szCs w:val="24"/>
          <w:lang w:val="en-US"/>
        </w:rPr>
        <w:t>Ub</w:t>
      </w:r>
      <w:proofErr w:type="spellEnd"/>
      <w:r w:rsidRPr="00405F18">
        <w:rPr>
          <w:rFonts w:ascii="Times New Roman" w:hAnsi="Times New Roman" w:cs="Times New Roman"/>
          <w:sz w:val="24"/>
          <w:szCs w:val="24"/>
          <w:lang w:val="en-US"/>
        </w:rPr>
        <w:t xml:space="preserve">: ubiquitin; ULK1: </w:t>
      </w:r>
      <w:r w:rsidR="000A7DD2">
        <w:rPr>
          <w:rFonts w:ascii="Times New Roman" w:hAnsi="Times New Roman" w:cs="Times New Roman"/>
          <w:sz w:val="24"/>
          <w:szCs w:val="24"/>
          <w:lang w:val="en-US"/>
        </w:rPr>
        <w:t>u</w:t>
      </w:r>
      <w:r w:rsidRPr="00405F18">
        <w:rPr>
          <w:rFonts w:ascii="Times New Roman" w:hAnsi="Times New Roman" w:cs="Times New Roman"/>
          <w:sz w:val="24"/>
          <w:szCs w:val="24"/>
          <w:lang w:val="en-US"/>
        </w:rPr>
        <w:t>nc-51</w:t>
      </w:r>
      <w:r w:rsidR="000A7DD2">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like autophagy</w:t>
      </w:r>
      <w:r w:rsidR="000A7DD2">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activating kinase 1</w:t>
      </w:r>
      <w:r w:rsidR="000C58B4">
        <w:rPr>
          <w:rFonts w:ascii="Times New Roman" w:hAnsi="Times New Roman" w:cs="Times New Roman"/>
          <w:sz w:val="24"/>
          <w:szCs w:val="24"/>
          <w:lang w:val="en-US"/>
        </w:rPr>
        <w:t>; VIM: vimentin</w:t>
      </w:r>
      <w:r w:rsidR="006D6038" w:rsidRPr="00405F18">
        <w:rPr>
          <w:rFonts w:ascii="Times New Roman" w:hAnsi="Times New Roman" w:cs="Times New Roman"/>
          <w:sz w:val="24"/>
          <w:szCs w:val="24"/>
          <w:lang w:val="en-US"/>
        </w:rPr>
        <w:t>.</w:t>
      </w:r>
      <w:r w:rsidR="002B101E" w:rsidRPr="00405F18">
        <w:rPr>
          <w:rFonts w:ascii="Times New Roman" w:hAnsi="Times New Roman" w:cs="Times New Roman"/>
          <w:b/>
          <w:bCs/>
          <w:sz w:val="24"/>
          <w:szCs w:val="24"/>
          <w:u w:val="single"/>
          <w:lang w:val="en-US"/>
        </w:rPr>
        <w:br w:type="page"/>
      </w:r>
    </w:p>
    <w:p w14:paraId="73218765" w14:textId="77777777" w:rsidR="006B2C44" w:rsidRPr="00405F18" w:rsidRDefault="006B2C44" w:rsidP="00270044">
      <w:pPr>
        <w:spacing w:after="100" w:afterAutospacing="1" w:line="480" w:lineRule="auto"/>
        <w:jc w:val="both"/>
        <w:rPr>
          <w:rFonts w:ascii="Times New Roman" w:hAnsi="Times New Roman" w:cs="Times New Roman"/>
          <w:sz w:val="24"/>
          <w:szCs w:val="24"/>
          <w:lang w:val="en-US"/>
        </w:rPr>
      </w:pPr>
    </w:p>
    <w:p w14:paraId="14646623" w14:textId="331D79A6" w:rsidR="005A3CC3" w:rsidRPr="00405F18" w:rsidRDefault="005A3CC3" w:rsidP="00270044">
      <w:pPr>
        <w:spacing w:after="100" w:afterAutospacing="1" w:line="480" w:lineRule="auto"/>
        <w:jc w:val="both"/>
        <w:rPr>
          <w:rFonts w:ascii="Times New Roman" w:hAnsi="Times New Roman" w:cs="Times New Roman"/>
          <w:b/>
          <w:bCs/>
          <w:sz w:val="24"/>
          <w:szCs w:val="24"/>
          <w:lang w:val="en-US"/>
        </w:rPr>
      </w:pPr>
      <w:r w:rsidRPr="00405F18">
        <w:rPr>
          <w:rFonts w:ascii="Times New Roman" w:hAnsi="Times New Roman" w:cs="Times New Roman"/>
          <w:b/>
          <w:bCs/>
          <w:sz w:val="24"/>
          <w:szCs w:val="24"/>
          <w:lang w:val="en-US"/>
        </w:rPr>
        <w:t>Introduction</w:t>
      </w:r>
    </w:p>
    <w:p w14:paraId="6AAF176B" w14:textId="06D3A804" w:rsidR="005A3CC3" w:rsidRPr="00405F18" w:rsidRDefault="005A3CC3"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Proximal tubular epithelial cells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are a primary site of metabolic injury because of high metabolic rates</w:t>
      </w:r>
      <w:r w:rsidR="000A7DD2">
        <w:rPr>
          <w:rFonts w:ascii="Times New Roman" w:hAnsi="Times New Roman" w:cs="Times New Roman"/>
          <w:sz w:val="24"/>
          <w:szCs w:val="24"/>
          <w:lang w:val="en-US"/>
        </w:rPr>
        <w:t xml:space="preserve"> [</w:t>
      </w:r>
      <w:r w:rsidRPr="000A7DD2">
        <w:rPr>
          <w:rFonts w:ascii="Times New Roman" w:hAnsi="Times New Roman" w:cs="Times New Roman"/>
          <w:sz w:val="24"/>
          <w:szCs w:val="24"/>
          <w:lang w:val="en-US"/>
        </w:rPr>
        <w:fldChar w:fldCharType="begin" w:fldLock="1"/>
      </w:r>
      <w:r w:rsidR="00EE4BC3">
        <w:rPr>
          <w:rFonts w:ascii="Times New Roman" w:hAnsi="Times New Roman" w:cs="Times New Roman"/>
          <w:sz w:val="24"/>
          <w:szCs w:val="24"/>
          <w:lang w:val="en-US"/>
        </w:rPr>
        <w:instrText>ADDIN CSL_CITATION {"citationItems":[{"id":"ITEM-1","itemData":{"DOI":"10.1038/nrneph.2017.107","ISSN":"1759-5061","abstract":"The kidney requires a large number of mitochondria to remove waste from the blood and regulate fluid and electrolyte balance. Mitochondria provide the energy to drive these important functions and can adapt to different metabolic conditions through a number of signalling pathways (for example, mechanistic target of rapamycin (mTOR) and AMP-activated protein kinase (AMPK) pathways) that activate the transcriptional co-activator peroxisome proliferator-activated receptor-γ co-activator 1α (PGC1α), and by balancing mitochondrial dynamics and energetics to maintain mitochondrial homeostasis. Mitochondrial dysfunction leads to a decrease in ATP production, alterations in cellular functions and structure, and the loss of renal function. Persistent mitochondrial dysfunction has a role in the early stages and progression of renal diseases, such as acute kidney injury (AKI) and diabetic nephropathy, as it disrupts mitochondrial homeostasis and thus normal kidney function. Improving mitochondrial homeostasis and function has the potential to restore renal function, and administering compounds that stimulate mitochondrial biogenesis can restore mitochondrial and renal function in mouse models of AKI and diabetes mellitus. Furthermore, inhibiting the fission protein dynamin 1-like protein (DRP1) might ameliorate ischaemic renal injury by blocking mitochondrial fission.","author":[{"dropping-particle":"","family":"Bhargava","given":"Pallavi","non-dropping-particle":"","parse-names":false,"suffix":""},{"dropping-particle":"","family":"Schnellmann","given":"Rick G.","non-dropping-particle":"","parse-names":false,"suffix":""}],"container-title":"Nature Reviews Nephrology","id":"ITEM-1","issue":"10","issued":{"date-parts":[["2017","10","14"]]},"page":"629-646","publisher":"Nature Publishing Group","title":"Mitochondrial energetics in the kidney","type":"article-journal","volume":"13"},"uris":["http://www.mendeley.com/documents/?uuid=59383f10-05a6-4e9e-9ccc-2741bee883c8"]}],"mendeley":{"formattedCitation":"&lt;sup&gt;1&lt;/sup&gt;","plainTextFormattedCitation":"1","previouslyFormattedCitation":"&lt;sup&gt;1&lt;/sup&gt;"},"properties":{"noteIndex":0},"schema":"https://github.com/citation-style-language/schema/raw/master/csl-citation.json"}</w:instrText>
      </w:r>
      <w:r w:rsidRPr="000A7DD2">
        <w:rPr>
          <w:rFonts w:ascii="Times New Roman" w:hAnsi="Times New Roman" w:cs="Times New Roman"/>
          <w:sz w:val="24"/>
          <w:szCs w:val="24"/>
          <w:lang w:val="en-US"/>
        </w:rPr>
        <w:fldChar w:fldCharType="separate"/>
      </w:r>
      <w:r w:rsidRPr="00EE4BC3">
        <w:rPr>
          <w:rFonts w:ascii="Times New Roman" w:hAnsi="Times New Roman" w:cs="Times New Roman"/>
          <w:noProof/>
          <w:sz w:val="24"/>
          <w:szCs w:val="24"/>
          <w:lang w:val="en-US"/>
        </w:rPr>
        <w:t>1</w:t>
      </w:r>
      <w:r w:rsidRPr="000A7DD2">
        <w:rPr>
          <w:rFonts w:ascii="Times New Roman" w:hAnsi="Times New Roman" w:cs="Times New Roman"/>
          <w:sz w:val="24"/>
          <w:szCs w:val="24"/>
          <w:lang w:val="en-US"/>
        </w:rPr>
        <w:fldChar w:fldCharType="end"/>
      </w:r>
      <w:r w:rsidR="000A7DD2">
        <w:rPr>
          <w:rFonts w:ascii="Times New Roman" w:hAnsi="Times New Roman" w:cs="Times New Roman"/>
          <w:sz w:val="24"/>
          <w:szCs w:val="24"/>
          <w:lang w:val="en-US"/>
        </w:rPr>
        <w:t>]</w:t>
      </w:r>
      <w:r w:rsidRPr="00405F18">
        <w:rPr>
          <w:rFonts w:ascii="Times New Roman" w:hAnsi="Times New Roman" w:cs="Times New Roman"/>
          <w:sz w:val="24"/>
          <w:szCs w:val="24"/>
          <w:lang w:val="en-US"/>
        </w:rPr>
        <w:t>. They require a large amount of ATP for active electrolyte-transporting processes, mostly provided by the mitochondrial free fatty acid (FA) oxidation</w:t>
      </w:r>
      <w:r w:rsidR="000A7DD2">
        <w:rPr>
          <w:rFonts w:ascii="Times New Roman" w:hAnsi="Times New Roman" w:cs="Times New Roman"/>
          <w:sz w:val="24"/>
          <w:szCs w:val="24"/>
          <w:lang w:val="en-US"/>
        </w:rPr>
        <w:t xml:space="preserve"> [</w:t>
      </w:r>
      <w:r w:rsidRPr="000A7DD2">
        <w:rPr>
          <w:rFonts w:ascii="Times New Roman" w:hAnsi="Times New Roman" w:cs="Times New Roman"/>
          <w:sz w:val="24"/>
          <w:szCs w:val="24"/>
          <w:lang w:val="en-US"/>
        </w:rPr>
        <w:fldChar w:fldCharType="begin" w:fldLock="1"/>
      </w:r>
      <w:r w:rsidRPr="000A7DD2">
        <w:rPr>
          <w:rFonts w:ascii="Times New Roman" w:hAnsi="Times New Roman" w:cs="Times New Roman"/>
          <w:sz w:val="24"/>
          <w:szCs w:val="24"/>
          <w:lang w:val="en-US"/>
        </w:rPr>
        <w:instrText>ADDIN CSL_CITATION {"citationItems":[{"id":"ITEM-1","itemData":{"DOI":"10.1038/nrneph.2017.107","ISSN":"1759-5061","abstract":"The kidney requires a large number of mitochondria to remove waste from the blood and regulate fluid and electrolyte balance. Mitochondria provide the energy to drive these important functions and can adapt to different metabolic conditions through a number of signalling pathways (for example, mechanistic target of rapamycin (mTOR) and AMP-activated protein kinase (AMPK) pathways) that activate the transcriptional co-activator peroxisome proliferator-activated receptor-γ co-activator 1α (PGC1α), and by balancing mitochondrial dynamics and energetics to maintain mitochondrial homeostasis. Mitochondrial dysfunction leads to a decrease in ATP production, alterations in cellular functions and structure, and the loss of renal function. Persistent mitochondrial dysfunction has a role in the early stages and progression of renal diseases, such as acute kidney injury (AKI) and diabetic nephropathy, as it disrupts mitochondrial homeostasis and thus normal kidney function. Improving mitochondrial homeostasis and function has the potential to restore renal function, and administering compounds that stimulate mitochondrial biogenesis can restore mitochondrial and renal function in mouse models of AKI and diabetes mellitus. Furthermore, inhibiting the fission protein dynamin 1-like protein (DRP1) might ameliorate ischaemic renal injury by blocking mitochondrial fission.","author":[{"dropping-particle":"","family":"Bhargava","given":"Pallavi","non-dropping-particle":"","parse-names":false,"suffix":""},{"dropping-particle":"","family":"Schnellmann","given":"Rick G.","non-dropping-particle":"","parse-names":false,"suffix":""}],"container-title":"Nature Reviews Nephrology","id":"ITEM-1","issue":"10","issued":{"date-parts":[["2017","10","14"]]},"page":"629-646","publisher":"Nature Publishing Group","title":"Mitochondrial energetics in the kidney","type":"article-journal","volume":"13"},"uris":["http://www.mendeley.com/documents/?uuid=59383f10-05a6-4e9e-9ccc-2741bee883c8"]}],"mendeley":{"formattedCitation":"&lt;sup&gt;1&lt;/sup&gt;","plainTextFormattedCitation":"1","previouslyFormattedCitation":"&lt;sup&gt;1&lt;/sup&gt;"},"properties":{"noteIndex":0},"schema":"https://github.com/citation-style-language/schema/raw/master/csl-citation.json"}</w:instrText>
      </w:r>
      <w:r w:rsidRPr="000A7DD2">
        <w:rPr>
          <w:rFonts w:ascii="Times New Roman" w:hAnsi="Times New Roman" w:cs="Times New Roman"/>
          <w:sz w:val="24"/>
          <w:szCs w:val="24"/>
          <w:lang w:val="en-US"/>
        </w:rPr>
        <w:fldChar w:fldCharType="separate"/>
      </w:r>
      <w:r w:rsidRPr="00EE4BC3">
        <w:rPr>
          <w:rFonts w:ascii="Times New Roman" w:hAnsi="Times New Roman" w:cs="Times New Roman"/>
          <w:noProof/>
          <w:sz w:val="24"/>
          <w:szCs w:val="24"/>
          <w:lang w:val="en-US"/>
        </w:rPr>
        <w:t>1</w:t>
      </w:r>
      <w:r w:rsidRPr="000A7DD2">
        <w:rPr>
          <w:rFonts w:ascii="Times New Roman" w:hAnsi="Times New Roman" w:cs="Times New Roman"/>
          <w:sz w:val="24"/>
          <w:szCs w:val="24"/>
          <w:lang w:val="en-US"/>
        </w:rPr>
        <w:fldChar w:fldCharType="end"/>
      </w:r>
      <w:r w:rsidR="000A7DD2">
        <w:rPr>
          <w:rFonts w:ascii="Times New Roman" w:hAnsi="Times New Roman" w:cs="Times New Roman"/>
          <w:sz w:val="24"/>
          <w:szCs w:val="24"/>
          <w:lang w:val="en-US"/>
        </w:rPr>
        <w:t>]</w:t>
      </w:r>
      <w:r w:rsidRPr="00405F18">
        <w:rPr>
          <w:rFonts w:ascii="Times New Roman" w:hAnsi="Times New Roman" w:cs="Times New Roman"/>
          <w:sz w:val="24"/>
          <w:szCs w:val="24"/>
          <w:lang w:val="en-US"/>
        </w:rPr>
        <w:t>. Th</w:t>
      </w:r>
      <w:r w:rsidR="0046780C" w:rsidRPr="00405F18">
        <w:rPr>
          <w:rFonts w:ascii="Times New Roman" w:hAnsi="Times New Roman" w:cs="Times New Roman"/>
          <w:sz w:val="24"/>
          <w:szCs w:val="24"/>
          <w:lang w:val="en-US"/>
        </w:rPr>
        <w:t>ose</w:t>
      </w:r>
      <w:r w:rsidRPr="00405F18">
        <w:rPr>
          <w:rFonts w:ascii="Times New Roman" w:hAnsi="Times New Roman" w:cs="Times New Roman"/>
          <w:sz w:val="24"/>
          <w:szCs w:val="24"/>
          <w:lang w:val="en-US"/>
        </w:rPr>
        <w:t xml:space="preserve"> </w:t>
      </w:r>
      <w:r w:rsidR="0046780C" w:rsidRPr="00405F18">
        <w:rPr>
          <w:rFonts w:ascii="Times New Roman" w:hAnsi="Times New Roman" w:cs="Times New Roman"/>
          <w:sz w:val="24"/>
          <w:szCs w:val="24"/>
          <w:lang w:val="en-US"/>
        </w:rPr>
        <w:t>a</w:t>
      </w:r>
      <w:r w:rsidRPr="00405F18">
        <w:rPr>
          <w:rFonts w:ascii="Times New Roman" w:hAnsi="Times New Roman" w:cs="Times New Roman"/>
          <w:sz w:val="24"/>
          <w:szCs w:val="24"/>
          <w:lang w:val="en-US"/>
        </w:rPr>
        <w:t>re taken up in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by endocytosis of albumin-bound FA</w:t>
      </w:r>
      <w:r w:rsidR="00D20F8C" w:rsidRPr="00405F18">
        <w:rPr>
          <w:rFonts w:ascii="Times New Roman" w:hAnsi="Times New Roman" w:cs="Times New Roman"/>
          <w:sz w:val="24"/>
          <w:szCs w:val="24"/>
          <w:lang w:val="en-US"/>
        </w:rPr>
        <w:t>s</w:t>
      </w:r>
      <w:r w:rsidR="000A7DD2">
        <w:rPr>
          <w:rFonts w:ascii="Times New Roman" w:hAnsi="Times New Roman" w:cs="Times New Roman"/>
          <w:sz w:val="24"/>
          <w:szCs w:val="24"/>
          <w:lang w:val="en-US"/>
        </w:rPr>
        <w:t xml:space="preserve"> [</w:t>
      </w:r>
      <w:r w:rsidRPr="000A7DD2">
        <w:rPr>
          <w:rFonts w:ascii="Times New Roman" w:hAnsi="Times New Roman" w:cs="Times New Roman"/>
          <w:sz w:val="24"/>
          <w:szCs w:val="24"/>
          <w:lang w:val="en-US"/>
        </w:rPr>
        <w:fldChar w:fldCharType="begin" w:fldLock="1"/>
      </w:r>
      <w:r w:rsidRPr="000A7DD2">
        <w:rPr>
          <w:rFonts w:ascii="Times New Roman" w:hAnsi="Times New Roman" w:cs="Times New Roman"/>
          <w:sz w:val="24"/>
          <w:szCs w:val="24"/>
          <w:lang w:val="en-US"/>
        </w:rPr>
        <w:instrText>ADDIN CSL_CITATION {"citationItems":[{"id":"ITEM-1","itemData":{"author":[{"dropping-particle":"","family":"Thomas","given":"M.","non-dropping-particle":"","parse-names":false,"suffix":""},{"dropping-particle":"","family":"Schreiner","given":"G.","non-dropping-particle":"","parse-names":false,"suffix":""}],"container-title":"AM J Nephrol","id":"ITEM-1","issued":{"date-parts":[["1993"]]},"title":"Contribution of proteinuria to progressive renal injury: consequences of tubular uptake of fatty acid bearing albumin","type":"article-journal"},"uris":["http://www.mendeley.com/documents/?uuid=099a977b-f350-43b2-ae14-0c713d149e5b"]}],"mendeley":{"formattedCitation":"&lt;sup&gt;2&lt;/sup&gt;","plainTextFormattedCitation":"2","previouslyFormattedCitation":"&lt;sup&gt;2&lt;/sup&gt;"},"properties":{"noteIndex":0},"schema":"https://github.com/citation-style-language/schema/raw/master/csl-citation.json"}</w:instrText>
      </w:r>
      <w:r w:rsidRPr="000A7DD2">
        <w:rPr>
          <w:rFonts w:ascii="Times New Roman" w:hAnsi="Times New Roman" w:cs="Times New Roman"/>
          <w:sz w:val="24"/>
          <w:szCs w:val="24"/>
          <w:lang w:val="en-US"/>
        </w:rPr>
        <w:fldChar w:fldCharType="separate"/>
      </w:r>
      <w:r w:rsidRPr="00EE4BC3">
        <w:rPr>
          <w:rFonts w:ascii="Times New Roman" w:hAnsi="Times New Roman" w:cs="Times New Roman"/>
          <w:noProof/>
          <w:sz w:val="24"/>
          <w:szCs w:val="24"/>
          <w:lang w:val="en-US"/>
        </w:rPr>
        <w:t>2</w:t>
      </w:r>
      <w:r w:rsidRPr="000A7DD2">
        <w:rPr>
          <w:rFonts w:ascii="Times New Roman" w:hAnsi="Times New Roman" w:cs="Times New Roman"/>
          <w:sz w:val="24"/>
          <w:szCs w:val="24"/>
          <w:lang w:val="en-US"/>
        </w:rPr>
        <w:fldChar w:fldCharType="end"/>
      </w:r>
      <w:r w:rsidR="000A7DD2">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6831AE" w:rsidRPr="00405F18">
        <w:rPr>
          <w:rFonts w:ascii="Times New Roman" w:hAnsi="Times New Roman" w:cs="Times New Roman"/>
          <w:sz w:val="24"/>
          <w:szCs w:val="24"/>
          <w:lang w:val="en-US"/>
        </w:rPr>
        <w:t>or by</w:t>
      </w:r>
      <w:r w:rsidRPr="00405F18">
        <w:rPr>
          <w:rFonts w:ascii="Times New Roman" w:hAnsi="Times New Roman" w:cs="Times New Roman"/>
          <w:sz w:val="24"/>
          <w:szCs w:val="24"/>
          <w:lang w:val="en-US"/>
        </w:rPr>
        <w:t xml:space="preserve"> transport</w:t>
      </w:r>
      <w:r w:rsidR="006831AE" w:rsidRPr="00405F18">
        <w:rPr>
          <w:rFonts w:ascii="Times New Roman" w:hAnsi="Times New Roman" w:cs="Times New Roman"/>
          <w:sz w:val="24"/>
          <w:szCs w:val="24"/>
          <w:lang w:val="en-US"/>
        </w:rPr>
        <w:t>ers</w:t>
      </w:r>
      <w:r w:rsidR="00FE3DEB" w:rsidRPr="00405F18">
        <w:rPr>
          <w:rFonts w:ascii="Times New Roman" w:hAnsi="Times New Roman" w:cs="Times New Roman"/>
          <w:sz w:val="24"/>
          <w:szCs w:val="24"/>
          <w:lang w:val="en-US"/>
        </w:rPr>
        <w:t xml:space="preserve"> such as</w:t>
      </w:r>
      <w:r w:rsidRPr="00405F18">
        <w:rPr>
          <w:rFonts w:ascii="Times New Roman" w:hAnsi="Times New Roman" w:cs="Times New Roman"/>
          <w:sz w:val="24"/>
          <w:szCs w:val="24"/>
          <w:lang w:val="en-US"/>
        </w:rPr>
        <w:t xml:space="preserve"> </w:t>
      </w:r>
      <w:r w:rsidR="000A7DD2">
        <w:rPr>
          <w:rFonts w:ascii="Times New Roman" w:hAnsi="Times New Roman" w:cs="Times New Roman"/>
          <w:sz w:val="24"/>
          <w:szCs w:val="24"/>
          <w:lang w:val="en-US"/>
        </w:rPr>
        <w:t>SLC7A2/FATP2 (solute carrier family 27 member 2) [</w:t>
      </w:r>
      <w:r w:rsidRPr="000A7DD2">
        <w:rPr>
          <w:rFonts w:ascii="Times New Roman" w:hAnsi="Times New Roman" w:cs="Times New Roman"/>
          <w:sz w:val="24"/>
          <w:szCs w:val="24"/>
          <w:lang w:val="en-US"/>
        </w:rPr>
        <w:fldChar w:fldCharType="begin" w:fldLock="1"/>
      </w:r>
      <w:r w:rsidRPr="000A7DD2">
        <w:rPr>
          <w:rFonts w:ascii="Times New Roman" w:hAnsi="Times New Roman" w:cs="Times New Roman"/>
          <w:sz w:val="24"/>
          <w:szCs w:val="24"/>
          <w:lang w:val="en-US"/>
        </w:rPr>
        <w:instrText>ADDIN CSL_CITATION {"citationItems":[{"id":"ITEM-1","itemData":{"DOI":"10.1681/ASN.2017030314","ISSN":"15333450","PMID":"28993506","abstract":"Albuminuria and tubular atrophy are among the highest risks for CKD progression to ESRD. A parsimonious mechanism involves leakage of albumin-bound nonesterified fatty acids (NEFAs) across the damaged glomerular filtration barrier and subsequent reabsorption by the downstream proximal tubule, causing lipoapoptosis. We sought to identify the apical proximal tubule transporter that mediates NEFA uptake and cytotoxicity. We observed transporter-mediated uptake of fluorescently labeled NEFA in cultured proximal tubule cells and microperfused rat proximal tubules, with greater uptake from the apical surface than from the basolateral surface. Protein and mRNA expression analyses revealed that kidney proximal tubules express transmembrane fatty acid transporter-2 (FATP2), encoded by Slc27a2, but not the other candidate transporters CD36 and free fatty acid receptor 1. Kidney FATP2 localized exclusively to proximal tubule epithelial cells along the apical but not the basolateral membrane. Treatment of mice with lipidated albumin to induce proteinuria caused a decrease in the proportion of tubular epithelial cells and an increase in the proportion of interstitial space in kidneys from wild-type but not Slc27a22/2mice. Ex vivo microperfusion and in vitro experiments with NEFA-bound albumin at concentrations that mimic apical proximal tubule exposure during glomerular injury revealed significantly reduced NEFA uptake and palmitate-induced apoptosis in microperfused Slc27a22/2 proximal tubules and Slc27a22/2 or FATP2 shRNA-treated proximal tubule cell lines compared with wild-type or scrambled oligonucleotide–treated cells, respectively. We conclude that FATP2 is a major apical proximal tubule NEFA transporter that regulates lipoapoptosis and may be an amenable target for the prevention of CKD progression.","author":[{"dropping-particle":"","family":"Khan","given":"Shenaz","non-dropping-particle":"","parse-names":false,"suffix":""},{"dropping-particle":"","family":"Cabral","given":"Pablo D.","non-dropping-particle":"","parse-names":false,"suffix":""},{"dropping-particle":"","family":"Schilling","given":"William P.","non-dropping-particle":"","parse-names":false,"suffix":""},{"dropping-particle":"","family":"Schmidt","given":"Zachary W.","non-dropping-particle":"","parse-names":false,"suffix":""},{"dropping-particle":"","family":"Uddin","given":"Asif N.","non-dropping-particle":"","parse-names":false,"suffix":""},{"dropping-particle":"","family":"Gingras","given":"Amelia","non-dropping-particle":"","parse-names":false,"suffix":""},{"dropping-particle":"","family":"Madhavan","given":"Sethu M.","non-dropping-particle":"","parse-names":false,"suffix":""},{"dropping-particle":"","family":"Garvin","given":"Jeffrey L.","non-dropping-particle":"","parse-names":false,"suffix":""},{"dropping-particle":"","family":"Schelling","given":"Jeffrey R.","non-dropping-particle":"","parse-names":false,"suffix":""}],"container-title":"Journal of the American Society of Nephrology","id":"ITEM-1","issue":"1","issued":{"date-parts":[["2018"]]},"page":"81-91","title":"Kidney proximal tubule lipoapoptosis is regulated by fatty acid transporter-2 (FATP2)","type":"article-journal","volume":"29"},"uris":["http://www.mendeley.com/documents/?uuid=42a8b803-b880-4a52-a9cb-35f4379be4a5"]}],"mendeley":{"formattedCitation":"&lt;sup&gt;3&lt;/sup&gt;","plainTextFormattedCitation":"3","previouslyFormattedCitation":"&lt;sup&gt;3&lt;/sup&gt;"},"properties":{"noteIndex":0},"schema":"https://github.com/citation-style-language/schema/raw/master/csl-citation.json"}</w:instrText>
      </w:r>
      <w:r w:rsidRPr="000A7DD2">
        <w:rPr>
          <w:rFonts w:ascii="Times New Roman" w:hAnsi="Times New Roman" w:cs="Times New Roman"/>
          <w:sz w:val="24"/>
          <w:szCs w:val="24"/>
          <w:lang w:val="en-US"/>
        </w:rPr>
        <w:fldChar w:fldCharType="separate"/>
      </w:r>
      <w:r w:rsidRPr="00EE4BC3">
        <w:rPr>
          <w:rFonts w:ascii="Times New Roman" w:hAnsi="Times New Roman" w:cs="Times New Roman"/>
          <w:noProof/>
          <w:sz w:val="24"/>
          <w:szCs w:val="24"/>
          <w:lang w:val="en-US"/>
        </w:rPr>
        <w:t>3</w:t>
      </w:r>
      <w:r w:rsidRPr="000A7DD2">
        <w:rPr>
          <w:rFonts w:ascii="Times New Roman" w:hAnsi="Times New Roman" w:cs="Times New Roman"/>
          <w:sz w:val="24"/>
          <w:szCs w:val="24"/>
          <w:lang w:val="en-US"/>
        </w:rPr>
        <w:fldChar w:fldCharType="end"/>
      </w:r>
      <w:r w:rsidR="000A7DD2">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and the translocase CD36</w:t>
      </w:r>
      <w:r w:rsidR="00EE4BC3">
        <w:rPr>
          <w:rFonts w:ascii="Times New Roman" w:hAnsi="Times New Roman" w:cs="Times New Roman"/>
          <w:sz w:val="24"/>
          <w:szCs w:val="24"/>
          <w:lang w:val="en-US"/>
        </w:rPr>
        <w:t xml:space="preserve"> [</w:t>
      </w:r>
      <w:r w:rsidRPr="00EE4BC3">
        <w:rPr>
          <w:rFonts w:ascii="Times New Roman" w:hAnsi="Times New Roman" w:cs="Times New Roman"/>
          <w:sz w:val="24"/>
          <w:szCs w:val="24"/>
          <w:lang w:val="en-US"/>
        </w:rPr>
        <w:fldChar w:fldCharType="begin" w:fldLock="1"/>
      </w:r>
      <w:r w:rsidRPr="00EE4BC3">
        <w:rPr>
          <w:rFonts w:ascii="Times New Roman" w:hAnsi="Times New Roman" w:cs="Times New Roman"/>
          <w:sz w:val="24"/>
          <w:szCs w:val="24"/>
          <w:lang w:val="en-US"/>
        </w:rPr>
        <w:instrText>ADDIN CSL_CITATION {"citationItems":[{"id":"ITEM-1","itemData":{"DOI":"10.1038/nrneph.2017.126","ISSN":"1759507X","PMID":"28919632","abstract":"CD36 (also known as scavenger receptor B2) is a multifunctional receptor that mediates the binding and cellular uptake of long-chain fatty acids, oxidized lipids and phospholipids, advanced oxidation protein products, thrombospondin and advanced glycation end products, and has roles in lipid accumulation, inflammatory signalling, energy reprogramming, apoptosis and kidney fibrosis. Renal CD36 is mainly expressed in tubular epithelial cells, podocytes and mesangial cells, and is markedly upregulated in the setting of chronic kidney disease (CKD). As fatty acids are the preferred energy source for proximal tubule cells, a reduction in fatty acid oxidation in CKD affects kidney lipid metabolism by disrupting the balance between fatty acid synthesis, uptake and consumption. The outcome is intracellular lipid accumulation, which has an important role in the pathogenesis of kidney fibrosis. In experimental models, antagonist blockade or genetic knockout of CD36 prevents kidney injury, suggesting that CD36 could be a novel target for therapy. Here, we discuss the regulation and post-Translational modification of CD36, its role in renal pathophysiology and its potential as a biomarker and as a therapeutic target for the prevention of kidney fibrosis.","author":[{"dropping-particle":"","family":"Yang","given":"Xiaochun","non-dropping-particle":"","parse-names":false,"suffix":""},{"dropping-particle":"","family":"Okamura","given":"Daryl M.","non-dropping-particle":"","parse-names":false,"suffix":""},{"dropping-particle":"","family":"Lu","given":"Xifeng","non-dropping-particle":"","parse-names":false,"suffix":""},{"dropping-particle":"","family":"Chen","given":"Yaxi","non-dropping-particle":"","parse-names":false,"suffix":""},{"dropping-particle":"","family":"Moorhead","given":"John","non-dropping-particle":"","parse-names":false,"suffix":""},{"dropping-particle":"","family":"Varghese","given":"Zac","non-dropping-particle":"","parse-names":false,"suffix":""},{"dropping-particle":"","family":"Ruan","given":"Xiong Z.","non-dropping-particle":"","parse-names":false,"suffix":""}],"container-title":"Nature Reviews Nephrology","id":"ITEM-1","issue":"12","issued":{"date-parts":[["2017"]]},"page":"769-781","publisher":"Nature Publishing Group","title":"Cd36 in chronic kidney disease: Novel insights and therapeutic opportunities","type":"article-journal","volume":"13"},"uris":["http://www.mendeley.com/documents/?uuid=84d6139b-0ca7-45c0-8a88-8c019a9721a1"]}],"mendeley":{"formattedCitation":"&lt;sup&gt;4&lt;/sup&gt;","plainTextFormattedCitation":"4","previouslyFormattedCitation":"&lt;sup&gt;4&lt;/sup&gt;"},"properties":{"noteIndex":0},"schema":"https://github.com/citation-style-language/schema/raw/master/csl-citation.json"}</w:instrText>
      </w:r>
      <w:r w:rsidRPr="00EE4BC3">
        <w:rPr>
          <w:rFonts w:ascii="Times New Roman" w:hAnsi="Times New Roman" w:cs="Times New Roman"/>
          <w:sz w:val="24"/>
          <w:szCs w:val="24"/>
          <w:lang w:val="en-US"/>
        </w:rPr>
        <w:fldChar w:fldCharType="separate"/>
      </w:r>
      <w:r w:rsidRPr="00EE4BC3">
        <w:rPr>
          <w:rFonts w:ascii="Times New Roman" w:hAnsi="Times New Roman" w:cs="Times New Roman"/>
          <w:noProof/>
          <w:sz w:val="24"/>
          <w:szCs w:val="24"/>
          <w:lang w:val="en-US"/>
        </w:rPr>
        <w:t>4</w:t>
      </w:r>
      <w:r w:rsidRPr="00EE4BC3">
        <w:rPr>
          <w:rFonts w:ascii="Times New Roman" w:hAnsi="Times New Roman" w:cs="Times New Roman"/>
          <w:sz w:val="24"/>
          <w:szCs w:val="24"/>
          <w:lang w:val="en-US"/>
        </w:rPr>
        <w:fldChar w:fldCharType="end"/>
      </w:r>
      <w:r w:rsidR="00EE4BC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In diabetic chronic kidney disease (CKD), a </w:t>
      </w:r>
      <w:proofErr w:type="spellStart"/>
      <w:r w:rsidRPr="00405F18">
        <w:rPr>
          <w:rFonts w:ascii="Times New Roman" w:hAnsi="Times New Roman" w:cs="Times New Roman"/>
          <w:sz w:val="24"/>
          <w:szCs w:val="24"/>
          <w:lang w:val="en-US"/>
        </w:rPr>
        <w:t>tubulocentric</w:t>
      </w:r>
      <w:proofErr w:type="spellEnd"/>
      <w:r w:rsidRPr="00405F18">
        <w:rPr>
          <w:rFonts w:ascii="Times New Roman" w:hAnsi="Times New Roman" w:cs="Times New Roman"/>
          <w:sz w:val="24"/>
          <w:szCs w:val="24"/>
          <w:lang w:val="en-US"/>
        </w:rPr>
        <w:t xml:space="preserve"> view has emerged </w:t>
      </w:r>
      <w:r w:rsidR="0046780C" w:rsidRPr="00405F18">
        <w:rPr>
          <w:rFonts w:ascii="Times New Roman" w:hAnsi="Times New Roman" w:cs="Times New Roman"/>
          <w:sz w:val="24"/>
          <w:szCs w:val="24"/>
          <w:lang w:val="en-US"/>
        </w:rPr>
        <w:t>postulating</w:t>
      </w:r>
      <w:r w:rsidRPr="00405F18">
        <w:rPr>
          <w:rFonts w:ascii="Times New Roman" w:hAnsi="Times New Roman" w:cs="Times New Roman"/>
          <w:sz w:val="24"/>
          <w:szCs w:val="24"/>
          <w:lang w:val="en-US"/>
        </w:rPr>
        <w:t xml:space="preserve"> that tubulopathy is the primary injury and a causative event in the development of the disease</w:t>
      </w:r>
      <w:r w:rsidR="00EE4BC3">
        <w:rPr>
          <w:rFonts w:ascii="Times New Roman" w:hAnsi="Times New Roman" w:cs="Times New Roman"/>
          <w:sz w:val="24"/>
          <w:szCs w:val="24"/>
          <w:lang w:val="en-US"/>
        </w:rPr>
        <w:t xml:space="preserve"> [</w:t>
      </w:r>
      <w:r w:rsidRPr="00EE4BC3">
        <w:rPr>
          <w:rFonts w:ascii="Times New Roman" w:hAnsi="Times New Roman" w:cs="Times New Roman"/>
          <w:sz w:val="24"/>
          <w:szCs w:val="24"/>
          <w:lang w:val="en-US"/>
        </w:rPr>
        <w:fldChar w:fldCharType="begin" w:fldLock="1"/>
      </w:r>
      <w:r w:rsidRPr="00EE4BC3">
        <w:rPr>
          <w:rFonts w:ascii="Times New Roman" w:hAnsi="Times New Roman" w:cs="Times New Roman"/>
          <w:sz w:val="24"/>
          <w:szCs w:val="24"/>
          <w:lang w:val="en-US"/>
        </w:rPr>
        <w:instrText>ADDIN CSL_CITATION {"citationItems":[{"id":"ITEM-1","itemData":{"DOI":"10.1007/s40620-017-0423-9","ISBN":"4062001704239","ISSN":"17246059","PMID":"28840540","abstract":"Diabetic nephropathy (DN) is a common complication of Diabetes Mellitus (DM) Types 1 and 2, and prevention of end stage renal disease (ESRD) remains a major challenge. Despite its high prevalence, the pathogenesis of DN is still controversial. Initial glomerular disease manifested by hyperfiltration and loss of glomerular size and charge permselectivity may initiate a cascade of injuries, including tubulo-interstitial disease. Clinically, ‘microalbuminuria’ is still accepted as an early biomarker of glomerular damage, despite mounting evidence that its predictive value for DN is questionable, and findings that suggest the proximal tubule is an important link in the development of DN. The concept of ‘diabetic tubulopathy’ has emerged from recent studies, and its causative role in DN is supported by clinical and experimental evidence, as well as plausible pathogenetic mechanisms. This review explores the ‘tubulocentric’ view of DN. The recent finding that inhibition of proximal tubule (PT) glucose transport (via SGLT2) is nephro-protective in diabetic patients is discussed in relation to the tubule’s potential role in DN. Studies with a tubulocentric view of DN have stimulated alternative clinical approaches to the early detection of diabetic kidney disease. There are tubular biomarkers considered as direct indicators of injury of the proximal tubule (PT), such as N-acetyl-β-D-glucosaminidase, Neutrophil Gelatinase-Associated Lipocalin and Kidney Injury Molecule-1, and other functional PT biomarkers, such as Urine free Retinol-Binding Protein 4 and Cystatin C, which reflect impaired reabsorption of filtered proteins. The clinical application of these measurements to diabetic patients will be reviewed in the context of the need for better biomarkers for early DN.","author":[{"dropping-particle":"","family":"Zeni","given":"Letizia","non-dropping-particle":"","parse-names":false,"suffix":""},{"dropping-particle":"","family":"Norden","given":"Anthony G.W.","non-dropping-particle":"","parse-names":false,"suffix":""},{"dropping-particle":"","family":"Cancarini","given":"Giovanni","non-dropping-particle":"","parse-names":false,"suffix":""},{"dropping-particle":"","family":"Unwin","given":"Robert J.","non-dropping-particle":"","parse-names":false,"suffix":""}],"container-title":"Journal of Nephrology","id":"ITEM-1","issue":"6","issued":{"date-parts":[["2017"]]},"page":"701-717","publisher":"Springer International Publishing","title":"A more tubulocentric view of diabetic kidney disease","type":"article-journal","volume":"30"},"uris":["http://www.mendeley.com/documents/?uuid=9c7b7ff9-d651-4486-997e-f93d803d61f1"]}],"mendeley":{"formattedCitation":"&lt;sup&gt;5&lt;/sup&gt;","plainTextFormattedCitation":"5","previouslyFormattedCitation":"&lt;sup&gt;5&lt;/sup&gt;"},"properties":{"noteIndex":0},"schema":"https://github.com/citation-style-language/schema/raw/master/csl-citation.json"}</w:instrText>
      </w:r>
      <w:r w:rsidRPr="00EE4BC3">
        <w:rPr>
          <w:rFonts w:ascii="Times New Roman" w:hAnsi="Times New Roman" w:cs="Times New Roman"/>
          <w:sz w:val="24"/>
          <w:szCs w:val="24"/>
          <w:lang w:val="en-US"/>
        </w:rPr>
        <w:fldChar w:fldCharType="separate"/>
      </w:r>
      <w:r w:rsidRPr="00EE4BC3">
        <w:rPr>
          <w:rFonts w:ascii="Times New Roman" w:hAnsi="Times New Roman" w:cs="Times New Roman"/>
          <w:noProof/>
          <w:sz w:val="24"/>
          <w:szCs w:val="24"/>
          <w:lang w:val="en-US"/>
        </w:rPr>
        <w:t>5</w:t>
      </w:r>
      <w:r w:rsidRPr="00EE4BC3">
        <w:rPr>
          <w:rFonts w:ascii="Times New Roman" w:hAnsi="Times New Roman" w:cs="Times New Roman"/>
          <w:sz w:val="24"/>
          <w:szCs w:val="24"/>
          <w:lang w:val="en-US"/>
        </w:rPr>
        <w:fldChar w:fldCharType="end"/>
      </w:r>
      <w:r w:rsidR="00EE4BC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This </w:t>
      </w:r>
      <w:r w:rsidR="0046780C" w:rsidRPr="00405F18">
        <w:rPr>
          <w:rFonts w:ascii="Times New Roman" w:hAnsi="Times New Roman" w:cs="Times New Roman"/>
          <w:sz w:val="24"/>
          <w:szCs w:val="24"/>
          <w:lang w:val="en-US"/>
        </w:rPr>
        <w:t>concept</w:t>
      </w:r>
      <w:r w:rsidRPr="00405F18">
        <w:rPr>
          <w:rFonts w:ascii="Times New Roman" w:hAnsi="Times New Roman" w:cs="Times New Roman"/>
          <w:sz w:val="24"/>
          <w:szCs w:val="24"/>
          <w:lang w:val="en-US"/>
        </w:rPr>
        <w:t xml:space="preserve"> emerged </w:t>
      </w:r>
      <w:r w:rsidR="00F06E12" w:rsidRPr="00405F18">
        <w:rPr>
          <w:rFonts w:ascii="Times New Roman" w:hAnsi="Times New Roman" w:cs="Times New Roman"/>
          <w:sz w:val="24"/>
          <w:szCs w:val="24"/>
          <w:lang w:val="en-US"/>
        </w:rPr>
        <w:t>since</w:t>
      </w:r>
      <w:r w:rsidRPr="00405F18">
        <w:rPr>
          <w:rFonts w:ascii="Times New Roman" w:hAnsi="Times New Roman" w:cs="Times New Roman"/>
          <w:sz w:val="24"/>
          <w:szCs w:val="24"/>
          <w:lang w:val="en-US"/>
        </w:rPr>
        <w:t xml:space="preserve"> some diabetic patients </w:t>
      </w:r>
      <w:r w:rsidR="00F06E12" w:rsidRPr="00405F18">
        <w:rPr>
          <w:rFonts w:ascii="Times New Roman" w:hAnsi="Times New Roman" w:cs="Times New Roman"/>
          <w:sz w:val="24"/>
          <w:szCs w:val="24"/>
          <w:lang w:val="en-US"/>
        </w:rPr>
        <w:t xml:space="preserve">with </w:t>
      </w:r>
      <w:r w:rsidRPr="00405F18">
        <w:rPr>
          <w:rFonts w:ascii="Times New Roman" w:hAnsi="Times New Roman" w:cs="Times New Roman"/>
          <w:sz w:val="24"/>
          <w:szCs w:val="24"/>
          <w:lang w:val="en-US"/>
        </w:rPr>
        <w:t>renal failure</w:t>
      </w:r>
      <w:r w:rsidR="00F06E12" w:rsidRPr="00405F18">
        <w:rPr>
          <w:rFonts w:ascii="Times New Roman" w:hAnsi="Times New Roman" w:cs="Times New Roman"/>
          <w:sz w:val="24"/>
          <w:szCs w:val="24"/>
          <w:lang w:val="en-US"/>
        </w:rPr>
        <w:t xml:space="preserve"> present</w:t>
      </w:r>
      <w:r w:rsidRPr="00405F18">
        <w:rPr>
          <w:rFonts w:ascii="Times New Roman" w:hAnsi="Times New Roman" w:cs="Times New Roman"/>
          <w:sz w:val="24"/>
          <w:szCs w:val="24"/>
          <w:lang w:val="en-US"/>
        </w:rPr>
        <w:t xml:space="preserve"> </w:t>
      </w:r>
      <w:proofErr w:type="spellStart"/>
      <w:r w:rsidRPr="00405F18">
        <w:rPr>
          <w:rFonts w:ascii="Times New Roman" w:hAnsi="Times New Roman" w:cs="Times New Roman"/>
          <w:sz w:val="24"/>
          <w:szCs w:val="24"/>
          <w:lang w:val="en-US"/>
        </w:rPr>
        <w:t>normoalbuminuria</w:t>
      </w:r>
      <w:proofErr w:type="spellEnd"/>
      <w:r w:rsidR="004B6B50"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and</w:t>
      </w:r>
      <w:r w:rsidR="004B6B50" w:rsidRPr="00405F18">
        <w:rPr>
          <w:rFonts w:ascii="Times New Roman" w:hAnsi="Times New Roman" w:cs="Times New Roman"/>
          <w:sz w:val="24"/>
          <w:szCs w:val="24"/>
          <w:lang w:val="en-US"/>
        </w:rPr>
        <w:t xml:space="preserve"> then</w:t>
      </w:r>
      <w:r w:rsidRPr="00405F18">
        <w:rPr>
          <w:rFonts w:ascii="Times New Roman" w:hAnsi="Times New Roman" w:cs="Times New Roman"/>
          <w:sz w:val="24"/>
          <w:szCs w:val="24"/>
          <w:lang w:val="en-US"/>
        </w:rPr>
        <w:t xml:space="preserve"> was further supported by the occurrence of tubule injur</w:t>
      </w:r>
      <w:r w:rsidR="004B6B50" w:rsidRPr="00405F18">
        <w:rPr>
          <w:rFonts w:ascii="Times New Roman" w:hAnsi="Times New Roman" w:cs="Times New Roman"/>
          <w:sz w:val="24"/>
          <w:szCs w:val="24"/>
          <w:lang w:val="en-US"/>
        </w:rPr>
        <w:t>ies</w:t>
      </w:r>
      <w:r w:rsidRPr="00405F18">
        <w:rPr>
          <w:rFonts w:ascii="Times New Roman" w:hAnsi="Times New Roman" w:cs="Times New Roman"/>
          <w:sz w:val="24"/>
          <w:szCs w:val="24"/>
          <w:lang w:val="en-US"/>
        </w:rPr>
        <w:t xml:space="preserve"> (stress marker expression and tubular proteinuria) prior glomerular damage in animal models of diabetes</w:t>
      </w:r>
      <w:r w:rsidR="00EE4BC3">
        <w:rPr>
          <w:rFonts w:ascii="Times New Roman" w:hAnsi="Times New Roman" w:cs="Times New Roman"/>
          <w:sz w:val="24"/>
          <w:szCs w:val="24"/>
          <w:lang w:val="en-US"/>
        </w:rPr>
        <w:t xml:space="preserve"> [</w:t>
      </w:r>
      <w:r w:rsidRPr="00EE4BC3">
        <w:rPr>
          <w:rFonts w:ascii="Times New Roman" w:hAnsi="Times New Roman" w:cs="Times New Roman"/>
          <w:sz w:val="24"/>
          <w:szCs w:val="24"/>
          <w:lang w:val="en-US"/>
        </w:rPr>
        <w:fldChar w:fldCharType="begin" w:fldLock="1"/>
      </w:r>
      <w:r w:rsidRPr="00EE4BC3">
        <w:rPr>
          <w:rFonts w:ascii="Times New Roman" w:hAnsi="Times New Roman" w:cs="Times New Roman"/>
          <w:sz w:val="24"/>
          <w:szCs w:val="24"/>
          <w:lang w:val="en-US"/>
        </w:rPr>
        <w:instrText>ADDIN CSL_CITATION {"citationItems":[{"id":"ITEM-1","itemData":{"DOI":"10.2337/dc09-0112","ISSN":"01495992","PMID":"19366958","abstract":"OBJECTIVE - Proteinuria is the hallmark of diabetic nephropathy; yet, glomerular histology does not fully explain mechanisms contributing to proteinuria. Our objective was to identify proteins in the urine of individuals with type 1 diabetes and microalbuminuria that might implicate a mechanistic pathway operative in proteinuria. RESEARCH DESIGN AND METHODS - Using a GeLC/MS platform proteomics approach, we compared the urine proteome from 12 healthy nondiabetic individuals, 12 subjects with type 1 diabetes yet normal urinary albumin excretion rates, and 12 subjects with type 1 diabetes and microalbuminuria (type 1 diabetes + microalbuminuria). RESULTS - The abundance of megalin and cubilin, two multiligand receptors expressed in kidney proximal tubule cells and involved with the reuptake of filtered albumin and megalin/ cubilin ligands, was significantly increased in type 1 diabetes + microalbuminuria urine, compared with both nonalbuminuric groups. CONCLUSIONS - Aberrant shedding of megalin and cubilin could contribute to albuminuria in diabetes and to deficiency states of important vitamins and hormones. © 2009 by the American Diabetes Association.","author":[{"dropping-particle":"","family":"Thrailkill","given":"Kathryn M.","non-dropping-particle":"","parse-names":false,"suffix":""},{"dropping-particle":"","family":"Nimmo","given":"Teresa","non-dropping-particle":"","parse-names":false,"suffix":""},{"dropping-particle":"","family":"Bunn","given":"R. Clay","non-dropping-particle":"","parse-names":false,"suffix":""},{"dropping-particle":"","family":"Cockrell","given":"Gael E.","non-dropping-particle":"","parse-names":false,"suffix":""},{"dropping-particle":"","family":"Moreau","given":"Cynthia S.","non-dropping-particle":"","parse-names":false,"suffix":""},{"dropping-particle":"","family":"Mackintosh","given":"Samuel","non-dropping-particle":"","parse-names":false,"suffix":""},{"dropping-particle":"","family":"Edmondson","given":"Ricky D.","non-dropping-particle":"","parse-names":false,"suffix":""},{"dropping-particle":"","family":"Fowlkes","given":"John L.","non-dropping-particle":"","parse-names":false,"suffix":""}],"container-title":"Diabetes Care","id":"ITEM-1","issue":"7","issued":{"date-parts":[["2009"]]},"page":"1266-1268","title":"Microalbuminuria in type 1 diabetes is associated with enhanced excretion of the endocytic multiligand receptors megalin and cubilin","type":"article-journal","volume":"32"},"uris":["http://www.mendeley.com/documents/?uuid=9b46069e-c0f4-4559-886f-c39ad69a2825"]},{"id":"ITEM-2","itemData":{"DOI":"10.1007/s004180100317","ISBN":"8133815541","ISSN":"09486143","PMID":"11685557","abstract":"The aim of this study is to investigate the role of the proximal tubule in microalbuminuria in the early stage of diabetic nephropathy. Diabetes was induced in male Sprague-Dawley rats by an injection of streptozotocin (50 mg/kg, i.v.). After 2 weeks, albumin delivery in the proximal tubule was measured using micropuncture and the endocytosis process of FITC-labeled albumin was evaluated with immunoelectron microscopy. Albumin was significantly reabsorbed in the proximal convoluted tubule (PCT) of controls (0.39±0.05 ng/min at early PCT to 0.17±0.08 at late PCT, P&lt;0.05), whereas albumin reabsorption was inhibited in diabetic rats (0.27±0.05 to 0.21±0.08). Immunogold study revealed that FITC-albumin was significantly less reabsorbed in endosomes and lysosomes of S1 segments in diabetic rats than in controls (endosome: 1.20±0.10 vs 2.16±0.15 μm-1, P&lt;0.0001; lysosome: 0.26±0.03 vs 0.83±0.07, P&lt;0.0001). The expression of megalin, an endocytosis receptor, was decreased at the apical membrane of PCT in diabetic rats. The lipid peroxidation production in the proximal tubule was significantly increased in diabetic rats. In conclusion, albuminuria in early-stage diabetic rats can be partly explained by a decreased albumin endocytosis with reduced megalin expression and with increased lipid peroxidation in the proximal tubule.","author":[{"dropping-particle":"","family":"Tojo","given":"Akihiro","non-dropping-particle":"","parse-names":false,"suffix":""},{"dropping-particle":"","family":"Onozato","given":"Maristela","non-dropping-particle":"","parse-names":false,"suffix":""},{"dropping-particle":"","family":"Ha","given":"Hunjoo","non-dropping-particle":"","parse-names":false,"suffix":""},{"dropping-particle":"","family":"Kurihara","given":"Hidetake","non-dropping-particle":"","parse-names":false,"suffix":""},{"dropping-particle":"","family":"Sakai","given":"Tatsuo","non-dropping-particle":"","parse-names":false,"suffix":""},{"dropping-particle":"","family":"Goto","given":"Atsuo","non-dropping-particle":"","parse-names":false,"suffix":""},{"dropping-particle":"","family":"Fujita","given":"Toshiro","non-dropping-particle":"","parse-names":false,"suffix":""},{"dropping-particle":"","family":"Endou","given":"Hitoshi","non-dropping-particle":"","parse-names":false,"suffix":""}],"container-title":"Histochemistry and Cell Biology","id":"ITEM-2","issue":"3","issued":{"date-parts":[["2001"]]},"page":"269-276","title":"Reduced albumin reabsorption in the proximal tubule of early-stage diabetic rats","type":"article-journal","volume":"116"},"uris":["http://www.mendeley.com/documents/?uuid=451b0333-55fe-4194-834b-541fb07967dc"]}],"mendeley":{"formattedCitation":"&lt;sup&gt;6,7&lt;/sup&gt;","plainTextFormattedCitation":"6,7","previouslyFormattedCitation":"&lt;sup&gt;6,7&lt;/sup&gt;"},"properties":{"noteIndex":0},"schema":"https://github.com/citation-style-language/schema/raw/master/csl-citation.json"}</w:instrText>
      </w:r>
      <w:r w:rsidRPr="00EE4BC3">
        <w:rPr>
          <w:rFonts w:ascii="Times New Roman" w:hAnsi="Times New Roman" w:cs="Times New Roman"/>
          <w:sz w:val="24"/>
          <w:szCs w:val="24"/>
          <w:lang w:val="en-US"/>
        </w:rPr>
        <w:fldChar w:fldCharType="separate"/>
      </w:r>
      <w:r w:rsidRPr="00EE4BC3">
        <w:rPr>
          <w:rFonts w:ascii="Times New Roman" w:hAnsi="Times New Roman" w:cs="Times New Roman"/>
          <w:noProof/>
          <w:sz w:val="24"/>
          <w:szCs w:val="24"/>
          <w:lang w:val="en-US"/>
        </w:rPr>
        <w:t>6,7</w:t>
      </w:r>
      <w:r w:rsidRPr="00EE4BC3">
        <w:rPr>
          <w:rFonts w:ascii="Times New Roman" w:hAnsi="Times New Roman" w:cs="Times New Roman"/>
          <w:sz w:val="24"/>
          <w:szCs w:val="24"/>
          <w:lang w:val="en-US"/>
        </w:rPr>
        <w:fldChar w:fldCharType="end"/>
      </w:r>
      <w:r w:rsidR="00EE4BC3">
        <w:rPr>
          <w:rFonts w:ascii="Times New Roman" w:hAnsi="Times New Roman" w:cs="Times New Roman"/>
          <w:sz w:val="24"/>
          <w:szCs w:val="24"/>
          <w:lang w:val="en-US"/>
        </w:rPr>
        <w:t>]</w:t>
      </w:r>
      <w:r w:rsidRPr="00405F18">
        <w:rPr>
          <w:rFonts w:ascii="Times New Roman" w:hAnsi="Times New Roman" w:cs="Times New Roman"/>
          <w:sz w:val="24"/>
          <w:szCs w:val="24"/>
          <w:lang w:val="en-US"/>
        </w:rPr>
        <w:t>. Tubular biomarkers have thus gained paramount importance for early diagnosis of the disease. Diabetes-related kidney disease shared several pathological features with obesity-induced CKD. Indeed, obesity is now recognized as the second most predictive factor for end-stage renal disease, independently of diabetes and hypertension</w:t>
      </w:r>
      <w:r w:rsidR="00EE4BC3">
        <w:rPr>
          <w:rFonts w:ascii="Times New Roman" w:hAnsi="Times New Roman" w:cs="Times New Roman"/>
          <w:sz w:val="24"/>
          <w:szCs w:val="24"/>
          <w:lang w:val="en-US"/>
        </w:rPr>
        <w:t xml:space="preserve"> [</w:t>
      </w:r>
      <w:r w:rsidRPr="00EE4BC3">
        <w:rPr>
          <w:rFonts w:ascii="Times New Roman" w:hAnsi="Times New Roman" w:cs="Times New Roman"/>
          <w:sz w:val="24"/>
          <w:szCs w:val="24"/>
          <w:lang w:val="en-US"/>
        </w:rPr>
        <w:fldChar w:fldCharType="begin" w:fldLock="1"/>
      </w:r>
      <w:r w:rsidR="00023A65" w:rsidRPr="00EE4BC3">
        <w:rPr>
          <w:rFonts w:ascii="Times New Roman" w:hAnsi="Times New Roman" w:cs="Times New Roman"/>
          <w:sz w:val="24"/>
          <w:szCs w:val="24"/>
          <w:lang w:val="en-US"/>
        </w:rPr>
        <w:instrText>ADDIN CSL_CITATION {"citationItems":[{"id":"ITEM-1","itemData":{"DOI":"10.1016/j.kint.2016.12.013","ISSN":"15231755","PMID":"28187985","abstract":"Obesity and chronic kidney disease (CKD) are public health priorities that share core pathophysiological mechanisms. However, whether high body mass index (BMI) increases risk of CKD de novo remains ill-defined. To evaluate the role of BMI in predicting CKD onset in the general adult population, we performed a systematic review and meta-analysis of PubMed and ISI Web of Science databases articles published between January 2000 and August 2016 without language restriction. We selected studies in adult individuals from a general population with normal renal function at baseline that reported the risk of low estimated glomerular filtration (eGFR) (under 60 mL/min/1.73m2) and/or albuminuria (1+ at dipstick or an albumin creatinine ratio of 3.4 mg/mmol or more) as hazard ratio, odds ratio or relative risk related to obesity, overweight, or BMI as continuous value. A total of 39 cohorts covering 630, 677 participants with a mean follow-up of 6.8 years were selected. Obesity increased the relative risk, 95% confidence interval and heterogeneity (I2) of developing low eGFR (1.28, 1.07–1.54, [I2: 95.0%]) and albuminuria (1.51, 1.36–1.67, [I2: 62.7%]). Increase of BMI unit was also associated with higher risk of low eGFR (1.02, 1.01–1.03, [I2: 24.3%]) and albuminuria (1.02, 1.00–1.04, [I2: 0%]). Conversely, overweight did not predict onset of either low eGFR (1.06, 0.94–1.21, [I2: 50.0%]) or albuminuria (1.24, 0.98–1.58, [I2: 49.4%]). Thus, a high BMI predicts onset of albuminuria without kidney failure (CKD stages 1–2) as well as CKD stages 3 and higher, the effect being significant only in obese individuals. Hence, our findings may have implications to improve risk stratification and recommendations on body weight control in the general population.","author":[{"dropping-particle":"","family":"Garofalo","given":"Carlo","non-dropping-particle":"","parse-names":false,"suffix":""},{"dropping-particle":"","family":"Borrelli","given":"Silvio","non-dropping-particle":"","parse-names":false,"suffix":""},{"dropping-particle":"","family":"Minutolo","given":"Roberto","non-dropping-particle":"","parse-names":false,"suffix":""},{"dropping-particle":"","family":"Chiodini","given":"Paolo","non-dropping-particle":"","parse-names":false,"suffix":""},{"dropping-particle":"","family":"Nicola","given":"Luca","non-dropping-particle":"De","parse-names":false,"suffix":""},{"dropping-particle":"","family":"Conte","given":"Giuseppe","non-dropping-particle":"","parse-names":false,"suffix":""}],"container-title":"Kidney International","id":"ITEM-1","issue":"5","issued":{"date-parts":[["2017"]]},"page":"1224-1235","publisher":"Elsevier Inc","title":"A systematic review and meta-analysis suggests obesity predicts onset of chronic kidney disease in the general population","type":"article-journal","volume":"91"},"uris":["http://www.mendeley.com/documents/?uuid=79d57fe0-2b49-453a-8188-21176d594fb0"]}],"mendeley":{"formattedCitation":"&lt;sup&gt;8&lt;/sup&gt;","plainTextFormattedCitation":"8","previouslyFormattedCitation":"&lt;sup&gt;8&lt;/sup&gt;"},"properties":{"noteIndex":0},"schema":"https://github.com/citation-style-language/schema/raw/master/csl-citation.json"}</w:instrText>
      </w:r>
      <w:r w:rsidRPr="00EE4BC3">
        <w:rPr>
          <w:rFonts w:ascii="Times New Roman" w:hAnsi="Times New Roman" w:cs="Times New Roman"/>
          <w:sz w:val="24"/>
          <w:szCs w:val="24"/>
          <w:lang w:val="en-US"/>
        </w:rPr>
        <w:fldChar w:fldCharType="separate"/>
      </w:r>
      <w:r w:rsidRPr="00EE4BC3">
        <w:rPr>
          <w:rFonts w:ascii="Times New Roman" w:hAnsi="Times New Roman" w:cs="Times New Roman"/>
          <w:noProof/>
          <w:sz w:val="24"/>
          <w:szCs w:val="24"/>
          <w:lang w:val="en-US"/>
        </w:rPr>
        <w:t>8</w:t>
      </w:r>
      <w:r w:rsidRPr="00EE4BC3">
        <w:rPr>
          <w:rFonts w:ascii="Times New Roman" w:hAnsi="Times New Roman" w:cs="Times New Roman"/>
          <w:sz w:val="24"/>
          <w:szCs w:val="24"/>
          <w:lang w:val="en-US"/>
        </w:rPr>
        <w:fldChar w:fldCharType="end"/>
      </w:r>
      <w:r w:rsidR="00EE4BC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bookmarkStart w:id="3" w:name="_Hlk158619817"/>
      <w:r w:rsidRPr="00405F18">
        <w:rPr>
          <w:rFonts w:ascii="Times New Roman" w:hAnsi="Times New Roman" w:cs="Times New Roman"/>
          <w:sz w:val="24"/>
          <w:szCs w:val="24"/>
          <w:lang w:val="en-US"/>
        </w:rPr>
        <w:t xml:space="preserve">Several studies showed the direct contribution of obesity on renal lipid metabolism dysregulation, defined as </w:t>
      </w:r>
      <w:proofErr w:type="spellStart"/>
      <w:r w:rsidRPr="00405F18">
        <w:rPr>
          <w:rFonts w:ascii="Times New Roman" w:hAnsi="Times New Roman" w:cs="Times New Roman"/>
          <w:sz w:val="24"/>
          <w:szCs w:val="24"/>
          <w:lang w:val="en-US"/>
        </w:rPr>
        <w:t>lipotoxicity</w:t>
      </w:r>
      <w:proofErr w:type="spellEnd"/>
      <w:r w:rsidR="00EE4BC3">
        <w:rPr>
          <w:rFonts w:ascii="Times New Roman" w:hAnsi="Times New Roman" w:cs="Times New Roman"/>
          <w:sz w:val="24"/>
          <w:szCs w:val="24"/>
          <w:lang w:val="en-US"/>
        </w:rPr>
        <w:t xml:space="preserve"> [</w:t>
      </w:r>
      <w:r w:rsidRPr="00EE4BC3">
        <w:rPr>
          <w:rFonts w:ascii="Times New Roman" w:hAnsi="Times New Roman" w:cs="Times New Roman"/>
          <w:sz w:val="24"/>
          <w:szCs w:val="24"/>
          <w:lang w:val="en-US"/>
        </w:rPr>
        <w:fldChar w:fldCharType="begin" w:fldLock="1"/>
      </w:r>
      <w:r w:rsidR="00025345" w:rsidRPr="00EE4BC3">
        <w:rPr>
          <w:rFonts w:ascii="Times New Roman" w:hAnsi="Times New Roman" w:cs="Times New Roman"/>
          <w:sz w:val="24"/>
          <w:szCs w:val="24"/>
          <w:lang w:val="en-US"/>
        </w:rPr>
        <w:instrText>ADDIN CSL_CITATION {"citationItems":[{"id":"ITEM-1","itemData":{"DOI":"10.1038/nm.3762","ISSN":"1546170X","PMID":"25419705","abstract":"Renal fibrosis is the histological manifestation of a progressive, usually irreversible process causing chronic and end-stage kidney disease. We performed genome-wide transcriptome studies of a large cohort (n = 95) of normal and fibrotic human kidney tubule samples followed by systems and network analyses and identified inflammation and metabolism as the top dysregulated pathways in the diseased kidneys. In particular, we found that humans and mouse models with tubulointerstitial fibrosis had lower expression of key enzymes and regulators of fatty acid oxidation (FAO) and higher intracellular lipid deposition compared to controls. In vitro experiments indicated that inhibition of FAO in tubule epithelial cells caused ATP depletion, cell death, dedifferentiation and intracellular lipid deposition, phenotypes observed in fibrosis. In contrast, restoring fatty acid metabolism by genetic or pharmacological methods protected mice from tubulointerstitial fibrosis. Our results raise the possibility that correcting the metabolic defect in FAO may be useful for preventing and treating chronic kidney disease.","author":[{"dropping-particle":"","family":"Kang","given":"Hyun Mi","non-dropping-particle":"","parse-names":false,"suffix":""},{"dropping-particle":"","family":"Ahn","given":"Seon Ho","non-dropping-particle":"","parse-names":false,"suffix":""},{"dropping-particle":"","family":"Choi","given":"Peter","non-dropping-particle":"","parse-names":false,"suffix":""},{"dropping-particle":"","family":"Ko","given":"Yi An","non-dropping-particle":"","parse-names":false,"suffix":""},{"dropping-particle":"","family":"Han","given":"Seung Hyeok","non-dropping-particle":"","parse-names":false,"suffix":""},{"dropping-particle":"","family":"Chinga","given":"Frank","non-dropping-particle":"","parse-names":false,"suffix":""},{"dropping-particle":"","family":"Park","given":"Ae Seo Deok","non-dropping-particle":"","parse-names":false,"suffix":""},{"dropping-particle":"","family":"Tao","given":"Jianling","non-dropping-particle":"","parse-names":false,"suffix":""},{"dropping-particle":"","family":"Sharma","given":"Kumar","non-dropping-particle":"","parse-names":false,"suffix":""},{"dropping-particle":"","family":"Pullman","given":"James","non-dropping-particle":"","parse-names":false,"suffix":""},{"dropping-particle":"","family":"Bottinger","given":"Erwin P.","non-dropping-particle":"","parse-names":false,"suffix":""},{"dropping-particle":"","family":"Goldberg","given":"Ira J.","non-dropping-particle":"","parse-names":false,"suffix":""},{"dropping-particle":"","family":"Susztak","given":"Katalin","non-dropping-particle":"","parse-names":false,"suffix":""}],"container-title":"Nature Medicine","id":"ITEM-1","issue":"1","issued":{"date-parts":[["2015"]]},"page":"37-46","title":"Defective fatty acid oxidation in renal tubular epithelial cells has a key role in kidney fibrosis development","type":"article-journal","volume":"21"},"uris":["http://www.mendeley.com/documents/?uuid=c6b33bfb-ad5d-43ce-a512-621b72679b8b"]},{"id":"ITEM-2","itemData":{"DOI":"10.1681/ASN.2007010089","ISBN":"2007010089","ISSN":"10466673","PMID":"17855643","abstract":"Metabolic syndrome is associated with increased risk of chronic kidney disease, and the renal injury in patients with metabolic syndrome may be a result of altered renal lipid metabolism. We fed wild-type or insulin-sensitive heterozygous peroxisome proliferator-activated receptor γ-deficient (PPARγ+/-) mice a high-fat diet for 16 weeks. In wild-type mice, this diet induced core features of metabolic syndrome, subsequent renal lipid accumulation, and renal injury including glomerulosclerosis, interstitial fibrosis, and albuminuria. Renal lipogenesis accelerated, determined by increased renal mRNA expression of the lipogenic enzymes fatty acid synthase and acetyl-CoA carboxylase (ACC) and by increased ACC activity. In addition, renal lipolysis was suppressed, determined by reduced mRNA expression of the lipolytic enzyme carnitine palmitoyl acyl-CoA transferase 1 and by reduced activity of AMP-activated protein kinase. In PPARγ+/- mice, renal injury, systemic metabolic abnormalities, renal accumulation of lipids, and the changes in renal lipid metabolism were attenuated. Thus, a high-fat diet leads to an altered balance between renal lipogenesis and lipolysis, subsequent renal accumulation of lipid, and renal injury. We suggest that renal lipid metabolism could serve as a new therapeutic target to prevent chronic kidney disease in patients with metabolic syndrome. Copyright © 2007 by the American Society of Nephrology.","author":[{"dropping-particle":"","family":"Kume","given":"Shinji","non-dropping-particle":"","parse-names":false,"suffix":""},{"dropping-particle":"","family":"Uzu","given":"Takashi","non-dropping-particle":"","parse-names":false,"suffix":""},{"dropping-particle":"","family":"Araki","given":"Shin Ichi","non-dropping-particle":"","parse-names":false,"suffix":""},{"dropping-particle":"","family":"Sugimoto","given":"Toshiro","non-dropping-particle":"","parse-names":false,"suffix":""},{"dropping-particle":"","family":"Isshiki","given":"Keiji","non-dropping-particle":"","parse-names":false,"suffix":""},{"dropping-particle":"","family":"Chin-Kanasaki","given":"Masami","non-dropping-particle":"","parse-names":false,"suffix":""},{"dropping-particle":"","family":"Sakaguchi","given":"Masayoshi","non-dropping-particle":"","parse-names":false,"suffix":""},{"dropping-particle":"","family":"Kubota","given":"Naoto","non-dropping-particle":"","parse-names":false,"suffix":""},{"dropping-particle":"","family":"Terauchi","given":"Yasuo","non-dropping-particle":"","parse-names":false,"suffix":""},{"dropping-particle":"","family":"Kadowaki","given":"Takashi","non-dropping-particle":"","parse-names":false,"suffix":""},{"dropping-particle":"","family":"Haneda","given":"Masakazu","non-dropping-particle":"","parse-names":false,"suffix":""},{"dropping-particle":"","family":"Kashiwagi","given":"Atsunori","non-dropping-particle":"","parse-names":false,"suffix":""},{"dropping-particle":"","family":"Koya","given":"Daisuke","non-dropping-particle":"","parse-names":false,"suffix":""}],"container-title":"Journal of the American Society of Nephrology","id":"ITEM-2","issue":"10","issued":{"date-parts":[["2007"]]},"page":"2715-2723","title":"Role of altered renal lipid metabolism in the development of renal injury induced by a high-fat diet","type":"article-journal","volume":"18"},"uris":["http://www.mendeley.com/documents/?uuid=40f33c60-0805-4731-9efd-d831cac16b61"]},{"id":"ITEM-3","itemData":{"DOI":"10.1194/jlr.M088690","ISSN":"15397262","PMID":"30862696","abstract":"High-fat diet (HFD) causes renal lipotoxicity that is ameliorated with AMP-activated protein kinase (AMPK) activation. Although bioactive eicosanoids increase with HFD and are essential in regulation of renal disease, their role in the inflammatory response to HFD-induced kidney disease and their modulation by AMPK activation remain unexplored. In a mouse model, we explored the effects of HFD on eicosanoid synthesis and the role of AMPK activation in ameliorating these changes. We used targeted lipidomic profiling with quantitative MS to determine PUFA and eicosanoid content in kidneys, urine, and renal arterial and venous circulation. HFD increased phospholipase expression as well as the total and free pro-inflammatory arachidonic acid (AA) and anti-inflammatory DHA in kidneys. Consistent with the parent PUFA levels, the AA- and DHA-derived lipoxygenase (LOX), cytochrome P450, and nonenzymatic degradation (NE) metabolites increased in kidneys with HFD, while EPA-derived LOX and NE metabolites decreased. Conversely, treatment with 5-aminoimidazole-4-carboxamide-1-D-furanosyl 5′-monophosphate (AICAR), an AMPK activator, reduced the free AA and DHA content and the DHA-derived metabolites in kidney. Interestingly, kidney and circulating AA, AA metabolites, EPA-derived LOX, and NE metabolites are increased with HFD; whereas, DHA metabolites are increased in kidney in contrast to their decreased circulating levels with HFD. Together, these changes showcase HFD-induced pro- and anti-inflammatory eicosanoid dysregulation and highlight the role of AMPK in correcting HFD-induced dysregulated eicosanoid pathways.","author":[{"dropping-particle":"","family":"Declèves","given":"Anne Emilie","non-dropping-particle":"","parse-names":false,"suffix":""},{"dropping-particle":"V.","family":"Mathew","given":"Anna","non-dropping-particle":"","parse-names":false,"suffix":""},{"dropping-particle":"","family":"Armando","given":"Aaron M.","non-dropping-particle":"","parse-names":false,"suffix":""},{"dropping-particle":"","family":"Han","given":"Xianlin","non-dropping-particle":"","parse-names":false,"suffix":""},{"dropping-particle":"","family":"Dennis","given":"Edward A.","non-dropping-particle":"","parse-names":false,"suffix":""},{"dropping-particle":"","family":"Quehenberger","given":"Oswald","non-dropping-particle":"","parse-names":false,"suffix":""},{"dropping-particle":"","family":"Sharma","given":"Kumar","non-dropping-particle":"","parse-names":false,"suffix":""}],"container-title":"Journal of Lipid Research","id":"ITEM-3","issue":"5","issued":{"date-parts":[["2019"]]},"page":"937-952","title":"AMP-activated protein kinase activation ameliorates eicosanoid dysregulation in high-fat-induced kidney disease in mice","type":"article-journal","volume":"60"},"uris":["http://www.mendeley.com/documents/?uuid=a73b0cf8-662f-4c2b-8b40-5196900f6917"]}],"mendeley":{"formattedCitation":"&lt;sup&gt;9–11&lt;/sup&gt;","plainTextFormattedCitation":"9–11","previouslyFormattedCitation":"&lt;sup&gt;9–11&lt;/sup&gt;"},"properties":{"noteIndex":0},"schema":"https://github.com/citation-style-language/schema/raw/master/csl-citation.json"}</w:instrText>
      </w:r>
      <w:r w:rsidRPr="00EE4BC3">
        <w:rPr>
          <w:rFonts w:ascii="Times New Roman" w:hAnsi="Times New Roman" w:cs="Times New Roman"/>
          <w:sz w:val="24"/>
          <w:szCs w:val="24"/>
          <w:lang w:val="en-US"/>
        </w:rPr>
        <w:fldChar w:fldCharType="separate"/>
      </w:r>
      <w:r w:rsidR="002500AB" w:rsidRPr="00EE4BC3">
        <w:rPr>
          <w:rFonts w:ascii="Times New Roman" w:hAnsi="Times New Roman" w:cs="Times New Roman"/>
          <w:noProof/>
          <w:sz w:val="24"/>
          <w:szCs w:val="24"/>
          <w:lang w:val="en-US"/>
        </w:rPr>
        <w:t>9–11</w:t>
      </w:r>
      <w:r w:rsidRPr="00EE4BC3">
        <w:rPr>
          <w:rFonts w:ascii="Times New Roman" w:hAnsi="Times New Roman" w:cs="Times New Roman"/>
          <w:sz w:val="24"/>
          <w:szCs w:val="24"/>
          <w:lang w:val="en-US"/>
        </w:rPr>
        <w:fldChar w:fldCharType="end"/>
      </w:r>
      <w:bookmarkEnd w:id="3"/>
      <w:r w:rsidR="00EE4BC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In line with the </w:t>
      </w:r>
      <w:proofErr w:type="spellStart"/>
      <w:r w:rsidRPr="00405F18">
        <w:rPr>
          <w:rFonts w:ascii="Times New Roman" w:hAnsi="Times New Roman" w:cs="Times New Roman"/>
          <w:sz w:val="24"/>
          <w:szCs w:val="24"/>
          <w:lang w:val="en-US"/>
        </w:rPr>
        <w:t>tubulocentric</w:t>
      </w:r>
      <w:proofErr w:type="spellEnd"/>
      <w:r w:rsidRPr="00405F18">
        <w:rPr>
          <w:rFonts w:ascii="Times New Roman" w:hAnsi="Times New Roman" w:cs="Times New Roman"/>
          <w:sz w:val="24"/>
          <w:szCs w:val="24"/>
          <w:lang w:val="en-US"/>
        </w:rPr>
        <w:t xml:space="preserve"> view, PTEC</w:t>
      </w:r>
      <w:r w:rsidR="00581D04" w:rsidRPr="00405F18">
        <w:rPr>
          <w:rFonts w:ascii="Times New Roman" w:hAnsi="Times New Roman" w:cs="Times New Roman"/>
          <w:sz w:val="24"/>
          <w:szCs w:val="24"/>
          <w:lang w:val="en-US"/>
        </w:rPr>
        <w:t>s</w:t>
      </w:r>
      <w:r w:rsidR="00AE3C79" w:rsidRPr="00405F18">
        <w:rPr>
          <w:rFonts w:ascii="Times New Roman" w:hAnsi="Times New Roman" w:cs="Times New Roman"/>
          <w:sz w:val="24"/>
          <w:szCs w:val="24"/>
          <w:lang w:val="en-US"/>
        </w:rPr>
        <w:t xml:space="preserve"> of both patients and animal models with obesity-related CKD</w:t>
      </w:r>
      <w:r w:rsidRPr="00405F18">
        <w:rPr>
          <w:rFonts w:ascii="Times New Roman" w:hAnsi="Times New Roman" w:cs="Times New Roman"/>
          <w:sz w:val="24"/>
          <w:szCs w:val="24"/>
          <w:lang w:val="en-US"/>
        </w:rPr>
        <w:t xml:space="preserve"> present ectopic lipid depositions associated with tubulointerstitial inflammation and fibrosis</w:t>
      </w:r>
      <w:r w:rsidR="00EE4BC3">
        <w:rPr>
          <w:rFonts w:ascii="Times New Roman" w:hAnsi="Times New Roman" w:cs="Times New Roman"/>
          <w:sz w:val="24"/>
          <w:szCs w:val="24"/>
          <w:lang w:val="en-US"/>
        </w:rPr>
        <w:t xml:space="preserve"> [</w:t>
      </w:r>
      <w:r w:rsidRPr="00EE4BC3">
        <w:rPr>
          <w:rFonts w:ascii="Times New Roman" w:hAnsi="Times New Roman" w:cs="Times New Roman"/>
          <w:sz w:val="24"/>
          <w:szCs w:val="24"/>
          <w:lang w:val="en-US"/>
        </w:rPr>
        <w:fldChar w:fldCharType="begin" w:fldLock="1"/>
      </w:r>
      <w:r w:rsidR="00025345" w:rsidRPr="00EE4BC3">
        <w:rPr>
          <w:rFonts w:ascii="Times New Roman" w:hAnsi="Times New Roman" w:cs="Times New Roman"/>
          <w:sz w:val="24"/>
          <w:szCs w:val="24"/>
          <w:lang w:val="en-US"/>
        </w:rPr>
        <w:instrText>ADDIN CSL_CITATION {"citationItems":[{"id":"ITEM-1","itemData":{"DOI":"10.1681/ASN.2016070731","author":[{"dropping-particle":"","family":"Yamamoto","given":"Takeshi","non-dropping-particle":"","parse-names":false,"suffix":""},{"dropping-particle":"","family":"Takabatake","given":"Yoshitsugu","non-dropping-particle":"","parse-names":false,"suffix":""},{"dropping-particle":"","family":"Takahashi","given":"Atsushi","non-dropping-particle":"","parse-names":false,"suffix":""},{"dropping-particle":"","family":"Kimura","given":"Tomonori","non-dropping-particle":"","parse-names":false,"suffix":""}],"id":"ITEM-1","issued":{"date-parts":[["2016"]]},"page":"1-18","title":"High-Fat Diet-Induced Lysosomal Dysfunction and Impaired Autophagic Flux Contribute to Lipotoxicity in the Kidney","type":"article-journal"},"uris":["http://www.mendeley.com/documents/?uuid=4b43565d-4ca2-4963-a53a-b7cf6b1d140b"]},{"id":"ITEM-2","itemData":{"DOI":"10.1038/ki.2013.462","ISSN":"15231755","abstract":"AMP-Activated protein kinase (AMPK) is an important energy sensor that may be critical in regulating renal lipid accumulation. To evaluate the role of AMPK in mediating renal lipid accumulation, C57BL/6J mice were randomized to a standard diet, a high-fat diet, or a high-fat diet plus AICAR (an AMPK activator) for 14 weeks. Renal functional and structural studies along with electron microscopy were performed. Mice given the high-fat diet had proximal tubule injury with the presence of enlarged clear vacuoles, and multilaminar inclusions concurrent with an increase of tissue lipid and overloading of the lysosomal system. The margins of the clear vacuoles were positive for the endolysosomal marker, LAMP1, suggesting lysosome accumulation. Characterization of vesicles by special stains (Oil Red O, Nile Red, Luxol Fast Blue) and by electron microscopy showed they contained onion skin-like accumulations consistent with phospholipids. Moreover, cholesteryl esters and phosphatidylcholine-containing phospholipids were significantly increased in the kidneys of mice on a high-fat diet. AMPK activation with chronic AICAR treatment prevented the clinical and structural effects of high-fat diet. Thus, high-fat diet contributes to a dysfunction of the lysosomal system and altered lipid metabolism characterized by cholesterol and phospholipid accumulation in the kidney. AMPK activation normalizes the changes in renal lipid content despite chronic exposure to lipid challenge. © 2013 International Society of Nephrology.","author":[{"dropping-particle":"","family":"Declèves","given":"Anne Emilie","non-dropping-particle":"","parse-names":false,"suffix":""},{"dropping-particle":"","family":"Zolkipli","given":"Zarazuela","non-dropping-particle":"","parse-names":false,"suffix":""},{"dropping-particle":"","family":"Satriano","given":"Joseph","non-dropping-particle":"","parse-names":false,"suffix":""},{"dropping-particle":"","family":"Wang","given":"Lin","non-dropping-particle":"","parse-names":false,"suffix":""},{"dropping-particle":"","family":"Nakayama","given":"Tomohiro","non-dropping-particle":"","parse-names":false,"suffix":""},{"dropping-particle":"","family":"Rogac","given":"Mihael","non-dropping-particle":"","parse-names":false,"suffix":""},{"dropping-particle":"","family":"Le","given":"Thuy P.","non-dropping-particle":"","parse-names":false,"suffix":""},{"dropping-particle":"","family":"Nortier","given":"Joëlle L.","non-dropping-particle":"","parse-names":false,"suffix":""},{"dropping-particle":"","family":"Farquhar","given":"Marilyn G.","non-dropping-particle":"","parse-names":false,"suffix":""},{"dropping-particle":"","family":"Naviaux","given":"Robert K.","non-dropping-particle":"","parse-names":false,"suffix":""},{"dropping-particle":"","family":"Sharma","given":"Kumar","non-dropping-particle":"","parse-names":false,"suffix":""}],"container-title":"Kidney International","id":"ITEM-2","issue":"3","issued":{"date-parts":[["2014"]]},"page":"611-623","title":"Regulation of lipid accumulation by AMK-Activated kinase in high fat diet-induced kidney injury","type":"article-journal","volume":"85"},"uris":["http://www.mendeley.com/documents/?uuid=9cb854f8-4c3a-443a-ac96-2c8139bdbf52"]},{"id":"ITEM-3","itemData":{"DOI":"10.3390/ijms22010350","ISSN":"14220067","PMID":"33396267","abstract":"Exercise training is now recognized as an interesting therapeutic strategy in managing obesity and its related disorders. However, there is still a lack of knowledge about its impact on obesity-induced chronic kidney disease (CKD). Here, we investigated the effects of a delayed protocol of endurance exercise training (EET) as well as the underlying mechanism in obese mice presenting CKD. Mice fed a high-fat diet (HFD) or a low-fat diet (LFD) for 12 weeks were subsequently submitted to an 8-weeks EET protocol. Delayed treatment with EET in obese mice prevented body weight gain associated with a reduced calorie intake. EET intervention counteracted obesity-related disorders including glucose intolerance, insulin resistance, dyslipidaemia and hepatic steatosis. Moreover, our data demonstrated for the first time the beneficial effects of EET on obesity-induced CKD as evidenced by an improvement of obesity-related glomerulopathy, tubulo-interstitial fibrosis, inflammation and oxidative stress. EET also prevented renal lipid depositions in the proximal tubule. These results were associated with an improvement of the AMPK pathway by EET in renal tissue. AMPK-mediated phosphorylation of ACC and ULK-1 were particularly enhanced leading to increased fatty acid oxidation and autophagy improvement with EET in obese mice.","author":[{"dropping-particle":"","family":"Juszczak","given":"Florian","non-dropping-particle":"","parse-names":false,"suffix":""},{"dropping-particle":"","family":"Vlassembrouck","given":"Maud","non-dropping-particle":"","parse-names":false,"suffix":""},{"dropping-particle":"","family":"Botton","given":"Olivia","non-dropping-particle":"","parse-names":false,"suffix":""},{"dropping-particle":"","family":"Zwakhals","given":"Thomas","non-dropping-particle":"","parse-names":false,"suffix":""},{"dropping-particle":"","family":"Decarnoncle","given":"Morgane","non-dropping-particle":"","parse-names":false,"suffix":""},{"dropping-particle":"","family":"Tassin","given":"Alexandra","non-dropping-particle":"","parse-names":false,"suffix":""},{"dropping-particle":"","family":"Caron","given":"Nathalie","non-dropping-particle":"","parse-names":false,"suffix":""},{"dropping-particle":"","family":"Declèves","given":"Anne Emilie","non-dropping-particle":"","parse-names":false,"suffix":""}],"container-title":"International Journal of Molecular Sciences","id":"ITEM-3","issue":"1","issued":{"date-parts":[["2021"]]},"page":"1-20","title":"Delayed exercise training improves obesity-induced chronic kidney disease by activating ampk pathway in high-fat diet-fed mice","type":"article-journal","volume":"22"},"uris":["http://www.mendeley.com/documents/?uuid=4c628a75-57fd-401f-8097-1aac3b796d93"]},{"id":"ITEM-4","itemData":{"DOI":"10.1681/ASN.2011010026","ISSN":"10466673","PMID":"21921143","abstract":"The mechanisms underlying the association between obesity and progressive renal disease are not well understood. Exposure to a high-fat diet decreases levels of the cellular energy sensor AMPK in many organs, including the kidney, but whether AMPK contributes to the pathophysiology of kidney disease induced by a high-fat diet is unknown. In this study, we randomly assigned C57BL/6J mice to a standard or high-fat diet. After 1 week, mice fed a high-fat diet exhibited an increase in body weight, renal hypertrophy, an increase in urine H 2O 2 and urine MCP-1, and a decrease in circulating adiponectin levels and renal AMPK activity. Urine ACR progressively increased after 4 weeks of a high-fat diet. After 12 weeks, kidneys of mice fed a high-fat diet demonstrated a marked increase in markers of fibrosis and inflammation, and AMPK activity remained significantly suppressed. To determine whether inhibition of AMPK activity explained these renal effects, we administered an AMPK activator along with a high-fat diet for 1 week. Although AMPK activation did not abrogate the weight gain, it reduced the renal hypertrophy, urine H 2O 2, and urine and renal MCP-1. In vitro, AMPK activation completely inhibited the induction of MCP-1 by palmitic acid in mesangial cells. In conclusion, these data suggest that the energy sensor AMPK mediates the early renal effects of a high-fat diet. Copyright © 2011 by the American Society of Nephrology.","author":[{"dropping-particle":"","family":"Declèves","given":"Anne Emilie","non-dropping-particle":"","parse-names":false,"suffix":""},{"dropping-particle":"V.","family":"Mathew","given":"Anna","non-dropping-particle":"","parse-names":false,"suffix":""},{"dropping-particle":"","family":"Cunard","given":"Robyn","non-dropping-particle":"","parse-names":false,"suffix":""},{"dropping-particle":"","family":"Sharma","given":"Kumar","non-dropping-particle":"","parse-names":false,"suffix":""}],"container-title":"Journal of the American Society of Nephrology","id":"ITEM-4","issue":"10","issued":{"date-parts":[["2011"]]},"page":"1846-1855","title":"AMPK mediates the initiation of kidney disease induced by a high-fat diet","type":"article-journal","volume":"22"},"uris":["http://www.mendeley.com/documents/?uuid=833cfb7a-0222-459f-8c98-cafc48c006fd"]}],"mendeley":{"formattedCitation":"&lt;sup&gt;12–15&lt;/sup&gt;","plainTextFormattedCitation":"12–15","previouslyFormattedCitation":"&lt;sup&gt;12–15&lt;/sup&gt;"},"properties":{"noteIndex":0},"schema":"https://github.com/citation-style-language/schema/raw/master/csl-citation.json"}</w:instrText>
      </w:r>
      <w:r w:rsidRPr="00EE4BC3">
        <w:rPr>
          <w:rFonts w:ascii="Times New Roman" w:hAnsi="Times New Roman" w:cs="Times New Roman"/>
          <w:sz w:val="24"/>
          <w:szCs w:val="24"/>
          <w:lang w:val="en-US"/>
        </w:rPr>
        <w:fldChar w:fldCharType="separate"/>
      </w:r>
      <w:r w:rsidR="002500AB" w:rsidRPr="00EE4BC3">
        <w:rPr>
          <w:rFonts w:ascii="Times New Roman" w:hAnsi="Times New Roman" w:cs="Times New Roman"/>
          <w:noProof/>
          <w:sz w:val="24"/>
          <w:szCs w:val="24"/>
          <w:lang w:val="en-US"/>
        </w:rPr>
        <w:t>12–15</w:t>
      </w:r>
      <w:r w:rsidRPr="00EE4BC3">
        <w:rPr>
          <w:rFonts w:ascii="Times New Roman" w:hAnsi="Times New Roman" w:cs="Times New Roman"/>
          <w:sz w:val="24"/>
          <w:szCs w:val="24"/>
          <w:lang w:val="en-US"/>
        </w:rPr>
        <w:fldChar w:fldCharType="end"/>
      </w:r>
      <w:r w:rsidR="00EE4BC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7000F6" w:rsidRPr="00405F18">
        <w:rPr>
          <w:rFonts w:ascii="Times New Roman" w:hAnsi="Times New Roman" w:cs="Times New Roman"/>
          <w:sz w:val="24"/>
          <w:szCs w:val="24"/>
          <w:lang w:val="en-US"/>
        </w:rPr>
        <w:t>L</w:t>
      </w:r>
      <w:r w:rsidRPr="00405F18">
        <w:rPr>
          <w:rFonts w:ascii="Times New Roman" w:hAnsi="Times New Roman" w:cs="Times New Roman"/>
          <w:sz w:val="24"/>
          <w:szCs w:val="24"/>
          <w:lang w:val="en-US"/>
        </w:rPr>
        <w:t xml:space="preserve">ipid droplet (LD) accumulation </w:t>
      </w:r>
      <w:r w:rsidR="007000F6" w:rsidRPr="00405F18">
        <w:rPr>
          <w:rFonts w:ascii="Times New Roman" w:hAnsi="Times New Roman" w:cs="Times New Roman"/>
          <w:sz w:val="24"/>
          <w:szCs w:val="24"/>
          <w:lang w:val="en-US"/>
        </w:rPr>
        <w:t>i</w:t>
      </w:r>
      <w:r w:rsidRPr="00405F18">
        <w:rPr>
          <w:rFonts w:ascii="Times New Roman" w:hAnsi="Times New Roman" w:cs="Times New Roman"/>
          <w:sz w:val="24"/>
          <w:szCs w:val="24"/>
          <w:lang w:val="en-US"/>
        </w:rPr>
        <w:t xml:space="preserve">s concomitant with mitochondrial damage, autophagic and lysosomal marker changes in </w:t>
      </w:r>
      <w:r w:rsidR="007000F6" w:rsidRPr="00405F18">
        <w:rPr>
          <w:rFonts w:ascii="Times New Roman" w:hAnsi="Times New Roman" w:cs="Times New Roman"/>
          <w:sz w:val="24"/>
          <w:szCs w:val="24"/>
          <w:lang w:val="en-US"/>
        </w:rPr>
        <w:t>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which ultimately lead to brush border alterations and loss of polarity</w:t>
      </w:r>
      <w:r w:rsidR="00EE4BC3">
        <w:rPr>
          <w:rFonts w:ascii="Times New Roman" w:hAnsi="Times New Roman" w:cs="Times New Roman"/>
          <w:sz w:val="24"/>
          <w:szCs w:val="24"/>
          <w:lang w:val="en-US"/>
        </w:rPr>
        <w:t xml:space="preserve"> [</w:t>
      </w:r>
      <w:r w:rsidRPr="00EE4BC3">
        <w:rPr>
          <w:rFonts w:ascii="Times New Roman" w:hAnsi="Times New Roman" w:cs="Times New Roman"/>
          <w:sz w:val="24"/>
          <w:szCs w:val="24"/>
          <w:lang w:val="en-US"/>
        </w:rPr>
        <w:fldChar w:fldCharType="begin" w:fldLock="1"/>
      </w:r>
      <w:r w:rsidR="00025345" w:rsidRPr="00EE4BC3">
        <w:rPr>
          <w:rFonts w:ascii="Times New Roman" w:hAnsi="Times New Roman" w:cs="Times New Roman"/>
          <w:sz w:val="24"/>
          <w:szCs w:val="24"/>
          <w:lang w:val="en-US"/>
        </w:rPr>
        <w:instrText>ADDIN CSL_CITATION {"citationItems":[{"id":"ITEM-1","itemData":{"DOI":"10.1038/ki.2013.462","ISSN":"15231755","abstract":"AMP-Activated protein kinase (AMPK) is an important energy sensor that may be critical in regulating renal lipid accumulation. To evaluate the role of AMPK in mediating renal lipid accumulation, C57BL/6J mice were randomized to a standard diet, a high-fat diet, or a high-fat diet plus AICAR (an AMPK activator) for 14 weeks. Renal functional and structural studies along with electron microscopy were performed. Mice given the high-fat diet had proximal tubule injury with the presence of enlarged clear vacuoles, and multilaminar inclusions concurrent with an increase of tissue lipid and overloading of the lysosomal system. The margins of the clear vacuoles were positive for the endolysosomal marker, LAMP1, suggesting lysosome accumulation. Characterization of vesicles by special stains (Oil Red O, Nile Red, Luxol Fast Blue) and by electron microscopy showed they contained onion skin-like accumulations consistent with phospholipids. Moreover, cholesteryl esters and phosphatidylcholine-containing phospholipids were significantly increased in the kidneys of mice on a high-fat diet. AMPK activation with chronic AICAR treatment prevented the clinical and structural effects of high-fat diet. Thus, high-fat diet contributes to a dysfunction of the lysosomal system and altered lipid metabolism characterized by cholesterol and phospholipid accumulation in the kidney. AMPK activation normalizes the changes in renal lipid content despite chronic exposure to lipid challenge. © 2013 International Society of Nephrology.","author":[{"dropping-particle":"","family":"Declèves","given":"Anne Emilie","non-dropping-particle":"","parse-names":false,"suffix":""},{"dropping-particle":"","family":"Zolkipli","given":"Zarazuela","non-dropping-particle":"","parse-names":false,"suffix":""},{"dropping-particle":"","family":"Satriano","given":"Joseph","non-dropping-particle":"","parse-names":false,"suffix":""},{"dropping-particle":"","family":"Wang","given":"Lin","non-dropping-particle":"","parse-names":false,"suffix":""},{"dropping-particle":"","family":"Nakayama","given":"Tomohiro","non-dropping-particle":"","parse-names":false,"suffix":""},{"dropping-particle":"","family":"Rogac","given":"Mihael","non-dropping-particle":"","parse-names":false,"suffix":""},{"dropping-particle":"","family":"Le","given":"Thuy P.","non-dropping-particle":"","parse-names":false,"suffix":""},{"dropping-particle":"","family":"Nortier","given":"Joëlle L.","non-dropping-particle":"","parse-names":false,"suffix":""},{"dropping-particle":"","family":"Farquhar","given":"Marilyn G.","non-dropping-particle":"","parse-names":false,"suffix":""},{"dropping-particle":"","family":"Naviaux","given":"Robert K.","non-dropping-particle":"","parse-names":false,"suffix":""},{"dropping-particle":"","family":"Sharma","given":"Kumar","non-dropping-particle":"","parse-names":false,"suffix":""}],"container-title":"Kidney International","id":"ITEM-1","issue":"3","issued":{"date-parts":[["2014"]]},"page":"611-623","title":"Regulation of lipid accumulation by AMK-Activated kinase in high fat diet-induced kidney injury","type":"article-journal","volume":"85"},"uris":["http://www.mendeley.com/documents/?uuid=9cb854f8-4c3a-443a-ac96-2c8139bdbf52"]}],"mendeley":{"formattedCitation":"&lt;sup&gt;13&lt;/sup&gt;","plainTextFormattedCitation":"13","previouslyFormattedCitation":"&lt;sup&gt;13&lt;/sup&gt;"},"properties":{"noteIndex":0},"schema":"https://github.com/citation-style-language/schema/raw/master/csl-citation.json"}</w:instrText>
      </w:r>
      <w:r w:rsidRPr="00EE4BC3">
        <w:rPr>
          <w:rFonts w:ascii="Times New Roman" w:hAnsi="Times New Roman" w:cs="Times New Roman"/>
          <w:sz w:val="24"/>
          <w:szCs w:val="24"/>
          <w:lang w:val="en-US"/>
        </w:rPr>
        <w:fldChar w:fldCharType="separate"/>
      </w:r>
      <w:r w:rsidR="002500AB" w:rsidRPr="00EE4BC3">
        <w:rPr>
          <w:rFonts w:ascii="Times New Roman" w:hAnsi="Times New Roman" w:cs="Times New Roman"/>
          <w:noProof/>
          <w:sz w:val="24"/>
          <w:szCs w:val="24"/>
          <w:lang w:val="en-US"/>
        </w:rPr>
        <w:t>13</w:t>
      </w:r>
      <w:r w:rsidRPr="00EE4BC3">
        <w:rPr>
          <w:rFonts w:ascii="Times New Roman" w:hAnsi="Times New Roman" w:cs="Times New Roman"/>
          <w:sz w:val="24"/>
          <w:szCs w:val="24"/>
          <w:lang w:val="en-US"/>
        </w:rPr>
        <w:fldChar w:fldCharType="end"/>
      </w:r>
      <w:r w:rsidR="00EE4BC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p>
    <w:p w14:paraId="5A224161" w14:textId="1672E327" w:rsidR="005A3CC3" w:rsidRPr="00405F18" w:rsidRDefault="005A3CC3" w:rsidP="006E1B23">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AMP-activated protein kinase (AMPK) was </w:t>
      </w:r>
      <w:r w:rsidR="00114491" w:rsidRPr="00405F18">
        <w:rPr>
          <w:rFonts w:ascii="Times New Roman" w:hAnsi="Times New Roman" w:cs="Times New Roman"/>
          <w:sz w:val="24"/>
          <w:szCs w:val="24"/>
          <w:lang w:val="en-US"/>
        </w:rPr>
        <w:t xml:space="preserve">highlighted </w:t>
      </w:r>
      <w:r w:rsidRPr="00405F18">
        <w:rPr>
          <w:rFonts w:ascii="Times New Roman" w:hAnsi="Times New Roman" w:cs="Times New Roman"/>
          <w:sz w:val="24"/>
          <w:szCs w:val="24"/>
          <w:lang w:val="en-US"/>
        </w:rPr>
        <w:t xml:space="preserve">as a key mediator in the development and progression of obesity-induced CKD. The enzyme is abundantly expressed in </w:t>
      </w:r>
      <w:r w:rsidRPr="00405F18">
        <w:rPr>
          <w:rFonts w:ascii="Times New Roman" w:hAnsi="Times New Roman" w:cs="Times New Roman"/>
          <w:sz w:val="24"/>
          <w:szCs w:val="24"/>
          <w:lang w:val="en-US"/>
        </w:rPr>
        <w:lastRenderedPageBreak/>
        <w:t xml:space="preserve">kidneys, but its renal activity is </w:t>
      </w:r>
      <w:r w:rsidR="00B14D10" w:rsidRPr="00405F18">
        <w:rPr>
          <w:rFonts w:ascii="Times New Roman" w:hAnsi="Times New Roman" w:cs="Times New Roman"/>
          <w:sz w:val="24"/>
          <w:szCs w:val="24"/>
          <w:lang w:val="en-US"/>
        </w:rPr>
        <w:t>decrease</w:t>
      </w:r>
      <w:r w:rsidR="00595018" w:rsidRPr="00405F18">
        <w:rPr>
          <w:rFonts w:ascii="Times New Roman" w:hAnsi="Times New Roman" w:cs="Times New Roman"/>
          <w:sz w:val="24"/>
          <w:szCs w:val="24"/>
          <w:lang w:val="en-US"/>
        </w:rPr>
        <w:t>d in response to</w:t>
      </w:r>
      <w:r w:rsidR="00C9625D"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metabolic stress</w:t>
      </w:r>
      <w:r w:rsidR="00595018" w:rsidRPr="00405F18">
        <w:rPr>
          <w:rFonts w:ascii="Times New Roman" w:hAnsi="Times New Roman" w:cs="Times New Roman"/>
          <w:sz w:val="24"/>
          <w:szCs w:val="24"/>
          <w:lang w:val="en-US"/>
        </w:rPr>
        <w:t>es</w:t>
      </w:r>
      <w:r w:rsidR="00066CCE" w:rsidRPr="00405F18">
        <w:rPr>
          <w:rFonts w:ascii="Times New Roman" w:hAnsi="Times New Roman" w:cs="Times New Roman"/>
          <w:sz w:val="24"/>
          <w:szCs w:val="24"/>
          <w:lang w:val="en-US"/>
        </w:rPr>
        <w:t>.</w:t>
      </w:r>
      <w:r w:rsidR="00C9625D" w:rsidRPr="00405F18">
        <w:rPr>
          <w:rFonts w:ascii="Times New Roman" w:hAnsi="Times New Roman" w:cs="Times New Roman"/>
          <w:sz w:val="24"/>
          <w:szCs w:val="24"/>
          <w:lang w:val="en-US"/>
        </w:rPr>
        <w:t xml:space="preserve"> </w:t>
      </w:r>
      <w:r w:rsidR="00354438" w:rsidRPr="00405F18">
        <w:rPr>
          <w:rFonts w:ascii="Times New Roman" w:hAnsi="Times New Roman" w:cs="Times New Roman"/>
          <w:sz w:val="24"/>
          <w:szCs w:val="24"/>
          <w:lang w:val="en-US"/>
        </w:rPr>
        <w:t>I</w:t>
      </w:r>
      <w:r w:rsidR="00BC4F67" w:rsidRPr="00405F18">
        <w:rPr>
          <w:rFonts w:ascii="Times New Roman" w:hAnsi="Times New Roman" w:cs="Times New Roman"/>
          <w:sz w:val="24"/>
          <w:szCs w:val="24"/>
          <w:lang w:val="en-US"/>
        </w:rPr>
        <w:t>ndeed, i</w:t>
      </w:r>
      <w:r w:rsidR="00354438" w:rsidRPr="00405F18">
        <w:rPr>
          <w:rFonts w:ascii="Times New Roman" w:hAnsi="Times New Roman" w:cs="Times New Roman"/>
          <w:sz w:val="24"/>
          <w:szCs w:val="24"/>
          <w:lang w:val="en-US"/>
        </w:rPr>
        <w:t>mpaired</w:t>
      </w:r>
      <w:r w:rsidR="00B14D10" w:rsidRPr="00405F18">
        <w:rPr>
          <w:rFonts w:ascii="Times New Roman" w:hAnsi="Times New Roman" w:cs="Times New Roman"/>
          <w:sz w:val="24"/>
          <w:szCs w:val="24"/>
          <w:lang w:val="en-US"/>
        </w:rPr>
        <w:t xml:space="preserve"> </w:t>
      </w:r>
      <w:r w:rsidR="00066CCE" w:rsidRPr="00405F18">
        <w:rPr>
          <w:rFonts w:ascii="Times New Roman" w:hAnsi="Times New Roman" w:cs="Times New Roman"/>
          <w:sz w:val="24"/>
          <w:szCs w:val="24"/>
          <w:lang w:val="en-US"/>
        </w:rPr>
        <w:t xml:space="preserve">AMPK activity is </w:t>
      </w:r>
      <w:r w:rsidR="00354438" w:rsidRPr="00405F18">
        <w:rPr>
          <w:rFonts w:ascii="Times New Roman" w:hAnsi="Times New Roman" w:cs="Times New Roman"/>
          <w:sz w:val="24"/>
          <w:szCs w:val="24"/>
          <w:lang w:val="en-US"/>
        </w:rPr>
        <w:t xml:space="preserve">described </w:t>
      </w:r>
      <w:r w:rsidR="00066CCE" w:rsidRPr="00405F18">
        <w:rPr>
          <w:rFonts w:ascii="Times New Roman" w:hAnsi="Times New Roman" w:cs="Times New Roman"/>
          <w:sz w:val="24"/>
          <w:szCs w:val="24"/>
          <w:lang w:val="en-US"/>
        </w:rPr>
        <w:t xml:space="preserve">in animal models of </w:t>
      </w:r>
      <w:r w:rsidR="005E043F" w:rsidRPr="00405F18">
        <w:rPr>
          <w:rFonts w:ascii="Times New Roman" w:hAnsi="Times New Roman" w:cs="Times New Roman"/>
          <w:sz w:val="24"/>
          <w:szCs w:val="24"/>
          <w:lang w:val="en-US"/>
        </w:rPr>
        <w:t>metabolic CKD induced by high fat diet</w:t>
      </w:r>
      <w:r w:rsidR="006E1B23">
        <w:rPr>
          <w:rFonts w:ascii="Times New Roman" w:hAnsi="Times New Roman" w:cs="Times New Roman"/>
          <w:sz w:val="24"/>
          <w:szCs w:val="24"/>
          <w:lang w:val="en-US"/>
        </w:rPr>
        <w:t xml:space="preserve"> [</w:t>
      </w:r>
      <w:r w:rsidR="005E043F" w:rsidRPr="006E1B23">
        <w:rPr>
          <w:rFonts w:ascii="Times New Roman" w:hAnsi="Times New Roman" w:cs="Times New Roman"/>
          <w:sz w:val="24"/>
          <w:szCs w:val="24"/>
          <w:lang w:val="en-US"/>
        </w:rPr>
        <w:fldChar w:fldCharType="begin" w:fldLock="1"/>
      </w:r>
      <w:r w:rsidR="00362664" w:rsidRPr="006E1B23">
        <w:rPr>
          <w:rFonts w:ascii="Times New Roman" w:hAnsi="Times New Roman" w:cs="Times New Roman"/>
          <w:sz w:val="24"/>
          <w:szCs w:val="24"/>
          <w:lang w:val="en-US"/>
        </w:rPr>
        <w:instrText>ADDIN CSL_CITATION {"citationItems":[{"id":"ITEM-1","itemData":{"DOI":"10.1681/ASN.2011010026","ISSN":"10466673","PMID":"21921143","abstract":"The mechanisms underlying the association between obesity and progressive renal disease are not well understood. Exposure to a high-fat diet decreases levels of the cellular energy sensor AMPK in many organs, including the kidney, but whether AMPK contributes to the pathophysiology of kidney disease induced by a high-fat diet is unknown. In this study, we randomly assigned C57BL/6J mice to a standard or high-fat diet. After 1 week, mice fed a high-fat diet exhibited an increase in body weight, renal hypertrophy, an increase in urine H 2O 2 and urine MCP-1, and a decrease in circulating adiponectin levels and renal AMPK activity. Urine ACR progressively increased after 4 weeks of a high-fat diet. After 12 weeks, kidneys of mice fed a high-fat diet demonstrated a marked increase in markers of fibrosis and inflammation, and AMPK activity remained significantly suppressed. To determine whether inhibition of AMPK activity explained these renal effects, we administered an AMPK activator along with a high-fat diet for 1 week. Although AMPK activation did not abrogate the weight gain, it reduced the renal hypertrophy, urine H 2O 2, and urine and renal MCP-1. In vitro, AMPK activation completely inhibited the induction of MCP-1 by palmitic acid in mesangial cells. In conclusion, these data suggest that the energy sensor AMPK mediates the early renal effects of a high-fat diet. Copyright © 2011 by the American Society of Nephrology.","author":[{"dropping-particle":"","family":"Declèves","given":"Anne Emilie","non-dropping-particle":"","parse-names":false,"suffix":""},{"dropping-particle":"V.","family":"Mathew","given":"Anna","non-dropping-particle":"","parse-names":false,"suffix":""},{"dropping-particle":"","family":"Cunard","given":"Robyn","non-dropping-particle":"","parse-names":false,"suffix":""},{"dropping-particle":"","family":"Sharma","given":"Kumar","non-dropping-particle":"","parse-names":false,"suffix":""}],"container-title":"Journal of the American Society of Nephrology","id":"ITEM-1","issue":"10","issued":{"date-parts":[["2011"]]},"page":"1846-1855","title":"AMPK mediates the initiation of kidney disease induced by a high-fat diet","type":"article-journal","volume":"22"},"uris":["http://www.mendeley.com/documents/?uuid=833cfb7a-0222-459f-8c98-cafc48c006fd"]}],"mendeley":{"formattedCitation":"&lt;sup&gt;15&lt;/sup&gt;","plainTextFormattedCitation":"15","previouslyFormattedCitation":"&lt;sup&gt;15&lt;/sup&gt;"},"properties":{"noteIndex":0},"schema":"https://github.com/citation-style-language/schema/raw/master/csl-citation.json"}</w:instrText>
      </w:r>
      <w:r w:rsidR="005E043F" w:rsidRPr="006E1B23">
        <w:rPr>
          <w:rFonts w:ascii="Times New Roman" w:hAnsi="Times New Roman" w:cs="Times New Roman"/>
          <w:sz w:val="24"/>
          <w:szCs w:val="24"/>
          <w:lang w:val="en-US"/>
        </w:rPr>
        <w:fldChar w:fldCharType="separate"/>
      </w:r>
      <w:r w:rsidR="004A2BDA" w:rsidRPr="006E1B23">
        <w:rPr>
          <w:rFonts w:ascii="Times New Roman" w:hAnsi="Times New Roman" w:cs="Times New Roman"/>
          <w:noProof/>
          <w:sz w:val="24"/>
          <w:szCs w:val="24"/>
          <w:lang w:val="en-US"/>
        </w:rPr>
        <w:t>15</w:t>
      </w:r>
      <w:r w:rsidR="005E043F"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00066CCE" w:rsidRPr="00405F18">
        <w:rPr>
          <w:rFonts w:ascii="Times New Roman" w:hAnsi="Times New Roman" w:cs="Times New Roman"/>
          <w:sz w:val="24"/>
          <w:szCs w:val="24"/>
          <w:lang w:val="en-US"/>
        </w:rPr>
        <w:t xml:space="preserve"> </w:t>
      </w:r>
      <w:r w:rsidR="00354438" w:rsidRPr="00405F18">
        <w:rPr>
          <w:rFonts w:ascii="Times New Roman" w:hAnsi="Times New Roman" w:cs="Times New Roman"/>
          <w:sz w:val="24"/>
          <w:szCs w:val="24"/>
          <w:lang w:val="en-US"/>
        </w:rPr>
        <w:t>or</w:t>
      </w:r>
      <w:r w:rsidR="00066CCE" w:rsidRPr="00405F18">
        <w:rPr>
          <w:rFonts w:ascii="Times New Roman" w:hAnsi="Times New Roman" w:cs="Times New Roman"/>
          <w:sz w:val="24"/>
          <w:szCs w:val="24"/>
          <w:lang w:val="en-US"/>
        </w:rPr>
        <w:t xml:space="preserve"> diabetes</w:t>
      </w:r>
      <w:r w:rsidR="006E1B23">
        <w:rPr>
          <w:rFonts w:ascii="Times New Roman" w:hAnsi="Times New Roman" w:cs="Times New Roman"/>
          <w:sz w:val="24"/>
          <w:szCs w:val="24"/>
          <w:lang w:val="en-US"/>
        </w:rPr>
        <w:t xml:space="preserve"> [</w:t>
      </w:r>
      <w:r w:rsidR="005E043F" w:rsidRPr="006E1B23">
        <w:rPr>
          <w:rFonts w:ascii="Times New Roman" w:hAnsi="Times New Roman" w:cs="Times New Roman"/>
          <w:sz w:val="24"/>
          <w:szCs w:val="24"/>
          <w:lang w:val="en-US"/>
        </w:rPr>
        <w:fldChar w:fldCharType="begin" w:fldLock="1"/>
      </w:r>
      <w:r w:rsidR="00D27D77" w:rsidRPr="006E1B23">
        <w:rPr>
          <w:rFonts w:ascii="Times New Roman" w:hAnsi="Times New Roman" w:cs="Times New Roman"/>
          <w:sz w:val="24"/>
          <w:szCs w:val="24"/>
          <w:lang w:val="en-US"/>
        </w:rPr>
        <w:instrText>ADDIN CSL_CITATION {"citationItems":[{"id":"ITEM-1","itemData":{"DOI":"10.1172/JCI66218","ISSN":"00219738","abstract":"Diabetic microvascular complications have been considered to be mediated by a glucose-driven increase in mitochondrial superoxide anion production. Here, we report that superoxide production was reduced in the kidneys of a steptozotocin-induced mouse model of type 1 diabetes, as assessed by in vivo real-time transcutaneous fluorescence, confocal microscopy, and electron paramagnetic resonance analysis. Reduction of mitochondrial biogenesis and phosphorylation of pyruvate dehydrogenase (PDH) were observed in kidneys from diabetic mice. These observations were consistent with an overall reduction of mitochondrial glucose oxidation. Activity of AMPK, the major energy-sensing enzyme, was reduced in kidneys from both diabetic mice and humans. Mitochondrial biogenesis, PDH activity, and mitochondrial complex activity were rescued by treatment with the AMPK activator 5-aminoimidazole-4-carboxamide-1-β-D- ribofuranoside (AICAR). AICAR treatment induced superoxide production and was linked with glomerular matrix and albuminuria reduction in the diabetic kidney. Furthermore, diabetic heterozygous superoxide dismutase 2 (Sod2+/-) mice had no evidence of increased renal disease, and Ampka2-/- mice had increased albuminuria that was not reduced with AICAR treatment. Reduction of mitochondrial superoxide production with rotenone was sufficient to reduce AMPK phosphorylation in mouse kidneys. Taken together, these results demonstrate that diabetic kidneys have reduced superoxide and mitochondrial biogenesis and activation of AMPK enhances superoxide production and mitochondrial function while reducing disease activity.","author":[{"dropping-particle":"","family":"Dugan","given":"Laura L.","non-dropping-particle":"","parse-names":false,"suffix":""},{"dropping-particle":"","family":"You","given":"Young Hyun","non-dropping-particle":"","parse-names":false,"suffix":""},{"dropping-particle":"","family":"Ali","given":"Sameh S.","non-dropping-particle":"","parse-names":false,"suffix":""},{"dropping-particle":"","family":"Diamond-Stanic","given":"Maggie","non-dropping-particle":"","parse-names":false,"suffix":""},{"dropping-particle":"","family":"Miyamoto","given":"Satoshi","non-dropping-particle":"","parse-names":false,"suffix":""},{"dropping-particle":"","family":"DeCleves","given":"Anne Emilie","non-dropping-particle":"","parse-names":false,"suffix":""},{"dropping-particle":"","family":"Andreyev","given":"Aleksander","non-dropping-particle":"","parse-names":false,"suffix":""},{"dropping-particle":"","family":"Quach","given":"Tammy","non-dropping-particle":"","parse-names":false,"suffix":""},{"dropping-particle":"","family":"Ly","given":"San","non-dropping-particle":"","parse-names":false,"suffix":""},{"dropping-particle":"","family":"Shekhtman","given":"Grigory","non-dropping-particle":"","parse-names":false,"suffix":""},{"dropping-particle":"","family":"Nguyen","given":"William","non-dropping-particle":"","parse-names":false,"suffix":""},{"dropping-particle":"","family":"Chepetan","given":"Andre","non-dropping-particle":"","parse-names":false,"suffix":""},{"dropping-particle":"","family":"Le","given":"Thuy P.","non-dropping-particle":"","parse-names":false,"suffix":""},{"dropping-particle":"","family":"Wang","given":"Lin","non-dropping-particle":"","parse-names":false,"suffix":""},{"dropping-particle":"","family":"Xu","given":"Ming","non-dropping-particle":"","parse-names":false,"suffix":""},{"dropping-particle":"","family":"Paik","given":"Kacie P.","non-dropping-particle":"","parse-names":false,"suffix":""},{"dropping-particle":"","family":"Fogo","given":"Agnes","non-dropping-particle":"","parse-names":false,"suffix":""},{"dropping-particle":"","family":"Viollet","given":"Benoit","non-dropping-particle":"","parse-names":false,"suffix":""},{"dropping-particle":"","family":"Murphy","given":"Anne","non-dropping-particle":"","parse-names":false,"suffix":""},{"dropping-particle":"","family":"Brosius","given":"Frank","non-dropping-particle":"","parse-names":false,"suffix":""},{"dropping-particle":"","family":"Naviaux","given":"Robert K.","non-dropping-particle":"","parse-names":false,"suffix":""},{"dropping-particle":"","family":"Sharma","given":"Kumar","non-dropping-particle":"","parse-names":false,"suffix":""}],"container-title":"Journal of Clinical Investigation","id":"ITEM-1","issue":"11","issued":{"date-parts":[["2013"]]},"page":"4888-4899","title":"AMPK dysregulation promotes diabetes-related reduction of superoxide and mitochondrial function","type":"article-journal","volume":"123"},"uris":["http://www.mendeley.com/documents/?uuid=18188925-f012-4241-92d8-3065fd2b57a0"]}],"mendeley":{"formattedCitation":"&lt;sup&gt;16&lt;/sup&gt;","plainTextFormattedCitation":"16","previouslyFormattedCitation":"&lt;sup&gt;16&lt;/sup&gt;"},"properties":{"noteIndex":0},"schema":"https://github.com/citation-style-language/schema/raw/master/csl-citation.json"}</w:instrText>
      </w:r>
      <w:r w:rsidR="005E043F" w:rsidRPr="006E1B23">
        <w:rPr>
          <w:rFonts w:ascii="Times New Roman" w:hAnsi="Times New Roman" w:cs="Times New Roman"/>
          <w:sz w:val="24"/>
          <w:szCs w:val="24"/>
          <w:lang w:val="en-US"/>
        </w:rPr>
        <w:fldChar w:fldCharType="separate"/>
      </w:r>
      <w:r w:rsidR="005E043F" w:rsidRPr="006E1B23">
        <w:rPr>
          <w:rFonts w:ascii="Times New Roman" w:hAnsi="Times New Roman" w:cs="Times New Roman"/>
          <w:noProof/>
          <w:sz w:val="24"/>
          <w:szCs w:val="24"/>
          <w:lang w:val="en-US"/>
        </w:rPr>
        <w:t>16</w:t>
      </w:r>
      <w:r w:rsidR="005E043F"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00354438" w:rsidRPr="00405F18">
        <w:rPr>
          <w:rFonts w:ascii="Times New Roman" w:hAnsi="Times New Roman" w:cs="Times New Roman"/>
          <w:sz w:val="24"/>
          <w:szCs w:val="24"/>
          <w:lang w:val="en-US"/>
        </w:rPr>
        <w:t xml:space="preserve"> as well as in patients with diabetic nephropathy</w:t>
      </w:r>
      <w:r w:rsidR="006E1B23">
        <w:rPr>
          <w:rFonts w:ascii="Times New Roman" w:hAnsi="Times New Roman" w:cs="Times New Roman"/>
          <w:sz w:val="24"/>
          <w:szCs w:val="24"/>
          <w:lang w:val="en-US"/>
        </w:rPr>
        <w:t xml:space="preserve"> [</w:t>
      </w:r>
      <w:r w:rsidR="00D27D77" w:rsidRPr="006E1B23">
        <w:rPr>
          <w:rFonts w:ascii="Times New Roman" w:hAnsi="Times New Roman" w:cs="Times New Roman"/>
          <w:sz w:val="24"/>
          <w:szCs w:val="24"/>
          <w:lang w:val="en-US"/>
        </w:rPr>
        <w:fldChar w:fldCharType="begin" w:fldLock="1"/>
      </w:r>
      <w:r w:rsidR="00BC4F67" w:rsidRPr="006E1B23">
        <w:rPr>
          <w:rFonts w:ascii="Times New Roman" w:hAnsi="Times New Roman" w:cs="Times New Roman"/>
          <w:sz w:val="24"/>
          <w:szCs w:val="24"/>
          <w:lang w:val="en-US"/>
        </w:rPr>
        <w:instrText>ADDIN CSL_CITATION {"citationItems":[{"id":"ITEM-1","itemData":{"DOI":"10.1039/c7mb00167c","ISSN":"17422051","abstract":"Diabetic kidney disease (DKD) is the leading cause of ESRD; however, early intervention can greatly prevent the progression of DKD; thus, sensitive biomarkers for DKD are still required. This study was aimed at the identification of potential biomarkers and revelation of underlying pathways in DKD patients by non-targeted metabolomics. Gas chromatography-mass spectrometry was used to analyze urine obtained from the control and type 2 diabetes mellitus (T2DM) and DKD patients, and the renal histological changes in DKD patients were assessed. The DKD group showed increased level of uric acid, 1,5-anhydroglucitol, hippuric acid, stearic acid, and palmitic acid and reduced level of uracil, glycine, aconitic acid, isocitric acid, 4-hydroxybutyrate, 2-deoxyerythritol, and glycolic acid as compared to the control and T2DM groups. Further analysis indicated that many of the changed metabolites were involved in mitochondrial and fatty acid (FA) metabolism, and combined mitochondrial and FA metabolites showed better diagnosis values for DKD. Histological results confirmed that renal expression of key proteins was reduced in DKD patients with respect to mitochondrial biogenesis (PGC-1α, p-AMPK) and FA oxidation (PPAR-α, CPT-1) as compared to that in the control and T2DM groups. This study highlighted that both mitochondrial and FA metabolism were disturbed in DKD, and thus, they could serve as combined biomarkers for the prediction of DKD.","author":[{"dropping-particle":"","family":"Li","given":"Ling","non-dropping-particle":"","parse-names":false,"suffix":""},{"dropping-particle":"","family":"Wang","given":"Chengshi","non-dropping-particle":"","parse-names":false,"suffix":""},{"dropping-particle":"","family":"Yang","given":"Hongliu","non-dropping-particle":"","parse-names":false,"suffix":""},{"dropping-particle":"","family":"Liu","given":"Shuyun","non-dropping-particle":"","parse-names":false,"suffix":""},{"dropping-particle":"","family":"Lu","given":"Yanrong","non-dropping-particle":"","parse-names":false,"suffix":""},{"dropping-particle":"","family":"Fu","given":"Ping","non-dropping-particle":"","parse-names":false,"suffix":""},{"dropping-particle":"","family":"Liu","given":"Jingping","non-dropping-particle":"","parse-names":false,"suffix":""}],"container-title":"Molecular BioSystems","id":"ITEM-1","issue":"11","issued":{"date-parts":[["2017"]]},"page":"2392-2400","title":"Metabolomics reveal mitochondrial and fatty acid metabolism disorders that contribute to the development of DKD in T2DM patients","type":"article-journal","volume":"13"},"uris":["http://www.mendeley.com/documents/?uuid=0b1a2c0c-be9b-4a06-9d7a-37677f1f3fb1"]}],"mendeley":{"formattedCitation":"&lt;sup&gt;17&lt;/sup&gt;","plainTextFormattedCitation":"17","previouslyFormattedCitation":"&lt;sup&gt;17&lt;/sup&gt;"},"properties":{"noteIndex":0},"schema":"https://github.com/citation-style-language/schema/raw/master/csl-citation.json"}</w:instrText>
      </w:r>
      <w:r w:rsidR="00D27D77" w:rsidRPr="006E1B23">
        <w:rPr>
          <w:rFonts w:ascii="Times New Roman" w:hAnsi="Times New Roman" w:cs="Times New Roman"/>
          <w:sz w:val="24"/>
          <w:szCs w:val="24"/>
          <w:lang w:val="en-US"/>
        </w:rPr>
        <w:fldChar w:fldCharType="separate"/>
      </w:r>
      <w:r w:rsidR="00D27D77" w:rsidRPr="006E1B23">
        <w:rPr>
          <w:rFonts w:ascii="Times New Roman" w:hAnsi="Times New Roman" w:cs="Times New Roman"/>
          <w:noProof/>
          <w:sz w:val="24"/>
          <w:szCs w:val="24"/>
          <w:lang w:val="en-US"/>
        </w:rPr>
        <w:t>17</w:t>
      </w:r>
      <w:r w:rsidR="00D27D77"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00354438" w:rsidRPr="00405F18">
        <w:rPr>
          <w:rFonts w:ascii="Times New Roman" w:hAnsi="Times New Roman" w:cs="Times New Roman"/>
          <w:sz w:val="24"/>
          <w:szCs w:val="24"/>
          <w:lang w:val="en-US"/>
        </w:rPr>
        <w:t>.</w:t>
      </w:r>
      <w:r w:rsidR="00D27D77" w:rsidRPr="00405F18">
        <w:rPr>
          <w:rFonts w:ascii="Times New Roman" w:hAnsi="Times New Roman" w:cs="Times New Roman"/>
          <w:sz w:val="24"/>
          <w:szCs w:val="24"/>
          <w:lang w:val="en-US"/>
        </w:rPr>
        <w:t xml:space="preserve"> </w:t>
      </w:r>
      <w:r w:rsidR="00414F53" w:rsidRPr="00405F18">
        <w:rPr>
          <w:rFonts w:ascii="Times New Roman" w:hAnsi="Times New Roman" w:cs="Times New Roman"/>
          <w:sz w:val="24"/>
          <w:szCs w:val="24"/>
          <w:lang w:val="en-US"/>
        </w:rPr>
        <w:t>In contrast</w:t>
      </w:r>
      <w:r w:rsidR="005951A5" w:rsidRPr="00405F18">
        <w:rPr>
          <w:rFonts w:ascii="Times New Roman" w:hAnsi="Times New Roman" w:cs="Times New Roman"/>
          <w:sz w:val="24"/>
          <w:szCs w:val="24"/>
          <w:lang w:val="en-US"/>
        </w:rPr>
        <w:t>, we show</w:t>
      </w:r>
      <w:r w:rsidR="00B14D10" w:rsidRPr="00405F18">
        <w:rPr>
          <w:rFonts w:ascii="Times New Roman" w:hAnsi="Times New Roman" w:cs="Times New Roman"/>
          <w:sz w:val="24"/>
          <w:szCs w:val="24"/>
          <w:lang w:val="en-US"/>
        </w:rPr>
        <w:t>ed</w:t>
      </w:r>
      <w:r w:rsidR="005951A5" w:rsidRPr="00405F18">
        <w:rPr>
          <w:rFonts w:ascii="Times New Roman" w:hAnsi="Times New Roman" w:cs="Times New Roman"/>
          <w:sz w:val="24"/>
          <w:szCs w:val="24"/>
          <w:lang w:val="en-US"/>
        </w:rPr>
        <w:t xml:space="preserve"> that its</w:t>
      </w:r>
      <w:r w:rsidRPr="00405F18">
        <w:rPr>
          <w:rFonts w:ascii="Times New Roman" w:hAnsi="Times New Roman" w:cs="Times New Roman"/>
          <w:sz w:val="24"/>
          <w:szCs w:val="24"/>
          <w:lang w:val="en-US"/>
        </w:rPr>
        <w:t xml:space="preserve"> activation, by</w:t>
      </w:r>
      <w:r w:rsidR="00D6372C" w:rsidRPr="00405F18">
        <w:rPr>
          <w:rFonts w:ascii="Times New Roman" w:hAnsi="Times New Roman" w:cs="Times New Roman"/>
          <w:sz w:val="24"/>
          <w:szCs w:val="24"/>
          <w:lang w:val="en-US"/>
        </w:rPr>
        <w:t xml:space="preserve"> 5-aminoimidazole-4-carboxamide-1-β-D-</w:t>
      </w:r>
      <w:proofErr w:type="spellStart"/>
      <w:r w:rsidR="00D6372C" w:rsidRPr="00405F18">
        <w:rPr>
          <w:rFonts w:ascii="Times New Roman" w:hAnsi="Times New Roman" w:cs="Times New Roman"/>
          <w:sz w:val="24"/>
          <w:szCs w:val="24"/>
          <w:lang w:val="en-US"/>
        </w:rPr>
        <w:t>ribofuranoside</w:t>
      </w:r>
      <w:proofErr w:type="spellEnd"/>
      <w:r w:rsidRPr="00405F18">
        <w:rPr>
          <w:rFonts w:ascii="Times New Roman" w:hAnsi="Times New Roman" w:cs="Times New Roman"/>
          <w:sz w:val="24"/>
          <w:szCs w:val="24"/>
          <w:lang w:val="en-US"/>
        </w:rPr>
        <w:t xml:space="preserve"> </w:t>
      </w:r>
      <w:r w:rsidR="00D6372C"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AICAR</w:t>
      </w:r>
      <w:r w:rsidR="00D6372C"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supplementation</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025345" w:rsidRPr="006E1B23">
        <w:rPr>
          <w:rFonts w:ascii="Times New Roman" w:hAnsi="Times New Roman" w:cs="Times New Roman"/>
          <w:sz w:val="24"/>
          <w:szCs w:val="24"/>
          <w:lang w:val="en-US"/>
        </w:rPr>
        <w:instrText>ADDIN CSL_CITATION {"citationItems":[{"id":"ITEM-1","itemData":{"DOI":"10.1194/jlr.M088690","ISSN":"15397262","PMID":"30862696","abstract":"High-fat diet (HFD) causes renal lipotoxicity that is ameliorated with AMP-activated protein kinase (AMPK) activation. Although bioactive eicosanoids increase with HFD and are essential in regulation of renal disease, their role in the inflammatory response to HFD-induced kidney disease and their modulation by AMPK activation remain unexplored. In a mouse model, we explored the effects of HFD on eicosanoid synthesis and the role of AMPK activation in ameliorating these changes. We used targeted lipidomic profiling with quantitative MS to determine PUFA and eicosanoid content in kidneys, urine, and renal arterial and venous circulation. HFD increased phospholipase expression as well as the total and free pro-inflammatory arachidonic acid (AA) and anti-inflammatory DHA in kidneys. Consistent with the parent PUFA levels, the AA- and DHA-derived lipoxygenase (LOX), cytochrome P450, and nonenzymatic degradation (NE) metabolites increased in kidneys with HFD, while EPA-derived LOX and NE metabolites decreased. Conversely, treatment with 5-aminoimidazole-4-carboxamide-1-D-furanosyl 5′-monophosphate (AICAR), an AMPK activator, reduced the free AA and DHA content and the DHA-derived metabolites in kidney. Interestingly, kidney and circulating AA, AA metabolites, EPA-derived LOX, and NE metabolites are increased with HFD; whereas, DHA metabolites are increased in kidney in contrast to their decreased circulating levels with HFD. Together, these changes showcase HFD-induced pro- and anti-inflammatory eicosanoid dysregulation and highlight the role of AMPK in correcting HFD-induced dysregulated eicosanoid pathways.","author":[{"dropping-particle":"","family":"Declèves","given":"Anne Emilie","non-dropping-particle":"","parse-names":false,"suffix":""},{"dropping-particle":"V.","family":"Mathew","given":"Anna","non-dropping-particle":"","parse-names":false,"suffix":""},{"dropping-particle":"","family":"Armando","given":"Aaron M.","non-dropping-particle":"","parse-names":false,"suffix":""},{"dropping-particle":"","family":"Han","given":"Xianlin","non-dropping-particle":"","parse-names":false,"suffix":""},{"dropping-particle":"","family":"Dennis","given":"Edward A.","non-dropping-particle":"","parse-names":false,"suffix":""},{"dropping-particle":"","family":"Quehenberger","given":"Oswald","non-dropping-particle":"","parse-names":false,"suffix":""},{"dropping-particle":"","family":"Sharma","given":"Kumar","non-dropping-particle":"","parse-names":false,"suffix":""}],"container-title":"Journal of Lipid Research","id":"ITEM-1","issue":"5","issued":{"date-parts":[["2019"]]},"page":"937-952","title":"AMP-activated protein kinase activation ameliorates eicosanoid dysregulation in high-fat-induced kidney disease in mice","type":"article-journal","volume":"60"},"uris":["http://www.mendeley.com/documents/?uuid=a73b0cf8-662f-4c2b-8b40-5196900f6917"]},{"id":"ITEM-2","itemData":{"DOI":"10.1038/ki.2013.462","ISSN":"15231755","abstract":"AMP-Activated protein kinase (AMPK) is an important energy sensor that may be critical in regulating renal lipid accumulation. To evaluate the role of AMPK in mediating renal lipid accumulation, C57BL/6J mice were randomized to a standard diet, a high-fat diet, or a high-fat diet plus AICAR (an AMPK activator) for 14 weeks. Renal functional and structural studies along with electron microscopy were performed. Mice given the high-fat diet had proximal tubule injury with the presence of enlarged clear vacuoles, and multilaminar inclusions concurrent with an increase of tissue lipid and overloading of the lysosomal system. The margins of the clear vacuoles were positive for the endolysosomal marker, LAMP1, suggesting lysosome accumulation. Characterization of vesicles by special stains (Oil Red O, Nile Red, Luxol Fast Blue) and by electron microscopy showed they contained onion skin-like accumulations consistent with phospholipids. Moreover, cholesteryl esters and phosphatidylcholine-containing phospholipids were significantly increased in the kidneys of mice on a high-fat diet. AMPK activation with chronic AICAR treatment prevented the clinical and structural effects of high-fat diet. Thus, high-fat diet contributes to a dysfunction of the lysosomal system and altered lipid metabolism characterized by cholesterol and phospholipid accumulation in the kidney. AMPK activation normalizes the changes in renal lipid content despite chronic exposure to lipid challenge. © 2013 International Society of Nephrology.","author":[{"dropping-particle":"","family":"Declèves","given":"Anne Emilie","non-dropping-particle":"","parse-names":false,"suffix":""},{"dropping-particle":"","family":"Zolkipli","given":"Zarazuela","non-dropping-particle":"","parse-names":false,"suffix":""},{"dropping-particle":"","family":"Satriano","given":"Joseph","non-dropping-particle":"","parse-names":false,"suffix":""},{"dropping-particle":"","family":"Wang","given":"Lin","non-dropping-particle":"","parse-names":false,"suffix":""},{"dropping-particle":"","family":"Nakayama","given":"Tomohiro","non-dropping-particle":"","parse-names":false,"suffix":""},{"dropping-particle":"","family":"Rogac","given":"Mihael","non-dropping-particle":"","parse-names":false,"suffix":""},{"dropping-particle":"","family":"Le","given":"Thuy P.","non-dropping-particle":"","parse-names":false,"suffix":""},{"dropping-particle":"","family":"Nortier","given":"Joëlle L.","non-dropping-particle":"","parse-names":false,"suffix":""},{"dropping-particle":"","family":"Farquhar","given":"Marilyn G.","non-dropping-particle":"","parse-names":false,"suffix":""},{"dropping-particle":"","family":"Naviaux","given":"Robert K.","non-dropping-particle":"","parse-names":false,"suffix":""},{"dropping-particle":"","family":"Sharma","given":"Kumar","non-dropping-particle":"","parse-names":false,"suffix":""}],"container-title":"Kidney International","id":"ITEM-2","issue":"3","issued":{"date-parts":[["2014"]]},"page":"611-623","title":"Regulation of lipid accumulation by AMK-Activated kinase in high fat diet-induced kidney injury","type":"article-journal","volume":"85"},"uris":["http://www.mendeley.com/documents/?uuid=9cb854f8-4c3a-443a-ac96-2c8139bdbf52"]}],"mendeley":{"formattedCitation":"&lt;sup&gt;11,13&lt;/sup&gt;","plainTextFormattedCitation":"11,13","previouslyFormattedCitation":"&lt;sup&gt;11,13&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2500AB" w:rsidRPr="006E1B23">
        <w:rPr>
          <w:rFonts w:ascii="Times New Roman" w:hAnsi="Times New Roman" w:cs="Times New Roman"/>
          <w:noProof/>
          <w:sz w:val="24"/>
          <w:szCs w:val="24"/>
          <w:lang w:val="en-US"/>
        </w:rPr>
        <w:t>11,13</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or exercise training</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025345" w:rsidRPr="006E1B23">
        <w:rPr>
          <w:rFonts w:ascii="Times New Roman" w:hAnsi="Times New Roman" w:cs="Times New Roman"/>
          <w:sz w:val="24"/>
          <w:szCs w:val="24"/>
          <w:lang w:val="en-US"/>
        </w:rPr>
        <w:instrText>ADDIN CSL_CITATION {"citationItems":[{"id":"ITEM-1","itemData":{"DOI":"10.3390/ijms22010350","ISSN":"14220067","PMID":"33396267","abstract":"Exercise training is now recognized as an interesting therapeutic strategy in managing obesity and its related disorders. However, there is still a lack of knowledge about its impact on obesity-induced chronic kidney disease (CKD). Here, we investigated the effects of a delayed protocol of endurance exercise training (EET) as well as the underlying mechanism in obese mice presenting CKD. Mice fed a high-fat diet (HFD) or a low-fat diet (LFD) for 12 weeks were subsequently submitted to an 8-weeks EET protocol. Delayed treatment with EET in obese mice prevented body weight gain associated with a reduced calorie intake. EET intervention counteracted obesity-related disorders including glucose intolerance, insulin resistance, dyslipidaemia and hepatic steatosis. Moreover, our data demonstrated for the first time the beneficial effects of EET on obesity-induced CKD as evidenced by an improvement of obesity-related glomerulopathy, tubulo-interstitial fibrosis, inflammation and oxidative stress. EET also prevented renal lipid depositions in the proximal tubule. These results were associated with an improvement of the AMPK pathway by EET in renal tissue. AMPK-mediated phosphorylation of ACC and ULK-1 were particularly enhanced leading to increased fatty acid oxidation and autophagy improvement with EET in obese mice.","author":[{"dropping-particle":"","family":"Juszczak","given":"Florian","non-dropping-particle":"","parse-names":false,"suffix":""},{"dropping-particle":"","family":"Vlassembrouck","given":"Maud","non-dropping-particle":"","parse-names":false,"suffix":""},{"dropping-particle":"","family":"Botton","given":"Olivia","non-dropping-particle":"","parse-names":false,"suffix":""},{"dropping-particle":"","family":"Zwakhals","given":"Thomas","non-dropping-particle":"","parse-names":false,"suffix":""},{"dropping-particle":"","family":"Decarnoncle","given":"Morgane","non-dropping-particle":"","parse-names":false,"suffix":""},{"dropping-particle":"","family":"Tassin","given":"Alexandra","non-dropping-particle":"","parse-names":false,"suffix":""},{"dropping-particle":"","family":"Caron","given":"Nathalie","non-dropping-particle":"","parse-names":false,"suffix":""},{"dropping-particle":"","family":"Declèves","given":"Anne Emilie","non-dropping-particle":"","parse-names":false,"suffix":""}],"container-title":"International Journal of Molecular Sciences","id":"ITEM-1","issue":"1","issued":{"date-parts":[["2021"]]},"page":"1-20","title":"Delayed exercise training improves obesity-induced chronic kidney disease by activating ampk pathway in high-fat diet-fed mice","type":"article-journal","volume":"22"},"uris":["http://www.mendeley.com/documents/?uuid=8f994a6a-ce8b-4b0a-853d-264953a5bde4"]}],"mendeley":{"formattedCitation":"&lt;sup&gt;14&lt;/sup&gt;","plainTextFormattedCitation":"14","previouslyFormattedCitation":"&lt;sup&gt;14&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2500AB" w:rsidRPr="006E1B23">
        <w:rPr>
          <w:rFonts w:ascii="Times New Roman" w:hAnsi="Times New Roman" w:cs="Times New Roman"/>
          <w:noProof/>
          <w:sz w:val="24"/>
          <w:szCs w:val="24"/>
          <w:lang w:val="en-US"/>
        </w:rPr>
        <w:t>14</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B14D10" w:rsidRPr="00405F18">
        <w:rPr>
          <w:rFonts w:ascii="Times New Roman" w:hAnsi="Times New Roman" w:cs="Times New Roman"/>
          <w:sz w:val="24"/>
          <w:szCs w:val="24"/>
          <w:lang w:val="en-US"/>
        </w:rPr>
        <w:t>protects</w:t>
      </w:r>
      <w:r w:rsidRPr="00405F18">
        <w:rPr>
          <w:rFonts w:ascii="Times New Roman" w:hAnsi="Times New Roman" w:cs="Times New Roman"/>
          <w:sz w:val="24"/>
          <w:szCs w:val="24"/>
          <w:lang w:val="en-US"/>
        </w:rPr>
        <w:t xml:space="preserve"> renal function and structure in obese animals and prevents the development of CKD. In addition, the protection of obese female mice (over males) against the development of CKD was recently shown to be mediated by AMPK activity</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BC4F67" w:rsidRPr="006E1B23">
        <w:rPr>
          <w:rFonts w:ascii="Times New Roman" w:hAnsi="Times New Roman" w:cs="Times New Roman"/>
          <w:sz w:val="24"/>
          <w:szCs w:val="24"/>
          <w:lang w:val="en-US"/>
        </w:rPr>
        <w:instrText>ADDIN CSL_CITATION {"citationItems":[{"id":"ITEM-1","itemData":{"DOI":"10.1186/s13293-023-00543-6","ISSN":"20426410","abstract":"Background: Sex differences have been observed in the development of obesity-related complications in patients, as well as in animal models. Accumulating evidence suggests that sex-dependent regulation of lipid metabolism contributes to sex-specific physiopathology. Lipid accumulation in the renal tissue has been shown to play a major role in the pathogenesis of obesity-induced kidney injury. Unlike in males, the physiopathology of the disease has been poorly described in females, particularly regarding the lipid metabolism adaptation. Methods: Here, we compared the lipid profile changes in the kidneys of female and male mice fed a high-fat diet (HFD) or low-fat diet (LFD) by lipidomics and correlated them with pathophysiological changes. Results: We showed that HFD-fed female mice were protected from insulin resistance and hepatic steatosis compared to males, despite similar body weight gains. Females were particularly protected from renal dysfunction, oxidative stress, and tubular lipid accumulation. Both HFD-fed male and female mice presented dyslipidemia, but lipidomic analysis highlighted differential renal lipid profiles. While both sexes presented similar neutral lipid accumulation with obesity, only males showed increased levels of ceramides and phospholipids. Remarkably, protection against renal lipotoxicity in females was associated with enhanced renal adiponectin and AMP-activated protein kinase (AMPK) signaling. Circulating adiponectin and its renal receptor levels were significantly lower in obese males, but were maintained in females. This observation correlated with the maintained basal AMPK activity in obese female mice compared to males. Conclusions: Collectively, our findings suggest that female mice are protected from obesity-induced renal dysfunction and lipotoxicity associated with enhanced adiponectin and AMPK signaling compared to males.","author":[{"dropping-particle":"","family":"Juszczak","given":"Florian","non-dropping-particle":"","parse-names":false,"suffix":""},{"dropping-particle":"","family":"Pierre","given":"Louise","non-dropping-particle":"","parse-names":false,"suffix":""},{"dropping-particle":"","family":"Decarnoncle","given":"Morgane","non-dropping-particle":"","parse-names":false,"suffix":""},{"dropping-particle":"","family":"Jadot","given":"Inès","non-dropping-particle":"","parse-names":false,"suffix":""},{"dropping-particle":"","family":"Martin","given":"Blanche","non-dropping-particle":"","parse-names":false,"suffix":""},{"dropping-particle":"","family":"Botton","given":"Olivia","non-dropping-particle":"","parse-names":false,"suffix":""},{"dropping-particle":"","family":"Caron","given":"Nathalie","non-dropping-particle":"","parse-names":false,"suffix":""},{"dropping-particle":"","family":"Dehairs","given":"Jonas","non-dropping-particle":"","parse-names":false,"suffix":""},{"dropping-particle":"V.","family":"Swinnen","given":"Johannes","non-dropping-particle":"","parse-names":false,"suffix":""},{"dropping-particle":"","family":"Declèves","given":"Anne Emilie","non-dropping-particle":"","parse-names":false,"suffix":""}],"container-title":"Biology of Sex Differences","id":"ITEM-1","issue":"1","issued":{"date-parts":[["2023"]]},"page":"1-18","publisher":"BioMed Central","title":"Sex differences in obesity-induced renal lipid accumulation revealed by lipidomics: a role of adiponectin/AMPK axis","type":"article-journal","volume":"14"},"uris":["http://www.mendeley.com/documents/?uuid=5d2fc9a0-dc2c-4c63-9bad-f98b59aa7e76"]}],"mendeley":{"formattedCitation":"&lt;sup&gt;18&lt;/sup&gt;","plainTextFormattedCitation":"18","previouslyFormattedCitation":"&lt;sup&gt;18&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D27D77" w:rsidRPr="006E1B23">
        <w:rPr>
          <w:rFonts w:ascii="Times New Roman" w:hAnsi="Times New Roman" w:cs="Times New Roman"/>
          <w:noProof/>
          <w:sz w:val="24"/>
          <w:szCs w:val="24"/>
          <w:lang w:val="en-US"/>
        </w:rPr>
        <w:t>18</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AMPK is a ubiquitous serine/threonine kinase consisting of a catalytic </w:t>
      </w:r>
      <w:r w:rsidR="000A7DD2">
        <w:rPr>
          <w:rFonts w:ascii="Times New Roman" w:hAnsi="Times New Roman" w:cs="Times New Roman"/>
          <w:sz w:val="24"/>
          <w:szCs w:val="24"/>
          <w:lang w:val="en-US"/>
        </w:rPr>
        <w:t>PRKAA/</w:t>
      </w:r>
      <w:r w:rsidRPr="00405F18">
        <w:rPr>
          <w:rFonts w:ascii="Times New Roman" w:hAnsi="Times New Roman" w:cs="Times New Roman"/>
          <w:sz w:val="24"/>
          <w:szCs w:val="24"/>
          <w:lang w:val="en-US"/>
        </w:rPr>
        <w:t xml:space="preserve">α subunit and </w:t>
      </w:r>
      <w:r w:rsidR="001D3E74" w:rsidRPr="00405F18">
        <w:rPr>
          <w:rFonts w:ascii="Times New Roman" w:hAnsi="Times New Roman" w:cs="Times New Roman"/>
          <w:sz w:val="24"/>
          <w:szCs w:val="24"/>
          <w:lang w:val="en-US"/>
        </w:rPr>
        <w:t xml:space="preserve">two </w:t>
      </w:r>
      <w:r w:rsidRPr="00405F18">
        <w:rPr>
          <w:rFonts w:ascii="Times New Roman" w:hAnsi="Times New Roman" w:cs="Times New Roman"/>
          <w:sz w:val="24"/>
          <w:szCs w:val="24"/>
          <w:lang w:val="en-US"/>
        </w:rPr>
        <w:t xml:space="preserve">regulatory </w:t>
      </w:r>
      <w:r w:rsidR="000A7DD2">
        <w:rPr>
          <w:rFonts w:ascii="Times New Roman" w:hAnsi="Times New Roman" w:cs="Times New Roman"/>
          <w:sz w:val="24"/>
          <w:szCs w:val="24"/>
          <w:lang w:val="en-US"/>
        </w:rPr>
        <w:t>PRKAB/</w:t>
      </w:r>
      <w:r w:rsidRPr="00405F18">
        <w:rPr>
          <w:rFonts w:ascii="Times New Roman" w:hAnsi="Times New Roman" w:cs="Times New Roman"/>
          <w:sz w:val="24"/>
          <w:szCs w:val="24"/>
          <w:lang w:val="en-US"/>
        </w:rPr>
        <w:t xml:space="preserve">β and </w:t>
      </w:r>
      <w:r w:rsidR="000A7DD2">
        <w:rPr>
          <w:rFonts w:ascii="Times New Roman" w:hAnsi="Times New Roman" w:cs="Times New Roman"/>
          <w:sz w:val="24"/>
          <w:szCs w:val="24"/>
          <w:lang w:val="en-US"/>
        </w:rPr>
        <w:t>PRKAG/</w:t>
      </w:r>
      <w:r w:rsidRPr="00405F18">
        <w:rPr>
          <w:rFonts w:ascii="Times New Roman" w:hAnsi="Times New Roman" w:cs="Times New Roman"/>
          <w:sz w:val="24"/>
          <w:szCs w:val="24"/>
          <w:lang w:val="en-US"/>
        </w:rPr>
        <w:t>γ subunits</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BC4F67" w:rsidRPr="006E1B23">
        <w:rPr>
          <w:rFonts w:ascii="Times New Roman" w:hAnsi="Times New Roman" w:cs="Times New Roman"/>
          <w:sz w:val="24"/>
          <w:szCs w:val="24"/>
          <w:lang w:val="en-US"/>
        </w:rPr>
        <w:instrText>ADDIN CSL_CITATION {"citationItems":[{"id":"ITEM-1","itemData":{"DOI":"10.3390/ijms21217994","ISSN":"14220067","PMID":"33121167","abstract":"Chronic kidney disease (CKD) is prevalent in 9.1% of the global population and is a significant public health problem associated with increased morbidity and mortality. CKD is associated with highly prevalent physiological and metabolic disturbances such as hypertension, obesity, insulin resistance, cardiovascular disease, and aging, which are also risk factors for CKD pathogenesis and progression. Podocytes and proximal tubular cells of the kidney strongly express AMP-activated protein kinase (AMPK). AMPK plays essential roles in glucose and lipid metabolism, cell survival, growth, and inflammation. Thus, metabolic disease-induced renal diseases like obesity-related and diabetic chronic kidney disease demonstrate dysregulated AMPK in the kidney. Activating AMPK ameliorates the pathological and phenotypical features of both diseases. As a metabolic sensor, AMPK regulates active tubular transport and helps renal cells to survive low energy states. AMPK also exerts a key role in mitochondrial homeostasis and is known to regulate autophagy in mammalian cells. While the nutrient-sensing role of AMPK is critical in determining the fate of renal cells, the role of AMPK in kidney autophagy and mitochondrial quality control leading to pathology in metabolic disease-related CKD is not very clear and needs further investigation. This review highlights the crucial role of AMPK in renal cell dysfunction associated with metabolic diseases and aims to expand therapeutic strategies by understanding the molecular and cellular processes underlying CKD.","author":[{"dropping-particle":"","family":"Juszczak","given":"Florian","non-dropping-particle":"","parse-names":false,"suffix":""},{"dropping-particle":"","family":"Caron","given":"Nathalie","non-dropping-particle":"","parse-names":false,"suffix":""},{"dropping-particle":"V.","family":"Mathew","given":"Anna","non-dropping-particle":"","parse-names":false,"suffix":""},{"dropping-particle":"","family":"Declèves","given":"Anne Emilie","non-dropping-particle":"","parse-names":false,"suffix":""}],"container-title":"International Journal of Molecular Sciences","id":"ITEM-1","issue":"21","issued":{"date-parts":[["2020"]]},"page":"1-23","title":"Critical role for AMPK in metabolic disease-induced chronic kidney disease","type":"article-journal","volume":"21"},"uris":["http://www.mendeley.com/documents/?uuid=c12e7fda-9635-4360-80c9-8837df436fed"]}],"mendeley":{"formattedCitation":"&lt;sup&gt;19&lt;/sup&gt;","plainTextFormattedCitation":"19","previouslyFormattedCitation":"&lt;sup&gt;19&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D27D77" w:rsidRPr="006E1B23">
        <w:rPr>
          <w:rFonts w:ascii="Times New Roman" w:hAnsi="Times New Roman" w:cs="Times New Roman"/>
          <w:noProof/>
          <w:sz w:val="24"/>
          <w:szCs w:val="24"/>
          <w:lang w:val="en-US"/>
        </w:rPr>
        <w:t>19</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It is the master energy sensor of eukaryotic cells and is crucial in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due to their elevated metabolic requirements. Previous studies from our group highlighted a strong correlation between AMPK activation and reduced PTEC vacuolization</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BC4F67" w:rsidRPr="006E1B23">
        <w:rPr>
          <w:rFonts w:ascii="Times New Roman" w:hAnsi="Times New Roman" w:cs="Times New Roman"/>
          <w:sz w:val="24"/>
          <w:szCs w:val="24"/>
          <w:lang w:val="en-US"/>
        </w:rPr>
        <w:instrText>ADDIN CSL_CITATION {"citationItems":[{"id":"ITEM-1","itemData":{"DOI":"10.3390/ijms22010350","ISSN":"14220067","PMID":"33396267","abstract":"Exercise training is now recognized as an interesting therapeutic strategy in managing obesity and its related disorders. However, there is still a lack of knowledge about its impact on obesity-induced chronic kidney disease (CKD). Here, we investigated the effects of a delayed protocol of endurance exercise training (EET) as well as the underlying mechanism in obese mice presenting CKD. Mice fed a high-fat diet (HFD) or a low-fat diet (LFD) for 12 weeks were subsequently submitted to an 8-weeks EET protocol. Delayed treatment with EET in obese mice prevented body weight gain associated with a reduced calorie intake. EET intervention counteracted obesity-related disorders including glucose intolerance, insulin resistance, dyslipidaemia and hepatic steatosis. Moreover, our data demonstrated for the first time the beneficial effects of EET on obesity-induced CKD as evidenced by an improvement of obesity-related glomerulopathy, tubulo-interstitial fibrosis, inflammation and oxidative stress. EET also prevented renal lipid depositions in the proximal tubule. These results were associated with an improvement of the AMPK pathway by EET in renal tissue. AMPK-mediated phosphorylation of ACC and ULK-1 were particularly enhanced leading to increased fatty acid oxidation and autophagy improvement with EET in obese mice.","author":[{"dropping-particle":"","family":"Juszczak","given":"Florian","non-dropping-particle":"","parse-names":false,"suffix":""},{"dropping-particle":"","family":"Vlassembrouck","given":"Maud","non-dropping-particle":"","parse-names":false,"suffix":""},{"dropping-particle":"","family":"Botton","given":"Olivia","non-dropping-particle":"","parse-names":false,"suffix":""},{"dropping-particle":"","family":"Zwakhals","given":"Thomas","non-dropping-particle":"","parse-names":false,"suffix":""},{"dropping-particle":"","family":"Decarnoncle","given":"Morgane","non-dropping-particle":"","parse-names":false,"suffix":""},{"dropping-particle":"","family":"Tassin","given":"Alexandra","non-dropping-particle":"","parse-names":false,"suffix":""},{"dropping-particle":"","family":"Caron","given":"Nathalie","non-dropping-particle":"","parse-names":false,"suffix":""},{"dropping-particle":"","family":"Declèves","given":"Anne Emilie","non-dropping-particle":"","parse-names":false,"suffix":""}],"container-title":"International Journal of Molecular Sciences","id":"ITEM-1","issue":"1","issued":{"date-parts":[["2021"]]},"page":"1-20","title":"Delayed exercise training improves obesity-induced chronic kidney disease by activating ampk pathway in high-fat diet-fed mice","type":"article-journal","volume":"22"},"uris":["http://www.mendeley.com/documents/?uuid=8f994a6a-ce8b-4b0a-853d-264953a5bde4"]},{"id":"ITEM-2","itemData":{"DOI":"10.1038/ki.2013.462","ISSN":"15231755","abstract":"AMP-Activated protein kinase (AMPK) is an important energy sensor that may be critical in regulating renal lipid accumulation. To evaluate the role of AMPK in mediating renal lipid accumulation, C57BL/6J mice were randomized to a standard diet, a high-fat diet, or a high-fat diet plus AICAR (an AMPK activator) for 14 weeks. Renal functional and structural studies along with electron microscopy were performed. Mice given the high-fat diet had proximal tubule injury with the presence of enlarged clear vacuoles, and multilaminar inclusions concurrent with an increase of tissue lipid and overloading of the lysosomal system. The margins of the clear vacuoles were positive for the endolysosomal marker, LAMP1, suggesting lysosome accumulation. Characterization of vesicles by special stains (Oil Red O, Nile Red, Luxol Fast Blue) and by electron microscopy showed they contained onion skin-like accumulations consistent with phospholipids. Moreover, cholesteryl esters and phosphatidylcholine-containing phospholipids were significantly increased in the kidneys of mice on a high-fat diet. AMPK activation with chronic AICAR treatment prevented the clinical and structural effects of high-fat diet. Thus, high-fat diet contributes to a dysfunction of the lysosomal system and altered lipid metabolism characterized by cholesterol and phospholipid accumulation in the kidney. AMPK activation normalizes the changes in renal lipid content despite chronic exposure to lipid challenge. © 2013 International Society of Nephrology.","author":[{"dropping-particle":"","family":"Declèves","given":"Anne Emilie","non-dropping-particle":"","parse-names":false,"suffix":""},{"dropping-particle":"","family":"Zolkipli","given":"Zarazuela","non-dropping-particle":"","parse-names":false,"suffix":""},{"dropping-particle":"","family":"Satriano","given":"Joseph","non-dropping-particle":"","parse-names":false,"suffix":""},{"dropping-particle":"","family":"Wang","given":"Lin","non-dropping-particle":"","parse-names":false,"suffix":""},{"dropping-particle":"","family":"Nakayama","given":"Tomohiro","non-dropping-particle":"","parse-names":false,"suffix":""},{"dropping-particle":"","family":"Rogac","given":"Mihael","non-dropping-particle":"","parse-names":false,"suffix":""},{"dropping-particle":"","family":"Le","given":"Thuy P.","non-dropping-particle":"","parse-names":false,"suffix":""},{"dropping-particle":"","family":"Nortier","given":"Joëlle L.","non-dropping-particle":"","parse-names":false,"suffix":""},{"dropping-particle":"","family":"Farquhar","given":"Marilyn G.","non-dropping-particle":"","parse-names":false,"suffix":""},{"dropping-particle":"","family":"Naviaux","given":"Robert K.","non-dropping-particle":"","parse-names":false,"suffix":""},{"dropping-particle":"","family":"Sharma","given":"Kumar","non-dropping-particle":"","parse-names":false,"suffix":""}],"container-title":"Kidney International","id":"ITEM-2","issue":"3","issued":{"date-parts":[["2014"]]},"page":"611-623","title":"Regulation of lipid accumulation by AMK-Activated kinase in high fat diet-induced kidney injury","type":"article-journal","volume":"85"},"uris":["http://www.mendeley.com/documents/?uuid=9cb854f8-4c3a-443a-ac96-2c8139bdbf52"]},{"id":"ITEM-3","itemData":{"DOI":"10.1194/jlr.M088690","ISSN":"15397262","PMID":"30862696","abstract":"High-fat diet (HFD) causes renal lipotoxicity that is ameliorated with AMP-activated protein kinase (AMPK) activation. Although bioactive eicosanoids increase with HFD and are essential in regulation of renal disease, their role in the inflammatory response to HFD-induced kidney disease and their modulation by AMPK activation remain unexplored. In a mouse model, we explored the effects of HFD on eicosanoid synthesis and the role of AMPK activation in ameliorating these changes. We used targeted lipidomic profiling with quantitative MS to determine PUFA and eicosanoid content in kidneys, urine, and renal arterial and venous circulation. HFD increased phospholipase expression as well as the total and free pro-inflammatory arachidonic acid (AA) and anti-inflammatory DHA in kidneys. Consistent with the parent PUFA levels, the AA- and DHA-derived lipoxygenase (LOX), cytochrome P450, and nonenzymatic degradation (NE) metabolites increased in kidneys with HFD, while EPA-derived LOX and NE metabolites decreased. Conversely, treatment with 5-aminoimidazole-4-carboxamide-1-D-furanosyl 5′-monophosphate (AICAR), an AMPK activator, reduced the free AA and DHA content and the DHA-derived metabolites in kidney. Interestingly, kidney and circulating AA, AA metabolites, EPA-derived LOX, and NE metabolites are increased with HFD; whereas, DHA metabolites are increased in kidney in contrast to their decreased circulating levels with HFD. Together, these changes showcase HFD-induced pro- and anti-inflammatory eicosanoid dysregulation and highlight the role of AMPK in correcting HFD-induced dysregulated eicosanoid pathways.","author":[{"dropping-particle":"","family":"Declèves","given":"Anne Emilie","non-dropping-particle":"","parse-names":false,"suffix":""},{"dropping-particle":"V.","family":"Mathew","given":"Anna","non-dropping-particle":"","parse-names":false,"suffix":""},{"dropping-particle":"","family":"Armando","given":"Aaron M.","non-dropping-particle":"","parse-names":false,"suffix":""},{"dropping-particle":"","family":"Han","given":"Xianlin","non-dropping-particle":"","parse-names":false,"suffix":""},{"dropping-particle":"","family":"Dennis","given":"Edward A.","non-dropping-particle":"","parse-names":false,"suffix":""},{"dropping-particle":"","family":"Quehenberger","given":"Oswald","non-dropping-particle":"","parse-names":false,"suffix":""},{"dropping-particle":"","family":"Sharma","given":"Kumar","non-dropping-particle":"","parse-names":false,"suffix":""}],"container-title":"Journal of Lipid Research","id":"ITEM-3","issue":"5","issued":{"date-parts":[["2019"]]},"page":"937-952","title":"AMP-activated protein kinase activation ameliorates eicosanoid dysregulation in high-fat-induced kidney disease in mice","type":"article-journal","volume":"60"},"uris":["http://www.mendeley.com/documents/?uuid=a73b0cf8-662f-4c2b-8b40-5196900f6917"]},{"id":"ITEM-4","itemData":{"DOI":"10.1186/s13293-023-00543-6","ISSN":"20426410","abstract":"Background: Sex differences have been observed in the development of obesity-related complications in patients, as well as in animal models. Accumulating evidence suggests that sex-dependent regulation of lipid metabolism contributes to sex-specific physiopathology. Lipid accumulation in the renal tissue has been shown to play a major role in the pathogenesis of obesity-induced kidney injury. Unlike in males, the physiopathology of the disease has been poorly described in females, particularly regarding the lipid metabolism adaptation. Methods: Here, we compared the lipid profile changes in the kidneys of female and male mice fed a high-fat diet (HFD) or low-fat diet (LFD) by lipidomics and correlated them with pathophysiological changes. Results: We showed that HFD-fed female mice were protected from insulin resistance and hepatic steatosis compared to males, despite similar body weight gains. Females were particularly protected from renal dysfunction, oxidative stress, and tubular lipid accumulation. Both HFD-fed male and female mice presented dyslipidemia, but lipidomic analysis highlighted differential renal lipid profiles. While both sexes presented similar neutral lipid accumulation with obesity, only males showed increased levels of ceramides and phospholipids. Remarkably, protection against renal lipotoxicity in females was associated with enhanced renal adiponectin and AMP-activated protein kinase (AMPK) signaling. Circulating adiponectin and its renal receptor levels were significantly lower in obese males, but were maintained in females. This observation correlated with the maintained basal AMPK activity in obese female mice compared to males. Conclusions: Collectively, our findings suggest that female mice are protected from obesity-induced renal dysfunction and lipotoxicity associated with enhanced adiponectin and AMPK signaling compared to males.","author":[{"dropping-particle":"","family":"Juszczak","given":"Florian","non-dropping-particle":"","parse-names":false,"suffix":""},{"dropping-particle":"","family":"Pierre","given":"Louise","non-dropping-particle":"","parse-names":false,"suffix":""},{"dropping-particle":"","family":"Decarnoncle","given":"Morgane","non-dropping-particle":"","parse-names":false,"suffix":""},{"dropping-particle":"","family":"Jadot","given":"Inès","non-dropping-particle":"","parse-names":false,"suffix":""},{"dropping-particle":"","family":"Martin","given":"Blanche","non-dropping-particle":"","parse-names":false,"suffix":""},{"dropping-particle":"","family":"Botton","given":"Olivia","non-dropping-particle":"","parse-names":false,"suffix":""},{"dropping-particle":"","family":"Caron","given":"Nathalie","non-dropping-particle":"","parse-names":false,"suffix":""},{"dropping-particle":"","family":"Dehairs","given":"Jonas","non-dropping-particle":"","parse-names":false,"suffix":""},{"dropping-particle":"V.","family":"Swinnen","given":"Johannes","non-dropping-particle":"","parse-names":false,"suffix":""},{"dropping-particle":"","family":"Declèves","given":"Anne Emilie","non-dropping-particle":"","parse-names":false,"suffix":""}],"container-title":"Biology of Sex Differences","id":"ITEM-4","issue":"1","issued":{"date-parts":[["2023"]]},"page":"1-18","publisher":"BioMed Central","title":"Sex differences in obesity-induced renal lipid accumulation revealed by lipidomics: a role of adiponectin/AMPK axis","type":"article-journal","volume":"14"},"uris":["http://www.mendeley.com/documents/?uuid=5d2fc9a0-dc2c-4c63-9bad-f98b59aa7e76"]}],"mendeley":{"formattedCitation":"&lt;sup&gt;11,13,14,18&lt;/sup&gt;","plainTextFormattedCitation":"11,13,14,18","previouslyFormattedCitation":"&lt;sup&gt;11,13,14,18&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D27D77" w:rsidRPr="006E1B23">
        <w:rPr>
          <w:rFonts w:ascii="Times New Roman" w:hAnsi="Times New Roman" w:cs="Times New Roman"/>
          <w:noProof/>
          <w:sz w:val="24"/>
          <w:szCs w:val="24"/>
          <w:lang w:val="en-US"/>
        </w:rPr>
        <w:t>11,13,14,18</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In addition, lean mice deficient for the </w:t>
      </w:r>
      <w:r w:rsidR="000A7DD2">
        <w:rPr>
          <w:rFonts w:ascii="Times New Roman" w:hAnsi="Times New Roman" w:cs="Times New Roman"/>
          <w:sz w:val="24"/>
          <w:szCs w:val="24"/>
          <w:lang w:val="en-US"/>
        </w:rPr>
        <w:t>PRKAB1/</w:t>
      </w:r>
      <w:r w:rsidRPr="00405F18">
        <w:rPr>
          <w:rFonts w:ascii="Times New Roman" w:hAnsi="Times New Roman" w:cs="Times New Roman"/>
          <w:sz w:val="24"/>
          <w:szCs w:val="24"/>
          <w:lang w:val="en-US"/>
        </w:rPr>
        <w:t>β1 subunit display LD accumulation in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specifically</w:t>
      </w:r>
      <w:r w:rsidR="006E1B23">
        <w:rPr>
          <w:rFonts w:ascii="Times New Roman" w:hAnsi="Times New Roman" w:cs="Times New Roman"/>
          <w:sz w:val="24"/>
          <w:szCs w:val="24"/>
          <w:lang w:val="en-US"/>
        </w:rPr>
        <w:t xml:space="preserve"> [</w:t>
      </w:r>
      <w:r w:rsidR="00D27D77" w:rsidRPr="006E1B23">
        <w:rPr>
          <w:rFonts w:ascii="Times New Roman" w:hAnsi="Times New Roman" w:cs="Times New Roman"/>
          <w:sz w:val="24"/>
          <w:szCs w:val="24"/>
          <w:lang w:val="en-US"/>
        </w:rPr>
        <w:fldChar w:fldCharType="begin" w:fldLock="1"/>
      </w:r>
      <w:r w:rsidR="00BC4F67" w:rsidRPr="006E1B23">
        <w:rPr>
          <w:rFonts w:ascii="Times New Roman" w:hAnsi="Times New Roman" w:cs="Times New Roman"/>
          <w:sz w:val="24"/>
          <w:szCs w:val="24"/>
          <w:lang w:val="en-US"/>
        </w:rPr>
        <w:instrText>ADDIN CSL_CITATION {"citationItems":[{"id":"ITEM-1","itemData":{"DOI":"10.3390/metabo5040720","ISSN":"22181989","abstract":"Obesity is an independent risk factor for chronic kidney disease (CKD). The mechanisms linking obesity and CKD include systemic changes such as high blood pressure and hyperglycemia, and intrarenal effects relating to lipid accumulation. Normal lipid metabolism is integral to renal physiology and disturbances of renal lipid and energy metabolism are increasingly being linked with kidney disease. AMP-activated protein kinase (AMPK) and acetyl-CoA carboxylase (ACC) are important regulators of fatty acid oxidation, which is frequently abnormal in the kidney with CKD. A high fat diet reduces renal AMPK activity, thereby contributing to reduced fatty acid oxidation and energy imbalance, and treatments to activate AMPK are beneficial in animal models of obesity-related CKD. Studies have found that the specific cell types affected by excessive lipid accumulation are proximal tubular cells, podocytes, and mesangial cells. Targeting disturbances of renal energy metabolism is a promising approach to addressing the current epidemic of obesity-related kidney disease.","author":[{"dropping-particle":"","family":"Mount","given":"Peter","non-dropping-particle":"","parse-names":false,"suffix":""},{"dropping-particle":"","family":"Davies","given":"Matthew","non-dropping-particle":"","parse-names":false,"suffix":""},{"dropping-particle":"","family":"Choy","given":"Suet Wan","non-dropping-particle":"","parse-names":false,"suffix":""},{"dropping-particle":"","family":"Cook","given":"Natasha","non-dropping-particle":"","parse-names":false,"suffix":""},{"dropping-particle":"","family":"Power","given":"David","non-dropping-particle":"","parse-names":false,"suffix":""}],"container-title":"Metabolites","id":"ITEM-1","issue":"4","issued":{"date-parts":[["2015"]]},"page":"720-732","title":"Obesity-related chronic kidney disease—The role of lipid metabolism","type":"article-journal","volume":"5"},"uris":["http://www.mendeley.com/documents/?uuid=2ee5889e-4fbf-471a-a321-181f4e6027ae"]}],"mendeley":{"formattedCitation":"&lt;sup&gt;20&lt;/sup&gt;","plainTextFormattedCitation":"20","previouslyFormattedCitation":"&lt;sup&gt;20&lt;/sup&gt;"},"properties":{"noteIndex":0},"schema":"https://github.com/citation-style-language/schema/raw/master/csl-citation.json"}</w:instrText>
      </w:r>
      <w:r w:rsidR="00D27D77" w:rsidRPr="006E1B23">
        <w:rPr>
          <w:rFonts w:ascii="Times New Roman" w:hAnsi="Times New Roman" w:cs="Times New Roman"/>
          <w:sz w:val="24"/>
          <w:szCs w:val="24"/>
          <w:lang w:val="en-US"/>
        </w:rPr>
        <w:fldChar w:fldCharType="separate"/>
      </w:r>
      <w:r w:rsidR="00D27D77" w:rsidRPr="006E1B23">
        <w:rPr>
          <w:rFonts w:ascii="Times New Roman" w:hAnsi="Times New Roman" w:cs="Times New Roman"/>
          <w:noProof/>
          <w:sz w:val="24"/>
          <w:szCs w:val="24"/>
          <w:lang w:val="en-US"/>
        </w:rPr>
        <w:t>20</w:t>
      </w:r>
      <w:r w:rsidR="00D27D77"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reinforcing that impaired AMPK activity results in dysregulated lipid metabolism in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w:t>
      </w:r>
    </w:p>
    <w:p w14:paraId="6F331A73" w14:textId="00108DA3" w:rsidR="005A3CC3" w:rsidRPr="00405F18" w:rsidRDefault="005A3CC3" w:rsidP="006E1B23">
      <w:pPr>
        <w:spacing w:after="100" w:afterAutospacing="1" w:line="480" w:lineRule="auto"/>
        <w:ind w:firstLine="708"/>
        <w:jc w:val="both"/>
        <w:rPr>
          <w:rFonts w:ascii="Times New Roman" w:hAnsi="Times New Roman" w:cs="Times New Roman"/>
          <w:sz w:val="24"/>
          <w:szCs w:val="24"/>
          <w:lang w:val="en-US"/>
        </w:rPr>
      </w:pPr>
      <w:proofErr w:type="spellStart"/>
      <w:r w:rsidRPr="00405F18">
        <w:rPr>
          <w:rFonts w:ascii="Times New Roman" w:hAnsi="Times New Roman" w:cs="Times New Roman"/>
          <w:sz w:val="24"/>
          <w:szCs w:val="24"/>
          <w:lang w:val="en-US"/>
        </w:rPr>
        <w:t>Macroautophagy</w:t>
      </w:r>
      <w:proofErr w:type="spellEnd"/>
      <w:r w:rsidRPr="00405F18">
        <w:rPr>
          <w:rFonts w:ascii="Times New Roman" w:hAnsi="Times New Roman" w:cs="Times New Roman"/>
          <w:sz w:val="24"/>
          <w:szCs w:val="24"/>
          <w:lang w:val="en-US"/>
        </w:rPr>
        <w:t>/autophagy is the process by which cyt</w:t>
      </w:r>
      <w:r w:rsidR="00313C61" w:rsidRPr="00405F18">
        <w:rPr>
          <w:rFonts w:ascii="Times New Roman" w:hAnsi="Times New Roman" w:cs="Times New Roman"/>
          <w:sz w:val="24"/>
          <w:szCs w:val="24"/>
          <w:lang w:val="en-US"/>
        </w:rPr>
        <w:t>oplasmic</w:t>
      </w:r>
      <w:r w:rsidRPr="00405F18">
        <w:rPr>
          <w:rFonts w:ascii="Times New Roman" w:hAnsi="Times New Roman" w:cs="Times New Roman"/>
          <w:sz w:val="24"/>
          <w:szCs w:val="24"/>
          <w:lang w:val="en-US"/>
        </w:rPr>
        <w:t xml:space="preserve"> cargos are engulfed in a double-membrane structure, named</w:t>
      </w:r>
      <w:r w:rsidR="000A7DD2">
        <w:rPr>
          <w:rFonts w:ascii="Times New Roman" w:hAnsi="Times New Roman" w:cs="Times New Roman"/>
          <w:sz w:val="24"/>
          <w:szCs w:val="24"/>
          <w:lang w:val="en-US"/>
        </w:rPr>
        <w:t xml:space="preserve"> a phagophore, that matures into an</w:t>
      </w:r>
      <w:r w:rsidRPr="00405F18">
        <w:rPr>
          <w:rFonts w:ascii="Times New Roman" w:hAnsi="Times New Roman" w:cs="Times New Roman"/>
          <w:sz w:val="24"/>
          <w:szCs w:val="24"/>
          <w:lang w:val="en-US"/>
        </w:rPr>
        <w:t xml:space="preserve"> autophagosome, </w:t>
      </w:r>
      <w:r w:rsidR="000A7DD2">
        <w:rPr>
          <w:rFonts w:ascii="Times New Roman" w:hAnsi="Times New Roman" w:cs="Times New Roman"/>
          <w:sz w:val="24"/>
          <w:szCs w:val="24"/>
          <w:lang w:val="en-US"/>
        </w:rPr>
        <w:t>which</w:t>
      </w:r>
      <w:r w:rsidR="000A7DD2"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deliver</w:t>
      </w:r>
      <w:r w:rsidR="000A7DD2">
        <w:rPr>
          <w:rFonts w:ascii="Times New Roman" w:hAnsi="Times New Roman" w:cs="Times New Roman"/>
          <w:sz w:val="24"/>
          <w:szCs w:val="24"/>
          <w:lang w:val="en-US"/>
        </w:rPr>
        <w:t>s the cargo</w:t>
      </w:r>
      <w:r w:rsidRPr="00405F18">
        <w:rPr>
          <w:rFonts w:ascii="Times New Roman" w:hAnsi="Times New Roman" w:cs="Times New Roman"/>
          <w:sz w:val="24"/>
          <w:szCs w:val="24"/>
          <w:lang w:val="en-US"/>
        </w:rPr>
        <w:t xml:space="preserve"> to lysosomes for degradation and recycling</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BC4F67" w:rsidRPr="006E1B23">
        <w:rPr>
          <w:rFonts w:ascii="Times New Roman" w:hAnsi="Times New Roman" w:cs="Times New Roman"/>
          <w:sz w:val="24"/>
          <w:szCs w:val="24"/>
          <w:lang w:val="en-US"/>
        </w:rPr>
        <w:instrText>ADDIN CSL_CITATION {"citationItems":[{"id":"ITEM-1","itemData":{"DOI":"10.1038/s41581-020-0309-2","ISSN":"1759507X","PMID":"32704047","abstract":"Autophagy is a conserved lysosomal pathway for the degradation of cytoplasmic components. Basal autophagy in kidney cells is essential for the maintenance of kidney homeostasis, structure and function. Under stress conditions, autophagy is altered as part of the adaptive response of kidney cells, in a process that is tightly regulated by signalling pathways that can modulate the cellular autophagic flux — mammalian target of rapamycin, AMP-activated protein kinase and sirtuins are key regulators of autophagy. Dysregulated autophagy contributes to the pathogenesis of acute kidney injury, to incomplete kidney repair after acute kidney injury and to chronic kidney disease of varied aetiologies, including diabetic kidney disease, focal segmental glomerulosclerosis and polycystic kidney disease. Autophagy also has a role in kidney ageing. However, questions remain about whether autophagy has a protective or a pathological role in kidney fibrosis, and about the precise mechanisms and signalling pathways underlying the autophagy response in different types of kidney cells and across the spectrum of kidney diseases. Further research is needed to gain insights into the regulation of autophagy in the kidneys and to enable the discovery of pathway-specific and kidney-selective therapies for kidney diseases and anti-ageing strategies.","author":[{"dropping-particle":"","family":"Tang","given":"Chengyuan","non-dropping-particle":"","parse-names":false,"suffix":""},{"dropping-particle":"","family":"Livingston","given":"Man J.","non-dropping-particle":"","parse-names":false,"suffix":""},{"dropping-particle":"","family":"Liu","given":"Zhiwen","non-dropping-particle":"","parse-names":false,"suffix":""},{"dropping-particle":"","family":"Dong","given":"Zheng","non-dropping-particle":"","parse-names":false,"suffix":""}],"container-title":"Nature Reviews Nephrology","id":"ITEM-1","issue":"9","issued":{"date-parts":[["2020"]]},"page":"489-508","publisher":"Springer US","title":"Autophagy in kidney homeostasis and disease","type":"article-journal","volume":"16"},"uris":["http://www.mendeley.com/documents/?uuid=92ab7e62-cf09-42b8-9e18-0178350e8905"]}],"mendeley":{"formattedCitation":"&lt;sup&gt;21&lt;/sup&gt;","plainTextFormattedCitation":"21","previouslyFormattedCitation":"&lt;sup&gt;21&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D27D77" w:rsidRPr="006E1B23">
        <w:rPr>
          <w:rFonts w:ascii="Times New Roman" w:hAnsi="Times New Roman" w:cs="Times New Roman"/>
          <w:noProof/>
          <w:sz w:val="24"/>
          <w:szCs w:val="24"/>
          <w:lang w:val="en-US"/>
        </w:rPr>
        <w:t>21</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display high autophagic activity and thus rely heavily on lysosomal function</w:t>
      </w:r>
      <w:r w:rsidR="006E1B23">
        <w:rPr>
          <w:rFonts w:ascii="Times New Roman" w:hAnsi="Times New Roman" w:cs="Times New Roman"/>
          <w:sz w:val="24"/>
          <w:szCs w:val="24"/>
          <w:lang w:val="en-US"/>
        </w:rPr>
        <w:t xml:space="preserve"> [</w:t>
      </w:r>
      <w:r w:rsidR="006E1B23" w:rsidRPr="006E1B23">
        <w:rPr>
          <w:rFonts w:ascii="Times New Roman" w:hAnsi="Times New Roman" w:cs="Times New Roman"/>
          <w:sz w:val="24"/>
          <w:szCs w:val="24"/>
          <w:lang w:val="en-US"/>
        </w:rPr>
        <w:fldChar w:fldCharType="begin" w:fldLock="1"/>
      </w:r>
      <w:r w:rsidR="006E1B23" w:rsidRPr="006E1B23">
        <w:rPr>
          <w:rFonts w:ascii="Times New Roman" w:hAnsi="Times New Roman" w:cs="Times New Roman"/>
          <w:sz w:val="24"/>
          <w:szCs w:val="24"/>
          <w:lang w:val="en-US"/>
        </w:rPr>
        <w:instrText>ADDIN CSL_CITATION {"citationItems":[{"id":"ITEM-1","itemData":{"DOI":"10.1038/s41581-020-0309-2","ISSN":"1759507X","PMID":"32704047","abstract":"Autophagy is a conserved lysosomal pathway for the degradation of cytoplasmic components. Basal autophagy in kidney cells is essential for the maintenance of kidney homeostasis, structure and function. Under stress conditions, autophagy is altered as part of the adaptive response of kidney cells, in a process that is tightly regulated by signalling pathways that can modulate the cellular autophagic flux — mammalian target of rapamycin, AMP-activated protein kinase and sirtuins are key regulators of autophagy. Dysregulated autophagy contributes to the pathogenesis of acute kidney injury, to incomplete kidney repair after acute kidney injury and to chronic kidney disease of varied aetiologies, including diabetic kidney disease, focal segmental glomerulosclerosis and polycystic kidney disease. Autophagy also has a role in kidney ageing. However, questions remain about whether autophagy has a protective or a pathological role in kidney fibrosis, and about the precise mechanisms and signalling pathways underlying the autophagy response in different types of kidney cells and across the spectrum of kidney diseases. Further research is needed to gain insights into the regulation of autophagy in the kidneys and to enable the discovery of pathway-specific and kidney-selective therapies for kidney diseases and anti-ageing strategies.","author":[{"dropping-particle":"","family":"Tang","given":"Chengyuan","non-dropping-particle":"","parse-names":false,"suffix":""},{"dropping-particle":"","family":"Livingston","given":"Man J.","non-dropping-particle":"","parse-names":false,"suffix":""},{"dropping-particle":"","family":"Liu","given":"Zhiwen","non-dropping-particle":"","parse-names":false,"suffix":""},{"dropping-particle":"","family":"Dong","given":"Zheng","non-dropping-particle":"","parse-names":false,"suffix":""}],"container-title":"Nature Reviews Nephrology","id":"ITEM-1","issue":"9","issued":{"date-parts":[["2020"]]},"page":"489-508","publisher":"Springer US","title":"Autophagy in kidney homeostasis and disease","type":"article-journal","volume":"16"},"uris":["http://www.mendeley.com/documents/?uuid=92ab7e62-cf09-42b8-9e18-0178350e8905"]}],"mendeley":{"formattedCitation":"&lt;sup&gt;21&lt;/sup&gt;","plainTextFormattedCitation":"21","previouslyFormattedCitation":"&lt;sup&gt;21&lt;/sup&gt;"},"properties":{"noteIndex":0},"schema":"https://github.com/citation-style-language/schema/raw/master/csl-citation.json"}</w:instrText>
      </w:r>
      <w:r w:rsidR="006E1B23" w:rsidRPr="006E1B23">
        <w:rPr>
          <w:rFonts w:ascii="Times New Roman" w:hAnsi="Times New Roman" w:cs="Times New Roman"/>
          <w:sz w:val="24"/>
          <w:szCs w:val="24"/>
          <w:lang w:val="en-US"/>
        </w:rPr>
        <w:fldChar w:fldCharType="separate"/>
      </w:r>
      <w:r w:rsidR="006E1B23" w:rsidRPr="006E1B23">
        <w:rPr>
          <w:rFonts w:ascii="Times New Roman" w:hAnsi="Times New Roman" w:cs="Times New Roman"/>
          <w:noProof/>
          <w:sz w:val="24"/>
          <w:szCs w:val="24"/>
          <w:lang w:val="en-US"/>
        </w:rPr>
        <w:t>21</w:t>
      </w:r>
      <w:r w:rsidR="006E1B23"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Moreover, the degradation of filtered proteins after reabsorption by receptor-mediated endocytosis also occur in</w:t>
      </w:r>
      <w:r w:rsidR="00D048F8" w:rsidRPr="00405F18">
        <w:rPr>
          <w:rFonts w:ascii="Times New Roman" w:hAnsi="Times New Roman" w:cs="Times New Roman"/>
          <w:sz w:val="24"/>
          <w:szCs w:val="24"/>
          <w:lang w:val="en-US"/>
        </w:rPr>
        <w:t xml:space="preserve"> the</w:t>
      </w:r>
      <w:r w:rsidRPr="00405F18">
        <w:rPr>
          <w:rFonts w:ascii="Times New Roman" w:hAnsi="Times New Roman" w:cs="Times New Roman"/>
          <w:sz w:val="24"/>
          <w:szCs w:val="24"/>
          <w:lang w:val="en-US"/>
        </w:rPr>
        <w:t xml:space="preserve"> lysosomes</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BC4F67" w:rsidRPr="006E1B23">
        <w:rPr>
          <w:rFonts w:ascii="Times New Roman" w:hAnsi="Times New Roman" w:cs="Times New Roman"/>
          <w:sz w:val="24"/>
          <w:szCs w:val="24"/>
          <w:lang w:val="en-US"/>
        </w:rPr>
        <w:instrText>ADDIN CSL_CITATION {"citationItems":[{"id":"ITEM-1","itemData":{"DOI":"10.1681/ASN.2021020253","ISBN":"2021020207","ISSN":"15333450","PMID":"33846239","author":[{"dropping-particle":"","family":"Berquez","given":"Marine","non-dropping-particle":"","parse-names":false,"suffix":""},{"dropping-particle":"","family":"Krohn","given":"Patrick","non-dropping-particle":"","parse-names":false,"suffix":""},{"dropping-particle":"","family":"Luciani","given":"Alessandro","non-dropping-particle":"","parse-names":false,"suffix":""},{"dropping-particle":"","family":"Devuyst","given":"Olivier","non-dropping-particle":"","parse-names":false,"suffix":""}],"container-title":"Journal of the American Society of Nephrology","id":"ITEM-1","issue":"5","issued":{"date-parts":[["2021"]]},"page":"1265-1267","title":"Receptor-mediated endocytosis and differentiation in proximal tubule cell systems","type":"article-journal","volume":"32"},"uris":["http://www.mendeley.com/documents/?uuid=320c0320-622a-4b16-abfb-ffeed03e9c22"]}],"mendeley":{"formattedCitation":"&lt;sup&gt;22&lt;/sup&gt;","plainTextFormattedCitation":"22","previouslyFormattedCitation":"&lt;sup&gt;22&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D27D77" w:rsidRPr="006E1B23">
        <w:rPr>
          <w:rFonts w:ascii="Times New Roman" w:hAnsi="Times New Roman" w:cs="Times New Roman"/>
          <w:noProof/>
          <w:sz w:val="24"/>
          <w:szCs w:val="24"/>
          <w:lang w:val="en-US"/>
        </w:rPr>
        <w:t>22</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In </w:t>
      </w:r>
      <w:r w:rsidR="006E1B23">
        <w:rPr>
          <w:rFonts w:ascii="Times New Roman" w:hAnsi="Times New Roman" w:cs="Times New Roman"/>
          <w:sz w:val="24"/>
          <w:szCs w:val="24"/>
          <w:lang w:val="en-US"/>
        </w:rPr>
        <w:t>PTs</w:t>
      </w:r>
      <w:r w:rsidRPr="00405F18">
        <w:rPr>
          <w:rFonts w:ascii="Times New Roman" w:hAnsi="Times New Roman" w:cs="Times New Roman"/>
          <w:sz w:val="24"/>
          <w:szCs w:val="24"/>
          <w:lang w:val="en-US"/>
        </w:rPr>
        <w:t xml:space="preserve"> of obese mice, we</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025345" w:rsidRPr="006E1B23">
        <w:rPr>
          <w:rFonts w:ascii="Times New Roman" w:hAnsi="Times New Roman" w:cs="Times New Roman"/>
          <w:sz w:val="24"/>
          <w:szCs w:val="24"/>
          <w:lang w:val="en-US"/>
        </w:rPr>
        <w:instrText>ADDIN CSL_CITATION {"citationItems":[{"id":"ITEM-1","itemData":{"DOI":"10.1038/ki.2013.462","ISSN":"15231755","abstract":"AMP-Activated protein kinase (AMPK) is an important energy sensor that may be critical in regulating renal lipid accumulation. To evaluate the role of AMPK in mediating renal lipid accumulation, C57BL/6J mice were randomized to a standard diet, a high-fat diet, or a high-fat diet plus AICAR (an AMPK activator) for 14 weeks. Renal functional and structural studies along with electron microscopy were performed. Mice given the high-fat diet had proximal tubule injury with the presence of enlarged clear vacuoles, and multilaminar inclusions concurrent with an increase of tissue lipid and overloading of the lysosomal system. The margins of the clear vacuoles were positive for the endolysosomal marker, LAMP1, suggesting lysosome accumulation. Characterization of vesicles by special stains (Oil Red O, Nile Red, Luxol Fast Blue) and by electron microscopy showed they contained onion skin-like accumulations consistent with phospholipids. Moreover, cholesteryl esters and phosphatidylcholine-containing phospholipids were significantly increased in the kidneys of mice on a high-fat diet. AMPK activation with chronic AICAR treatment prevented the clinical and structural effects of high-fat diet. Thus, high-fat diet contributes to a dysfunction of the lysosomal system and altered lipid metabolism characterized by cholesterol and phospholipid accumulation in the kidney. AMPK activation normalizes the changes in renal lipid content despite chronic exposure to lipid challenge. © 2013 International Society of Nephrology.","author":[{"dropping-particle":"","family":"Declèves","given":"Anne Emilie","non-dropping-particle":"","parse-names":false,"suffix":""},{"dropping-particle":"","family":"Zolkipli","given":"Zarazuela","non-dropping-particle":"","parse-names":false,"suffix":""},{"dropping-particle":"","family":"Satriano","given":"Joseph","non-dropping-particle":"","parse-names":false,"suffix":""},{"dropping-particle":"","family":"Wang","given":"Lin","non-dropping-particle":"","parse-names":false,"suffix":""},{"dropping-particle":"","family":"Nakayama","given":"Tomohiro","non-dropping-particle":"","parse-names":false,"suffix":""},{"dropping-particle":"","family":"Rogac","given":"Mihael","non-dropping-particle":"","parse-names":false,"suffix":""},{"dropping-particle":"","family":"Le","given":"Thuy P.","non-dropping-particle":"","parse-names":false,"suffix":""},{"dropping-particle":"","family":"Nortier","given":"Joëlle L.","non-dropping-particle":"","parse-names":false,"suffix":""},{"dropping-particle":"","family":"Farquhar","given":"Marilyn G.","non-dropping-particle":"","parse-names":false,"suffix":""},{"dropping-particle":"","family":"Naviaux","given":"Robert K.","non-dropping-particle":"","parse-names":false,"suffix":""},{"dropping-particle":"","family":"Sharma","given":"Kumar","non-dropping-particle":"","parse-names":false,"suffix":""}],"container-title":"Kidney International","id":"ITEM-1","issue":"3","issued":{"date-parts":[["2014"]]},"page":"611-623","title":"Regulation of lipid accumulation by AMK-Activated kinase in high fat diet-induced kidney injury","type":"article-journal","volume":"85"},"uris":["http://www.mendeley.com/documents/?uuid=9cb854f8-4c3a-443a-ac96-2c8139bdbf52"]},{"id":"ITEM-2","itemData":{"DOI":"10.3390/ijms22010350","ISSN":"14220067","PMID":"33396267","abstract":"Exercise training is now recognized as an interesting therapeutic strategy in managing obesity and its related disorders. However, there is still a lack of knowledge about its impact on obesity-induced chronic kidney disease (CKD). Here, we investigated the effects of a delayed protocol of endurance exercise training (EET) as well as the underlying mechanism in obese mice presenting CKD. Mice fed a high-fat diet (HFD) or a low-fat diet (LFD) for 12 weeks were subsequently submitted to an 8-weeks EET protocol. Delayed treatment with EET in obese mice prevented body weight gain associated with a reduced calorie intake. EET intervention counteracted obesity-related disorders including glucose intolerance, insulin resistance, dyslipidaemia and hepatic steatosis. Moreover, our data demonstrated for the first time the beneficial effects of EET on obesity-induced CKD as evidenced by an improvement of obesity-related glomerulopathy, tubulo-interstitial fibrosis, inflammation and oxidative stress. EET also prevented renal lipid depositions in the proximal tubule. These results were associated with an improvement of the AMPK pathway by EET in renal tissue. AMPK-mediated phosphorylation of ACC and ULK-1 were particularly enhanced leading to increased fatty acid oxidation and autophagy improvement with EET in obese mice.","author":[{"dropping-particle":"","family":"Juszczak","given":"Florian","non-dropping-particle":"","parse-names":false,"suffix":""},{"dropping-particle":"","family":"Vlassembrouck","given":"Maud","non-dropping-particle":"","parse-names":false,"suffix":""},{"dropping-particle":"","family":"Botton","given":"Olivia","non-dropping-particle":"","parse-names":false,"suffix":""},{"dropping-particle":"","family":"Zwakhals","given":"Thomas","non-dropping-particle":"","parse-names":false,"suffix":""},{"dropping-particle":"","family":"Decarnoncle","given":"Morgane","non-dropping-particle":"","parse-names":false,"suffix":""},{"dropping-particle":"","family":"Tassin","given":"Alexandra","non-dropping-particle":"","parse-names":false,"suffix":""},{"dropping-particle":"","family":"Caron","given":"Nathalie","non-dropping-particle":"","parse-names":false,"suffix":""},{"dropping-particle":"","family":"Declèves","given":"Anne Emilie","non-dropping-particle":"","parse-names":false,"suffix":""}],"container-title":"International Journal of Molecular Sciences","id":"ITEM-2","issue":"1","issued":{"date-parts":[["2021"]]},"page":"1-20","title":"Delayed exercise training improves obesity-induced chronic kidney disease by activating ampk pathway in high-fat diet-fed mice","type":"article-journal","volume":"22"},"uris":["http://www.mendeley.com/documents/?uuid=8f994a6a-ce8b-4b0a-853d-264953a5bde4"]}],"mendeley":{"formattedCitation":"&lt;sup&gt;13,14&lt;/sup&gt;","plainTextFormattedCitation":"13,14","previouslyFormattedCitation":"&lt;sup&gt;13,14&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2500AB" w:rsidRPr="006E1B23">
        <w:rPr>
          <w:rFonts w:ascii="Times New Roman" w:hAnsi="Times New Roman" w:cs="Times New Roman"/>
          <w:noProof/>
          <w:sz w:val="24"/>
          <w:szCs w:val="24"/>
          <w:lang w:val="en-US"/>
        </w:rPr>
        <w:t>13,14</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and others</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362664" w:rsidRPr="006E1B23">
        <w:rPr>
          <w:rFonts w:ascii="Times New Roman" w:hAnsi="Times New Roman" w:cs="Times New Roman"/>
          <w:sz w:val="24"/>
          <w:szCs w:val="24"/>
          <w:lang w:val="en-US"/>
        </w:rPr>
        <w:instrText>ADDIN CSL_CITATION {"citationItems":[{"id":"ITEM-1","itemData":{"DOI":"10.1681/ASN.2016070731","author":[{"dropping-particle":"","family":"Yamamoto","given":"Takeshi","non-dropping-particle":"","parse-names":false,"suffix":""},{"dropping-particle":"","family":"Takabatake","given":"Yoshitsugu","non-dropping-particle":"","parse-names":false,"suffix":""},{"dropping-particle":"","family":"Takahashi","given":"Atsushi","non-dropping-particle":"","parse-names":false,"suffix":""},{"dropping-particle":"","family":"Kimura","given":"Tomonori","non-dropping-particle":"","parse-names":false,"suffix":""}],"id":"ITEM-1","issued":{"date-parts":[["2016"]]},"page":"1-18","title":"High-Fat Diet-Induced Lysosomal Dysfunction and Impaired Autophagic Flux Contribute to Lipotoxicity in the Kidney","type":"article-journal"},"uris":["http://www.mendeley.com/documents/?uuid=4b43565d-4ca2-4963-a53a-b7cf6b1d140b"]}],"mendeley":{"formattedCitation":"&lt;sup&gt;12&lt;/sup&gt;","plainTextFormattedCitation":"12","previouslyFormattedCitation":"&lt;sup&gt;12&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4A2BDA" w:rsidRPr="006E1B23">
        <w:rPr>
          <w:rFonts w:ascii="Times New Roman" w:hAnsi="Times New Roman" w:cs="Times New Roman"/>
          <w:noProof/>
          <w:sz w:val="24"/>
          <w:szCs w:val="24"/>
          <w:lang w:val="en-US"/>
        </w:rPr>
        <w:t>12</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showed the accumulation of enlarged lysosomes and dysregulation of autophagic markers, both prevented by AMPK activation. These changes may result from increased formation and/or decreased clearance of autophagic vacuoles and were thus hard to interpret. Activation of autophagy in response to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xml:space="preserve"> has been demonstrated in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with a role in the degradation of cell components damaged by oxidative stress</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362664" w:rsidRPr="006E1B23">
        <w:rPr>
          <w:rFonts w:ascii="Times New Roman" w:hAnsi="Times New Roman" w:cs="Times New Roman"/>
          <w:sz w:val="24"/>
          <w:szCs w:val="24"/>
          <w:lang w:val="en-US"/>
        </w:rPr>
        <w:instrText>ADDIN CSL_CITATION {"citationItems":[{"id":"ITEM-1","itemData":{"DOI":"10.1681/ASN.2016070731","author":[{"dropping-particle":"","family":"Yamamoto","given":"Takeshi","non-dropping-particle":"","parse-names":false,"suffix":""},{"dropping-particle":"","family":"Takabatake","given":"Yoshitsugu","non-dropping-particle":"","parse-names":false,"suffix":""},{"dropping-particle":"","family":"Takahashi","given":"Atsushi","non-dropping-particle":"","parse-names":false,"suffix":""},{"dropping-particle":"","family":"Kimura","given":"Tomonori","non-dropping-particle":"","parse-names":false,"suffix":""}],"id":"ITEM-1","issued":{"date-parts":[["2016"]]},"page":"1-18","title":"High-Fat Diet-Induced Lysosomal Dysfunction and Impaired Autophagic Flux Contribute to Lipotoxicity in the Kidney","type":"article-journal"},"uris":["http://www.mendeley.com/documents/?uuid=4b43565d-4ca2-4963-a53a-b7cf6b1d140b"]}],"mendeley":{"formattedCitation":"&lt;sup&gt;12&lt;/sup&gt;","plainTextFormattedCitation":"12","previouslyFormattedCitation":"&lt;sup&gt;12&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4A2BDA" w:rsidRPr="006E1B23">
        <w:rPr>
          <w:rFonts w:ascii="Times New Roman" w:hAnsi="Times New Roman" w:cs="Times New Roman"/>
          <w:noProof/>
          <w:sz w:val="24"/>
          <w:szCs w:val="24"/>
          <w:lang w:val="en-US"/>
        </w:rPr>
        <w:t>12</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This elevated initiation is thought to finally place an </w:t>
      </w:r>
      <w:r w:rsidRPr="00405F18">
        <w:rPr>
          <w:rFonts w:ascii="Times New Roman" w:hAnsi="Times New Roman" w:cs="Times New Roman"/>
          <w:sz w:val="24"/>
          <w:szCs w:val="24"/>
          <w:lang w:val="en-US"/>
        </w:rPr>
        <w:lastRenderedPageBreak/>
        <w:t xml:space="preserve">important burden on lysosomal degradation leading to saturation. It is also known that autophagosome accumulation </w:t>
      </w:r>
      <w:r w:rsidR="00B43D93" w:rsidRPr="00405F18">
        <w:rPr>
          <w:rFonts w:ascii="Times New Roman" w:hAnsi="Times New Roman" w:cs="Times New Roman"/>
          <w:sz w:val="24"/>
          <w:szCs w:val="24"/>
          <w:lang w:val="en-US"/>
        </w:rPr>
        <w:t>could</w:t>
      </w:r>
      <w:r w:rsidRPr="00405F18">
        <w:rPr>
          <w:rFonts w:ascii="Times New Roman" w:hAnsi="Times New Roman" w:cs="Times New Roman"/>
          <w:sz w:val="24"/>
          <w:szCs w:val="24"/>
          <w:lang w:val="en-US"/>
        </w:rPr>
        <w:t xml:space="preserve"> result from defective fusion with lysosomes</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BC4F67" w:rsidRPr="006E1B23">
        <w:rPr>
          <w:rFonts w:ascii="Times New Roman" w:hAnsi="Times New Roman" w:cs="Times New Roman"/>
          <w:sz w:val="24"/>
          <w:szCs w:val="24"/>
          <w:lang w:val="en-US"/>
        </w:rPr>
        <w:instrText>ADDIN CSL_CITATION {"citationItems":[{"id":"ITEM-1","itemData":{"DOI":"10.1038/ncomms5834","ISSN":"20411723","PMID":"25189398","abstract":"Autophagy deregulation during obesity contributes to the pathogenesis of diverse metabolic disorders. However, without understanding the molecular mechanism of obesity interference in autophagy, development of therapeutic strategies for correcting such defects in obese individuals is challenging. Here we show that a chronic increase of the cytosolic calcium concentration in hepatocytes during obesity and lipotoxicity attenuates autophagic flux by preventing the fusion between autophagosomes and lysosomes. As a pharmacological approach to restore cytosolic calcium homeostasis in vivo, we administered the clinically approved calcium channel blocker verapamil to obese mice. Such treatment successfully increases autophagosome-lysosome fusion in liver, preventing accumulation of protein inclusions and lipid droplets and suppressing inflammation and insulin resistance. As calcium channel blockers have been safely used in clinics for the treatment of hypertension for more than 30 years, our results suggest they may be a safe therapeutic option for restoring autophagic flux and treating metabolic pathologies in obese patients.","author":[{"dropping-particle":"","family":"Park","given":"Hwan Woo","non-dropping-particle":"","parse-names":false,"suffix":""},{"dropping-particle":"","family":"Park","given":"Haeli","non-dropping-particle":"","parse-names":false,"suffix":""},{"dropping-particle":"","family":"Semple","given":"Ian A.","non-dropping-particle":"","parse-names":false,"suffix":""},{"dropping-particle":"","family":"Jang","given":"Insook","non-dropping-particle":"","parse-names":false,"suffix":""},{"dropping-particle":"","family":"Ro","given":"Seung Hyun","non-dropping-particle":"","parse-names":false,"suffix":""},{"dropping-particle":"","family":"Kim","given":"Myungjin","non-dropping-particle":"","parse-names":false,"suffix":""},{"dropping-particle":"","family":"Cazares","given":"Victor A.","non-dropping-particle":"","parse-names":false,"suffix":""},{"dropping-particle":"","family":"Stuenkel","given":"Edward L.","non-dropping-particle":"","parse-names":false,"suffix":""},{"dropping-particle":"","family":"Kim","given":"Jung Jae","non-dropping-particle":"","parse-names":false,"suffix":""},{"dropping-particle":"","family":"Kim","given":"Jeong Sig","non-dropping-particle":"","parse-names":false,"suffix":""},{"dropping-particle":"","family":"Lee","given":"Jun Hee","non-dropping-particle":"","parse-names":false,"suffix":""}],"container-title":"Nature Communications","id":"ITEM-1","issued":{"date-parts":[["2014"]]},"page":"1-12","publisher":"Nature Publishing Group","title":"Pharmacological correction of obesity-induced autophagy arrest using calcium channel blockers","type":"article-journal","volume":"5"},"uris":["http://www.mendeley.com/documents/?uuid=8cb6b306-b0f7-4b08-9c89-90238075cd74"]}],"mendeley":{"formattedCitation":"&lt;sup&gt;23&lt;/sup&gt;","plainTextFormattedCitation":"23","previouslyFormattedCitation":"&lt;sup&gt;23&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D27D77" w:rsidRPr="006E1B23">
        <w:rPr>
          <w:rFonts w:ascii="Times New Roman" w:hAnsi="Times New Roman" w:cs="Times New Roman"/>
          <w:noProof/>
          <w:sz w:val="24"/>
          <w:szCs w:val="24"/>
          <w:lang w:val="en-US"/>
        </w:rPr>
        <w:t>23</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Recently, it was shown that cultured hepatocytes and cardiomyocytes exposed to FA</w:t>
      </w:r>
      <w:r w:rsidR="00D20F8C"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display direct lysosomal damage, in an autophagy-independent manner</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BC4F67" w:rsidRPr="006E1B23">
        <w:rPr>
          <w:rFonts w:ascii="Times New Roman" w:hAnsi="Times New Roman" w:cs="Times New Roman"/>
          <w:sz w:val="24"/>
          <w:szCs w:val="24"/>
          <w:lang w:val="en-US"/>
        </w:rPr>
        <w:instrText>ADDIN CSL_CITATION {"citationItems":[{"id":"ITEM-1","itemData":{"DOI":"10.1002/hep.20283","ISSN":"02709139","PMID":"15239102","abstract":"Nonalcoholic fatty liver disease (NAFLD) is a serious health problem. Although NAFLD represents a form of lipotoxicity, its pathogenesis remains poorly understood. The aim of this study was to examine the cellular mechanisms involved in free fatty acid (FFA)-mediated hepatic lipotoxicity. FFA treatment of liver cells resulted in Bax translocation to lysosomes and lysosomal destabilization with release of cathepsin B (ctsb), a lysosomal cysteine protease, into the cytosol. This process was also partially dependent on ctsb. Lysosomal destabilization resulted in nuclear factor κB-dependent tumor necrosis factor α expression. Release of ctsb into the cytoplasm was also observed in humans with NAFLD and correlated with disease severity. In a dietary murine model of NAFLD, either genetic or pharmacological inactivation of ctsb protected against development of hepatic steatosis, liver injury, and insulin resistance with its associated \"dysmetabolic syndrome.\" In conclusion, these data support a lipotoxic model of FFA-mediated lysosomal destabilization.","author":[{"dropping-particle":"","family":"Feldstein","given":"Ariel E.","non-dropping-particle":"","parse-names":false,"suffix":""},{"dropping-particle":"","family":"Werneburg","given":"Nathan W.","non-dropping-particle":"","parse-names":false,"suffix":""},{"dropping-particle":"","family":"Canbay","given":"Ali","non-dropping-particle":"","parse-names":false,"suffix":""},{"dropping-particle":"","family":"Guicciardi","given":"Maria Eugenia","non-dropping-particle":"","parse-names":false,"suffix":""},{"dropping-particle":"","family":"Bronk","given":"Steven F.","non-dropping-particle":"","parse-names":false,"suffix":""},{"dropping-particle":"","family":"Rydzewski","given":"Robert","non-dropping-particle":"","parse-names":false,"suffix":""},{"dropping-particle":"","family":"Burgart","given":"Laurence J.","non-dropping-particle":"","parse-names":false,"suffix":""},{"dropping-particle":"","family":"Gores","given":"Gregory J.","non-dropping-particle":"","parse-names":false,"suffix":""}],"container-title":"Hepatology","id":"ITEM-1","issue":"1","issued":{"date-parts":[["2004"]]},"page":"185-194","title":"Free fatty acids promote hepatic lipotoxicity by stimulating TNF-α expression via a lysosomal pathway","type":"article-journal","volume":"40"},"uris":["http://www.mendeley.com/documents/?uuid=704e8d69-85ae-4b66-b064-91eafa5adeab"]},{"id":"ITEM-2","itemData":{"DOI":"10.1038/s41420-023-01379-0","ISSN":"20587716","abstract":"While the mechanism of lipotoxicity by palmitic acid (PA), an effector of metabolic stress in vitro and in vivo, has been extensively investigated, molecular details of lipotoxicity are still not fully characterized. Since recent studies reported that PA can exert lysosomal stress in addition to well-known ER and mitochondrial stress, we studied the role of lysosomal events in lipotoxicity by PA, focusing on lysosomal Ca2+. We found that PA induced accumulation of mitochondrial ROS and that mitochondrial ROS induced release of lysosomal Ca2+ due to lysosomal Ca2+ exit channel activation. Lysosomal Ca2+ release led to increased cytosolic Ca2+ which induced mitochondrial permeability transition (mPT). Chelation of cytoplasmic Ca2+ or blockade of mPT with olesoxime or decylubiquinone (DUB) suppressed lipotoxicity. Lysosomal Ca2+ release led to reduced lysosomal Ca2+ content which was replenished by ER Ca2+, the largest intracellular Ca2+ reservoir (ER → lysosome Ca2+ refilling), which in turn activated store-operated Ca2+ entry (SOCE). Inhibition of ER → lysosome Ca2+ refilling by blockade of ER Ca2+ exit channel using dantrolene or inhibition of SOCE using BTP2 inhibited lipotoxicity in vitro. Dantrolene or DUB also inhibited lipotoxic death of hepatocytes in vivo induced by administration of ethyl palmitate together with LPS. These results suggest a novel pathway of lipotoxicity characterized by mPT due to lysosomal Ca2+ release which was supplemented by ER → lysosome Ca2+ refilling and subsequent SOCE, and also suggest the potential role of modulation of ER → lysosome Ca2+ refilling by dantrolene or other blockers of ER Ca2+ exit channels in disease conditions characterized by lipotoxicity such as metabolic syndrome, diabetes, cardiomyopathy or nonalcoholic steatohepatitis.","author":[{"dropping-particle":"","family":"Oh","given":"Soo Jin","non-dropping-particle":"","parse-names":false,"suffix":""},{"dropping-particle":"","family":"Hwang","given":"Yeseong","non-dropping-particle":"","parse-names":false,"suffix":""},{"dropping-particle":"","family":"Hur","given":"Kyu Yeon","non-dropping-particle":"","parse-names":false,"suffix":""},{"dropping-particle":"","family":"Lee","given":"Myung Shik","non-dropping-particle":"","parse-names":false,"suffix":""}],"container-title":"Cell Death Discovery","id":"ITEM-2","issue":"1","issued":{"date-parts":[["2023"]]},"publisher":"Springer US","title":"Lysosomal Ca2+ as a mediator of palmitate-induced lipotoxicity","type":"article-journal","volume":"9"},"uris":["http://www.mendeley.com/documents/?uuid=53bd5bdf-d259-4c44-9c6f-83b7472cb740"]},{"id":"ITEM-3","itemData":{"DOI":"10.1194/jlr.M055152","ISSN":"15397262","PMID":"25529920","abstract":"Autophagy is a catabolic process involved in maintaining energy and organelle homeostasis. The relationship between obesity and the regulation of autophagy is cell type specific. Despite adverse consequences of obesity on cardiac structure and function, the contribution of altered cardiac autophagy in response to fatty acid overload is incompletely understood. Here, we report the suppression of autophagosome clearance and the activation of NADPH oxidase (Nox)2 in both high fat-fed murine hearts and palmitate-treated H9C2 cardiomyocytes (CMs). Defective autophagosome clearance is secondary to superoxide-dependent impairment of lysosomal acidification and enzyme activity in palmitate-treated CMs. Inhibition of Nox2 prevented superoxide overproduction, restored lysosome acidification and enzyme activity, and reduced autophagosome accumulation in palmitate-treated CMs. Palmitate-induced Nox2 activation was dependent on the activation of classical protein kinase Cs (PKCs), specifi cally PKCβII. These findings reveal a novel mechanism linking lipotoxicity with a PKCβ-Nox2-mediated impairment in pH-dependent lysosomal enzyme activity that diminishes autophagic turnover in CMs.","author":[{"dropping-particle":"","family":"Jaishy","given":"Bharat","non-dropping-particle":"","parse-names":false,"suffix":""},{"dropping-particle":"","family":"Zhang","given":"Quanjiang","non-dropping-particle":"","parse-names":false,"suffix":""},{"dropping-particle":"","family":"Chung","given":"Heaseung S.","non-dropping-particle":"","parse-names":false,"suffix":""},{"dropping-particle":"","family":"Riehle","given":"Christian","non-dropping-particle":"","parse-names":false,"suffix":""},{"dropping-particle":"","family":"Soto","given":"Jamie","non-dropping-particle":"","parse-names":false,"suffix":""},{"dropping-particle":"","family":"Jenkins","given":"Stephen","non-dropping-particle":"","parse-names":false,"suffix":""},{"dropping-particle":"","family":"Abel","given":"Patrick","non-dropping-particle":"","parse-names":false,"suffix":""},{"dropping-particle":"","family":"Cowart","given":"L. Ashley","non-dropping-particle":"","parse-names":false,"suffix":""},{"dropping-particle":"","family":"Eyk","given":"Jennifer E.","non-dropping-particle":"Van","parse-names":false,"suffix":""},{"dropping-particle":"","family":"Abel","given":"E. Dale","non-dropping-particle":"","parse-names":false,"suffix":""}],"container-title":"Journal of Lipid Research","id":"ITEM-3","issue":"3","issued":{"date-parts":[["2015"]]},"page":"546-561","publisher":"Â© 2015 ASBMB. Currently published by Elsevier Inc; originally published by American Society for Biochemistry and Molecular Biology.","title":"Lipid-induced NOX2 activation inhibits autophagic flux by impairing lysosomal enzyme activity","type":"article-journal","volume":"56"},"uris":["http://www.mendeley.com/documents/?uuid=fecde6ec-c605-470d-9aae-32b653d7f56d"]}],"mendeley":{"formattedCitation":"&lt;sup&gt;24–26&lt;/sup&gt;","plainTextFormattedCitation":"24–26","previouslyFormattedCitation":"&lt;sup&gt;24–26&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D27D77" w:rsidRPr="006E1B23">
        <w:rPr>
          <w:rFonts w:ascii="Times New Roman" w:hAnsi="Times New Roman" w:cs="Times New Roman"/>
          <w:noProof/>
          <w:sz w:val="24"/>
          <w:szCs w:val="24"/>
          <w:lang w:val="en-US"/>
        </w:rPr>
        <w:t>24–26</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Interestingly, several evidence suggest a strong interaction between </w:t>
      </w:r>
      <w:r w:rsidR="00394FC2" w:rsidRPr="00405F18">
        <w:rPr>
          <w:rFonts w:ascii="Times New Roman" w:hAnsi="Times New Roman" w:cs="Times New Roman"/>
          <w:sz w:val="24"/>
          <w:szCs w:val="24"/>
          <w:lang w:val="en-US"/>
        </w:rPr>
        <w:t xml:space="preserve">lysosomes and </w:t>
      </w:r>
      <w:r w:rsidRPr="00405F18">
        <w:rPr>
          <w:rFonts w:ascii="Times New Roman" w:hAnsi="Times New Roman" w:cs="Times New Roman"/>
          <w:sz w:val="24"/>
          <w:szCs w:val="24"/>
          <w:lang w:val="en-US"/>
        </w:rPr>
        <w:t>AMPK as its non-canonical activation is regulated by the</w:t>
      </w:r>
      <w:r w:rsidR="009F3458" w:rsidRPr="00405F18">
        <w:rPr>
          <w:rFonts w:ascii="Times New Roman" w:hAnsi="Times New Roman" w:cs="Times New Roman"/>
          <w:sz w:val="24"/>
          <w:szCs w:val="24"/>
          <w:lang w:val="en-US"/>
        </w:rPr>
        <w:t xml:space="preserve"> lysosomal</w:t>
      </w:r>
      <w:r w:rsidRPr="00405F18">
        <w:rPr>
          <w:rFonts w:ascii="Times New Roman" w:hAnsi="Times New Roman" w:cs="Times New Roman"/>
          <w:sz w:val="24"/>
          <w:szCs w:val="24"/>
          <w:lang w:val="en-US"/>
        </w:rPr>
        <w:t xml:space="preserve"> </w:t>
      </w:r>
      <w:r w:rsidR="000A7DD2">
        <w:rPr>
          <w:rFonts w:ascii="Times New Roman" w:hAnsi="Times New Roman" w:cs="Times New Roman"/>
          <w:sz w:val="24"/>
          <w:szCs w:val="24"/>
          <w:lang w:val="en-US"/>
        </w:rPr>
        <w:t>V</w:t>
      </w:r>
      <w:r w:rsidRPr="00405F18">
        <w:rPr>
          <w:rFonts w:ascii="Times New Roman" w:hAnsi="Times New Roman" w:cs="Times New Roman"/>
          <w:sz w:val="24"/>
          <w:szCs w:val="24"/>
          <w:lang w:val="en-US"/>
        </w:rPr>
        <w:t>-ATPase-</w:t>
      </w:r>
      <w:proofErr w:type="spellStart"/>
      <w:r w:rsidRPr="00405F18">
        <w:rPr>
          <w:rFonts w:ascii="Times New Roman" w:hAnsi="Times New Roman" w:cs="Times New Roman"/>
          <w:sz w:val="24"/>
          <w:szCs w:val="24"/>
          <w:lang w:val="en-US"/>
        </w:rPr>
        <w:t>Ragulator</w:t>
      </w:r>
      <w:proofErr w:type="spellEnd"/>
      <w:r w:rsidRPr="00405F18">
        <w:rPr>
          <w:rFonts w:ascii="Times New Roman" w:hAnsi="Times New Roman" w:cs="Times New Roman"/>
          <w:sz w:val="24"/>
          <w:szCs w:val="24"/>
          <w:lang w:val="en-US"/>
        </w:rPr>
        <w:t xml:space="preserve"> complex</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BC4F67" w:rsidRPr="006E1B23">
        <w:rPr>
          <w:rFonts w:ascii="Times New Roman" w:hAnsi="Times New Roman" w:cs="Times New Roman"/>
          <w:sz w:val="24"/>
          <w:szCs w:val="24"/>
          <w:lang w:val="en-US"/>
        </w:rPr>
        <w:instrText>ADDIN CSL_CITATION {"citationItems":[{"id":"ITEM-1","itemData":{"DOI":"10.1016/j.cmet.2014.06.014","ISSN":"19327420","PMID":"25002183","abstract":"AMPK and mTOR play principal roles in governing metabolic programs; however, mechanisms underlying the coordination of the two inversely regulated kinases remain unclear. In this study we found, most surprisingly, that the late endosomal/lysosomal protein complex v-ATPase-Ragulator, essential for activation of mTORC1, is also required for AMPK activation. We also uncovered that AMPK is a residential protein of late endosome/lysosome. Under glucose starvation, the v-ATPase-Ragulator complex is accessible to AXIN/LKB1 for AMPK activation. Concurrently, the guanine nucleotide exchange factor (GEF) activity of Ragulator toward RAG is inhibited by AXIN, causing dissociation from endosome and inactivation of mTORC1. We have thus revealed that the v-ATPase-Ragulator complex is also an initiating sensor for energy stress and meanwhile serves as an endosomal docking site for LKB1-mediated AMPK activation by forming the v-ATPase-Ragulator-AXIN/LKB1-AMPK complex, thereby providing a switch between catabolism and anabolism. Our current study also emphasizes a general role of late endosome/lysosome in controlling metabolic programs. © 2014 Elsevier Inc.","author":[{"dropping-particle":"","family":"Zhang","given":"Chen Song","non-dropping-particle":"","parse-names":false,"suffix":""},{"dropping-particle":"","family":"Jiang","given":"Bin","non-dropping-particle":"","parse-names":false,"suffix":""},{"dropping-particle":"","family":"Li","given":"Mengqi","non-dropping-particle":"","parse-names":false,"suffix":""},{"dropping-particle":"","family":"Zhu","given":"Mingjiang","non-dropping-particle":"","parse-names":false,"suffix":""},{"dropping-particle":"","family":"Peng","given":"Yongying","non-dropping-particle":"","parse-names":false,"suffix":""},{"dropping-particle":"","family":"Zhang","given":"Ya Lin","non-dropping-particle":"","parse-names":false,"suffix":""},{"dropping-particle":"","family":"Wu","given":"Yu Qing","non-dropping-particle":"","parse-names":false,"suffix":""},{"dropping-particle":"","family":"Li","given":"Terytty Yang","non-dropping-particle":"","parse-names":false,"suffix":""},{"dropping-particle":"","family":"Liang","given":"Yu","non-dropping-particle":"","parse-names":false,"suffix":""},{"dropping-particle":"","family":"Lu","given":"Zailian","non-dropping-particle":"","parse-names":false,"suffix":""},{"dropping-particle":"","family":"Lian","given":"Guili","non-dropping-particle":"","parse-names":false,"suffix":""},{"dropping-particle":"","family":"Liu","given":"Qing","non-dropping-particle":"","parse-names":false,"suffix":""},{"dropping-particle":"","family":"Guo","given":"Huiling","non-dropping-particle":"","parse-names":false,"suffix":""},{"dropping-particle":"","family":"Yin","given":"Zhenyu","non-dropping-particle":"","parse-names":false,"suffix":""},{"dropping-particle":"","family":"Ye","given":"Zhiyun","non-dropping-particle":"","parse-names":false,"suffix":""},{"dropping-particle":"","family":"Han","given":"Jiahuai","non-dropping-particle":"","parse-names":false,"suffix":""},{"dropping-particle":"","family":"Wu","given":"Jia Wei","non-dropping-particle":"","parse-names":false,"suffix":""},{"dropping-particle":"","family":"Yin","given":"Huiyong","non-dropping-particle":"","parse-names":false,"suffix":""},{"dropping-particle":"","family":"Lin","given":"Shu Yong","non-dropping-particle":"","parse-names":false,"suffix":""},{"dropping-particle":"","family":"Lin","given":"Sheng Cai","non-dropping-particle":"","parse-names":false,"suffix":""}],"container-title":"Cell Metabolism","id":"ITEM-1","issue":"3","issued":{"date-parts":[["2014"]]},"page":"526-540","publisher":"Elsevier Inc.","title":"The lysosomal v-ATPase-ragulator complex is a common activator for AMPK and mTORC1, acting as a switch between catabolism and anabolism","type":"article-journal","volume":"20"},"uris":["http://www.mendeley.com/documents/?uuid=e82b047a-45fe-4674-8b34-22ad80de9b79"]}],"mendeley":{"formattedCitation":"&lt;sup&gt;27&lt;/sup&gt;","plainTextFormattedCitation":"27","previouslyFormattedCitation":"&lt;sup&gt;27&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D27D77" w:rsidRPr="006E1B23">
        <w:rPr>
          <w:rFonts w:ascii="Times New Roman" w:hAnsi="Times New Roman" w:cs="Times New Roman"/>
          <w:noProof/>
          <w:sz w:val="24"/>
          <w:szCs w:val="24"/>
          <w:lang w:val="en-US"/>
        </w:rPr>
        <w:t>27</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Moreover, some of its downstream targets are involved in lysosomal biogenesis</w:t>
      </w:r>
      <w:r w:rsidR="006E1B23">
        <w:rPr>
          <w:rFonts w:ascii="Times New Roman" w:hAnsi="Times New Roman" w:cs="Times New Roman"/>
          <w:sz w:val="24"/>
          <w:szCs w:val="24"/>
          <w:lang w:val="en-US"/>
        </w:rPr>
        <w:t xml:space="preserve"> [</w:t>
      </w:r>
      <w:r w:rsidRPr="006E1B23">
        <w:rPr>
          <w:rFonts w:ascii="Times New Roman" w:hAnsi="Times New Roman" w:cs="Times New Roman"/>
          <w:sz w:val="24"/>
          <w:szCs w:val="24"/>
          <w:lang w:val="en-US"/>
        </w:rPr>
        <w:fldChar w:fldCharType="begin" w:fldLock="1"/>
      </w:r>
      <w:r w:rsidR="00BC4F67" w:rsidRPr="006E1B23">
        <w:rPr>
          <w:rFonts w:ascii="Times New Roman" w:hAnsi="Times New Roman" w:cs="Times New Roman"/>
          <w:sz w:val="24"/>
          <w:szCs w:val="24"/>
          <w:lang w:val="en-US"/>
        </w:rPr>
        <w:instrText>ADDIN CSL_CITATION {"citationItems":[{"id":"ITEM-1","itemData":{"DOI":"10.1080/15548627.2021.1898748","ISSN":"15548635","abstract":"Increased macroautophagy/autophagy and lysosomal activity promote tumor growth, survival and chemo-resistance. During acute starvation, autophagy is rapidly engaged by AMPK (AMP-activated protein kinase) activation and MTOR (mechanistic target of rapamycin kinase) complex 1 (MTORC1) inhibition to maintain energy homeostasis and cell survival. TFEB (transcription factor E3) and TFE3 (transcription factor binding to IGHM enhancer 3) are master transcriptional regulators of autophagy and lysosomal activity and their cytoplasm/nuclear shuttling is controlled by MTORC1-dependent multisite phosphorylation. However, it is not known whether and how the transcriptional activity of TFEB or TFE3 is regulated. We show that AMPK mediates phosphorylation of TFEB and TFE3 on three serine residues, leading to TFEB and TFE3 transcriptional activity upon nutrient starvation, FLCN (folliculin) depletion and pharmacological manipulation of MTORC1 or AMPK. Collectively, we show that MTORC1 specifically controls TFEB and TFE3 cytosolic retention, whereas AMPK is essential for TFEB and TFE3 transcriptional activity. This dual and opposing regulation of TFEB and TFE3 by MTORC1 and AMPK is reminiscent of the regulation of another critical regulator of autophagy, ULK1 (unc-51 like autophagy activating kinase 1). Surprisingly, we show that chemoresistance is mediated by AMPK-dependent activation of TFEB, which is abolished by pharmacological inhibition of AMPK or mutation of serine 466, 467 and 469 to alanine residues within TFEB. Altogether, we show that AMPK is a key regulator of TFEB and TFE3 transcriptional activity, and we validate AMPK as a promising target in cancer therapy to evade chemotherapeutic resistance. Abbreviations ACACA: acetyl-CoA carboxylase alpha; ACTB: actin beta; AICAR: 5-aminoimidazole-4-carboxamide ribonucleotide; AMPK: AMP-activated protein kinase; AMPKi: AMPK inhibitor, SBI-0206965; CA: constitutively active; CARM1: coactivator-associated arginine methyltransferase 1; CFP: cyan fluorescent protein; CLEAR: coordinated lysosomal expression and regulation; DKO: double knock-out; DMEM: Dulbecco’s modified Eagle’s medium; DMSO: dimethyl sulfoxide; DQ-BSA: self-quenched BODIPY® dye conjugates of bovine serum albumin; EBSS: Earle’s balanced salt solution; FLCN: folliculin; GFP: green fluorescent protein; GST: glutathione S-transferases; HD: Huntington disease; HTT: huntingtin; KO: knock-out; LAMP1: lysosomal associated membrane protein 1; MEF: mouse embryonic …","author":[{"dropping-particle":"","family":"Paquette","given":"Mathieu","non-dropping-particle":"","parse-names":false,"suffix":""},{"dropping-particle":"","family":"El-Houjeiri","given":"Leeanna","non-dropping-particle":"","parse-names":false,"suffix":""},{"dropping-particle":"","family":"C. Zirden","given":"Linda","non-dropping-particle":"","parse-names":false,"suffix":""},{"dropping-particle":"","family":"Puustinen","given":"Pietri","non-dropping-particle":"","parse-names":false,"suffix":""},{"dropping-particle":"","family":"Blanchette","given":"Paola","non-dropping-particle":"","parse-names":false,"suffix":""},{"dropping-particle":"","family":"Jeong","given":"Hyeonju","non-dropping-particle":"","parse-names":false,"suffix":""},{"dropping-particle":"","family":"Dejgaard","given":"Kurt","non-dropping-particle":"","parse-names":false,"suffix":""},{"dropping-particle":"","family":"Siegel","given":"Peter M.","non-dropping-particle":"","parse-names":false,"suffix":""},{"dropping-particle":"","family":"Pause","given":"Arnim","non-dropping-particle":"","parse-names":false,"suffix":""}],"container-title":"Autophagy","id":"ITEM-1","issue":"00","issued":{"date-parts":[["2021"]]},"page":"1-19","publisher":"Taylor &amp; Francis","title":"AMPK-dependent phosphorylation is required for transcriptional activation of TFEB and TFE3","type":"article-journal","volume":"00"},"uris":["http://www.mendeley.com/documents/?uuid=9ee55ea4-2c56-4135-8717-89fcd84eadee"]}],"mendeley":{"formattedCitation":"&lt;sup&gt;28&lt;/sup&gt;","plainTextFormattedCitation":"28","previouslyFormattedCitation":"&lt;sup&gt;28&lt;/sup&gt;"},"properties":{"noteIndex":0},"schema":"https://github.com/citation-style-language/schema/raw/master/csl-citation.json"}</w:instrText>
      </w:r>
      <w:r w:rsidRPr="006E1B23">
        <w:rPr>
          <w:rFonts w:ascii="Times New Roman" w:hAnsi="Times New Roman" w:cs="Times New Roman"/>
          <w:sz w:val="24"/>
          <w:szCs w:val="24"/>
          <w:lang w:val="en-US"/>
        </w:rPr>
        <w:fldChar w:fldCharType="separate"/>
      </w:r>
      <w:r w:rsidR="00D27D77" w:rsidRPr="006E1B23">
        <w:rPr>
          <w:rFonts w:ascii="Times New Roman" w:hAnsi="Times New Roman" w:cs="Times New Roman"/>
          <w:noProof/>
          <w:sz w:val="24"/>
          <w:szCs w:val="24"/>
          <w:lang w:val="en-US"/>
        </w:rPr>
        <w:t>28</w:t>
      </w:r>
      <w:r w:rsidRPr="006E1B23">
        <w:rPr>
          <w:rFonts w:ascii="Times New Roman" w:hAnsi="Times New Roman" w:cs="Times New Roman"/>
          <w:sz w:val="24"/>
          <w:szCs w:val="24"/>
          <w:lang w:val="en-US"/>
        </w:rPr>
        <w:fldChar w:fldCharType="end"/>
      </w:r>
      <w:r w:rsidR="006E1B23">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and maintenance of lysosomal ion homeostasis</w:t>
      </w:r>
      <w:r w:rsidR="000C6732">
        <w:rPr>
          <w:rFonts w:ascii="Times New Roman" w:hAnsi="Times New Roman" w:cs="Times New Roman"/>
          <w:sz w:val="24"/>
          <w:szCs w:val="24"/>
          <w:lang w:val="en-US"/>
        </w:rPr>
        <w:t xml:space="preserve"> [</w:t>
      </w:r>
      <w:r w:rsidRPr="000C6732">
        <w:rPr>
          <w:rFonts w:ascii="Times New Roman" w:hAnsi="Times New Roman" w:cs="Times New Roman"/>
          <w:sz w:val="24"/>
          <w:szCs w:val="24"/>
          <w:lang w:val="en-US"/>
        </w:rPr>
        <w:fldChar w:fldCharType="begin" w:fldLock="1"/>
      </w:r>
      <w:r w:rsidR="00BC4F67" w:rsidRPr="000C6732">
        <w:rPr>
          <w:rFonts w:ascii="Times New Roman" w:hAnsi="Times New Roman" w:cs="Times New Roman"/>
          <w:sz w:val="24"/>
          <w:szCs w:val="24"/>
          <w:lang w:val="en-US"/>
        </w:rPr>
        <w:instrText>ADDIN CSL_CITATION {"citationItems":[{"id":"ITEM-1","itemData":{"DOI":"10.1080/15548627.2019.1586256","ISSN":"15548635","PMID":"30917721","abstract":"Mitochondria are key organelles for cellular metabolism, and regulate several processes including cell death and macroautophagy/autophagy. Here, we show that mitochondrial respiratory chain (RC) deficiency deactivates AMP-activated protein kinase (AMPK, a key regulator of energy homeostasis) signaling in tissue and in cultured cells. The deactivation of AMPK in RC-deficiency is due to increased expression of the AMPK-inhibiting protein FLCN (folliculin). AMPK is found to be necessary for basal lysosomal function, and AMPK deactivation in RC-deficiency inhibits lysosomal function by decreasing the activity of the lysosomal Ca2+ channel MCOLN1 (mucolipin 1). MCOLN1 is regulated by phosphoinositide kinase PIKFYVE and its product PtdIns(3,5)P2, which is also decreased in RC-deficiency. Notably, reactivation of AMPK, in a PIKFYVE-dependent manner, or of MCOLN1 in RC-deficient cells, restores lysosomal hydrolytic capacity. Building on these data and the literature, we propose that downregulation of the AMPK-PIKFYVE-PtdIns(3,5)P2-MCOLN1 pathway causes lysosomal Ca2+ accumulation and impaired lysosomal catabolism. Besides unveiling a novel role of AMPK in lysosomal function, this study points to the mechanism that links mitochondrial malfunction to impaired lysosomal catabolism, underscoring the importance of AMPK and the complexity of organelle cross-talk in the regulation of cellular homeostasis. Abbreviation: ΔΨm: mitochondrial transmembrane potential; AMP: adenosine monophosphate; AMPK: AMP-activated protein kinase; ATG5: autophagy related 5; ATP: adenosine triphosphate; ATP6V0A1: ATPase, H+ transporting, lysosomal, V0 subbunit A1; ATP6V1A: ATPase, H+ transporting, lysosomal, V0 subbunit A; BSA: bovine serum albumin; CCCP: carbonyl cyanide-m-chlorophenylhydrazone; CREB1: cAMP response element binding protein 1; CTSD: cathepsin D; CTSF: cathepsin F; DMEM: Dulbecco’s modified Eagle’s medium; DMSO: dimethyl sulfoxide; EBSS: Earl’s balanced salt solution; ER: endoplasmic reticulum; FBS: fetal bovine serum; FCCP: carbonyl cyanide-p-trifluoromethoxyphenolhydrazone; GFP: green fluorescent protein; GPN: glycyl-L-phenylalanine 2-naphthylamide; LAMP1: lysosomal associated membrane protein 1; MAP1LC3B/LC3B: microtubule associated protein 1 light chain 3 beta; MCOLN1/TRPML1: mucolipin 1; MEF: mouse embryonic fibroblast; MITF: melanocyte inducing transcription factor; ML1N*2-GFP: probe used to detect PtdIns(3,5)P2 based on the transmembrane domain of MCOLN1; MTORC1: mec…","author":[{"dropping-particle":"","family":"Fernandez-Mosquera","given":"Lorena","non-dropping-particle":"","parse-names":false,"suffix":""},{"dropping-particle":"","family":"Yambire","given":"King Faisal","non-dropping-particle":"","parse-names":false,"suffix":""},{"dropping-particle":"","family":"Couto","given":"Renata","non-dropping-particle":"","parse-names":false,"suffix":""},{"dropping-particle":"","family":"Pereyra","given":"Leonardo","non-dropping-particle":"","parse-names":false,"suffix":""},{"dropping-particle":"","family":"Pabis","given":"Kamil","non-dropping-particle":"","parse-names":false,"suffix":""},{"dropping-particle":"","family":"Ponsford","given":"Amy H.","non-dropping-particle":"","parse-names":false,"suffix":""},{"dropping-particle":"V.","family":"Diogo","given":"Cátia","non-dropping-particle":"","parse-names":false,"suffix":""},{"dropping-particle":"","family":"Stagi","given":"Massimiliano","non-dropping-particle":"","parse-names":false,"suffix":""},{"dropping-particle":"","family":"Milosevic","given":"Ira","non-dropping-particle":"","parse-names":false,"suffix":""},{"dropping-particle":"","family":"Raimundo","given":"Nuno","non-dropping-particle":"","parse-names":false,"suffix":""}],"container-title":"Autophagy","id":"ITEM-1","issue":"9","issued":{"date-parts":[["2019"]]},"page":"1572-1591","publisher":"Taylor &amp; Francis","title":"Mitochondrial respiratory chain deficiency inhibits lysosomal hydrolysis","type":"article-journal","volume":"15"},"uris":["http://www.mendeley.com/documents/?uuid=bb712ebc-eb7b-4bdf-9cac-c1334d51afde"]}],"mendeley":{"formattedCitation":"&lt;sup&gt;29&lt;/sup&gt;","plainTextFormattedCitation":"29","previouslyFormattedCitation":"&lt;sup&gt;29&lt;/sup&gt;"},"properties":{"noteIndex":0},"schema":"https://github.com/citation-style-language/schema/raw/master/csl-citation.json"}</w:instrText>
      </w:r>
      <w:r w:rsidRPr="000C6732">
        <w:rPr>
          <w:rFonts w:ascii="Times New Roman" w:hAnsi="Times New Roman" w:cs="Times New Roman"/>
          <w:sz w:val="24"/>
          <w:szCs w:val="24"/>
          <w:lang w:val="en-US"/>
        </w:rPr>
        <w:fldChar w:fldCharType="separate"/>
      </w:r>
      <w:r w:rsidR="00D27D77" w:rsidRPr="000C6732">
        <w:rPr>
          <w:rFonts w:ascii="Times New Roman" w:hAnsi="Times New Roman" w:cs="Times New Roman"/>
          <w:noProof/>
          <w:sz w:val="24"/>
          <w:szCs w:val="24"/>
          <w:lang w:val="en-US"/>
        </w:rPr>
        <w:t>29</w:t>
      </w:r>
      <w:r w:rsidRPr="000C6732">
        <w:rPr>
          <w:rFonts w:ascii="Times New Roman" w:hAnsi="Times New Roman" w:cs="Times New Roman"/>
          <w:sz w:val="24"/>
          <w:szCs w:val="24"/>
          <w:lang w:val="en-US"/>
        </w:rPr>
        <w:fldChar w:fldCharType="end"/>
      </w:r>
      <w:r w:rsidR="000C6732">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Overall, </w:t>
      </w:r>
      <w:r w:rsidR="00CA19F5" w:rsidRPr="00405F18">
        <w:rPr>
          <w:rFonts w:ascii="Times New Roman" w:hAnsi="Times New Roman" w:cs="Times New Roman"/>
          <w:sz w:val="24"/>
          <w:szCs w:val="24"/>
          <w:lang w:val="en-US"/>
        </w:rPr>
        <w:t>the effect</w:t>
      </w:r>
      <w:r w:rsidR="00F526A3" w:rsidRPr="00405F18">
        <w:rPr>
          <w:rFonts w:ascii="Times New Roman" w:hAnsi="Times New Roman" w:cs="Times New Roman"/>
          <w:sz w:val="24"/>
          <w:szCs w:val="24"/>
          <w:lang w:val="en-US"/>
        </w:rPr>
        <w:t>s</w:t>
      </w:r>
      <w:r w:rsidR="00CA19F5" w:rsidRPr="00405F18">
        <w:rPr>
          <w:rFonts w:ascii="Times New Roman" w:hAnsi="Times New Roman" w:cs="Times New Roman"/>
          <w:sz w:val="24"/>
          <w:szCs w:val="24"/>
          <w:lang w:val="en-US"/>
        </w:rPr>
        <w:t xml:space="preserve"> of lipid overload on lysosomes </w:t>
      </w:r>
      <w:r w:rsidRPr="00405F18">
        <w:rPr>
          <w:rFonts w:ascii="Times New Roman" w:hAnsi="Times New Roman" w:cs="Times New Roman"/>
          <w:sz w:val="24"/>
          <w:szCs w:val="24"/>
          <w:lang w:val="en-US"/>
        </w:rPr>
        <w:t>in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need to be clarified, especially regarding the mechanisms of AMPK protection. </w:t>
      </w:r>
      <w:r w:rsidR="00EE0226" w:rsidRPr="00405F18">
        <w:rPr>
          <w:rFonts w:ascii="Times New Roman" w:hAnsi="Times New Roman" w:cs="Times New Roman"/>
          <w:sz w:val="24"/>
          <w:szCs w:val="24"/>
          <w:lang w:val="en-US"/>
        </w:rPr>
        <w:t>O</w:t>
      </w:r>
      <w:r w:rsidRPr="00405F18">
        <w:rPr>
          <w:rFonts w:ascii="Times New Roman" w:hAnsi="Times New Roman" w:cs="Times New Roman"/>
          <w:sz w:val="24"/>
          <w:szCs w:val="24"/>
          <w:lang w:val="en-US"/>
        </w:rPr>
        <w:t>nce damaged, lysosomes m</w:t>
      </w:r>
      <w:r w:rsidR="00B43D93" w:rsidRPr="00405F18">
        <w:rPr>
          <w:rFonts w:ascii="Times New Roman" w:hAnsi="Times New Roman" w:cs="Times New Roman"/>
          <w:sz w:val="24"/>
          <w:szCs w:val="24"/>
          <w:lang w:val="en-US"/>
        </w:rPr>
        <w:t>ight</w:t>
      </w:r>
      <w:r w:rsidRPr="00405F18">
        <w:rPr>
          <w:rFonts w:ascii="Times New Roman" w:hAnsi="Times New Roman" w:cs="Times New Roman"/>
          <w:sz w:val="24"/>
          <w:szCs w:val="24"/>
          <w:lang w:val="en-US"/>
        </w:rPr>
        <w:t xml:space="preserve"> be either repaired, removed or replaced by several pathways to ensure cell homeostasis</w:t>
      </w:r>
      <w:r w:rsidR="000C6732">
        <w:rPr>
          <w:rFonts w:ascii="Times New Roman" w:hAnsi="Times New Roman" w:cs="Times New Roman"/>
          <w:sz w:val="24"/>
          <w:szCs w:val="24"/>
          <w:lang w:val="en-US"/>
        </w:rPr>
        <w:t xml:space="preserve"> [</w:t>
      </w:r>
      <w:r w:rsidRPr="000C6732">
        <w:rPr>
          <w:rFonts w:ascii="Times New Roman" w:hAnsi="Times New Roman" w:cs="Times New Roman"/>
          <w:sz w:val="24"/>
          <w:szCs w:val="24"/>
          <w:lang w:val="en-US"/>
        </w:rPr>
        <w:fldChar w:fldCharType="begin" w:fldLock="1"/>
      </w:r>
      <w:r w:rsidR="00BC4F67" w:rsidRPr="000C6732">
        <w:rPr>
          <w:rFonts w:ascii="Times New Roman" w:hAnsi="Times New Roman" w:cs="Times New Roman"/>
          <w:sz w:val="24"/>
          <w:szCs w:val="24"/>
          <w:lang w:val="en-US"/>
        </w:rPr>
        <w:instrText>ADDIN CSL_CITATION {"citationItems":[{"id":"ITEM-1","itemData":{"DOI":"10.1016/j.jmb.2019.08.010","ISSN":"10898638","PMID":"31449799","abstract":"Lysosomal membrane permeabilization or full rupture of lysosomes is a common and severe stress condition that is relevant for degenerative disease, infection and cancer. If damage is limited, cells can repair lysosomes by means of the endosomal sorting complex required for transport (ESCRT) machinery. Presumably, if repair fails, lysosomes are tagged with ubiquitin to initiate clearance by selective macroautophagy, termed lysophagy. Accumulating evidence suggests damage-induced exposure of luminal glycans to the cytosol as the key trigger for ubiquitination. In this review, we discuss recent data on cellular damage sensing, the underlying ubiquitination and autophagy machinery as well as additional layers of regulation such as processing of ubiquitinated proteins by the AAA-ATPase VCP/p97. We conclude with thoughts on how these mechanisms may regulate decision making between lysosome repair and lysophagy.","author":[{"dropping-particle":"","family":"Papadopoulos","given":"Chrisovalantis","non-dropping-particle":"","parse-names":false,"suffix":""},{"dropping-particle":"","family":"Kravic","given":"Bojana","non-dropping-particle":"","parse-names":false,"suffix":""},{"dropping-particle":"","family":"Meyer","given":"Hemmo","non-dropping-particle":"","parse-names":false,"suffix":""}],"container-title":"Journal of Molecular Biology","id":"ITEM-1","issue":"1","issued":{"date-parts":[["2020"]]},"page":"231-239","publisher":"Elsevier Ltd","title":"Repair or Lysophagy: Dealing with Damaged Lysosomes","type":"article-journal","volume":"432"},"uris":["http://www.mendeley.com/documents/?uuid=d689da78-a3ab-417b-bdef-6844089edf21"]}],"mendeley":{"formattedCitation":"&lt;sup&gt;30&lt;/sup&gt;","plainTextFormattedCitation":"30","previouslyFormattedCitation":"&lt;sup&gt;30&lt;/sup&gt;"},"properties":{"noteIndex":0},"schema":"https://github.com/citation-style-language/schema/raw/master/csl-citation.json"}</w:instrText>
      </w:r>
      <w:r w:rsidRPr="000C6732">
        <w:rPr>
          <w:rFonts w:ascii="Times New Roman" w:hAnsi="Times New Roman" w:cs="Times New Roman"/>
          <w:sz w:val="24"/>
          <w:szCs w:val="24"/>
          <w:lang w:val="en-US"/>
        </w:rPr>
        <w:fldChar w:fldCharType="separate"/>
      </w:r>
      <w:r w:rsidR="00D27D77" w:rsidRPr="000C6732">
        <w:rPr>
          <w:rFonts w:ascii="Times New Roman" w:hAnsi="Times New Roman" w:cs="Times New Roman"/>
          <w:noProof/>
          <w:sz w:val="24"/>
          <w:szCs w:val="24"/>
          <w:lang w:val="en-US"/>
        </w:rPr>
        <w:t>30</w:t>
      </w:r>
      <w:r w:rsidRPr="000C6732">
        <w:rPr>
          <w:rFonts w:ascii="Times New Roman" w:hAnsi="Times New Roman" w:cs="Times New Roman"/>
          <w:sz w:val="24"/>
          <w:szCs w:val="24"/>
          <w:lang w:val="en-US"/>
        </w:rPr>
        <w:fldChar w:fldCharType="end"/>
      </w:r>
      <w:r w:rsidR="000C6732">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The </w:t>
      </w:r>
      <w:r w:rsidR="002D1192" w:rsidRPr="00405F18">
        <w:rPr>
          <w:rFonts w:ascii="Times New Roman" w:hAnsi="Times New Roman" w:cs="Times New Roman"/>
          <w:sz w:val="24"/>
          <w:szCs w:val="24"/>
          <w:lang w:val="en-US"/>
        </w:rPr>
        <w:t>activation</w:t>
      </w:r>
      <w:r w:rsidRPr="00405F18">
        <w:rPr>
          <w:rFonts w:ascii="Times New Roman" w:hAnsi="Times New Roman" w:cs="Times New Roman"/>
          <w:sz w:val="24"/>
          <w:szCs w:val="24"/>
          <w:lang w:val="en-US"/>
        </w:rPr>
        <w:t xml:space="preserve"> of these pathways remains to be determined in response to lysosomal stress induced by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Moreover, given the importance of lysosom</w:t>
      </w:r>
      <w:r w:rsidR="001C6D26" w:rsidRPr="00405F18">
        <w:rPr>
          <w:rFonts w:ascii="Times New Roman" w:hAnsi="Times New Roman" w:cs="Times New Roman"/>
          <w:sz w:val="24"/>
          <w:szCs w:val="24"/>
          <w:lang w:val="en-US"/>
        </w:rPr>
        <w:t>al homeostasis</w:t>
      </w:r>
      <w:r w:rsidRPr="00405F18">
        <w:rPr>
          <w:rFonts w:ascii="Times New Roman" w:hAnsi="Times New Roman" w:cs="Times New Roman"/>
          <w:sz w:val="24"/>
          <w:szCs w:val="24"/>
          <w:lang w:val="en-US"/>
        </w:rPr>
        <w:t xml:space="preserve"> for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the </w:t>
      </w:r>
      <w:r w:rsidR="001C6D26" w:rsidRPr="00405F18">
        <w:rPr>
          <w:rFonts w:ascii="Times New Roman" w:hAnsi="Times New Roman" w:cs="Times New Roman"/>
          <w:sz w:val="24"/>
          <w:szCs w:val="24"/>
          <w:lang w:val="en-US"/>
        </w:rPr>
        <w:t>effect of</w:t>
      </w:r>
      <w:r w:rsidRPr="00405F18">
        <w:rPr>
          <w:rFonts w:ascii="Times New Roman" w:hAnsi="Times New Roman" w:cs="Times New Roman"/>
          <w:sz w:val="24"/>
          <w:szCs w:val="24"/>
          <w:lang w:val="en-US"/>
        </w:rPr>
        <w:t xml:space="preserve">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xml:space="preserve"> on their function of protein endocytosis </w:t>
      </w:r>
      <w:r w:rsidR="001C6D26" w:rsidRPr="00405F18">
        <w:rPr>
          <w:rFonts w:ascii="Times New Roman" w:hAnsi="Times New Roman" w:cs="Times New Roman"/>
          <w:sz w:val="24"/>
          <w:szCs w:val="24"/>
          <w:lang w:val="en-US"/>
        </w:rPr>
        <w:t xml:space="preserve">is of </w:t>
      </w:r>
      <w:r w:rsidR="00046E06" w:rsidRPr="00405F18">
        <w:rPr>
          <w:rFonts w:ascii="Times New Roman" w:hAnsi="Times New Roman" w:cs="Times New Roman"/>
          <w:sz w:val="24"/>
          <w:szCs w:val="24"/>
          <w:lang w:val="en-US"/>
        </w:rPr>
        <w:t xml:space="preserve">great </w:t>
      </w:r>
      <w:r w:rsidR="001C6D26" w:rsidRPr="00405F18">
        <w:rPr>
          <w:rFonts w:ascii="Times New Roman" w:hAnsi="Times New Roman" w:cs="Times New Roman"/>
          <w:sz w:val="24"/>
          <w:szCs w:val="24"/>
          <w:lang w:val="en-US"/>
        </w:rPr>
        <w:t>interest</w:t>
      </w:r>
      <w:r w:rsidRPr="00405F18">
        <w:rPr>
          <w:rFonts w:ascii="Times New Roman" w:hAnsi="Times New Roman" w:cs="Times New Roman"/>
          <w:sz w:val="24"/>
          <w:szCs w:val="24"/>
          <w:lang w:val="en-US"/>
        </w:rPr>
        <w:t>.</w:t>
      </w:r>
    </w:p>
    <w:p w14:paraId="5FE57E00" w14:textId="3573DCD2" w:rsidR="002E1069" w:rsidRPr="00405F18" w:rsidRDefault="005A3CC3" w:rsidP="000C6732">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In this work, </w:t>
      </w:r>
      <w:r w:rsidR="00FD4DBE" w:rsidRPr="00405F18">
        <w:rPr>
          <w:rFonts w:ascii="Times New Roman" w:hAnsi="Times New Roman" w:cs="Times New Roman"/>
          <w:sz w:val="24"/>
          <w:szCs w:val="24"/>
          <w:lang w:val="en-US"/>
        </w:rPr>
        <w:t>u</w:t>
      </w:r>
      <w:r w:rsidRPr="00405F18">
        <w:rPr>
          <w:rFonts w:ascii="Times New Roman" w:hAnsi="Times New Roman" w:cs="Times New Roman"/>
          <w:sz w:val="24"/>
          <w:szCs w:val="24"/>
          <w:lang w:val="en-US"/>
        </w:rPr>
        <w:t>sing FA-exposed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we demonstrate that the inhibition of autophagic flux is a consequence of lysosomal dysfunction induced by FA overload. It leads to the activation of lysosomal quality control pathways and finally drives cell dedifferentiation. Interestingly, AMPK activation maintains lysosomal homeostasis and is partly protective against FA-induced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dysfunction.</w:t>
      </w:r>
      <w:r w:rsidR="002E1069" w:rsidRPr="00405F18">
        <w:rPr>
          <w:rFonts w:ascii="Times New Roman" w:hAnsi="Times New Roman" w:cs="Times New Roman"/>
          <w:b/>
          <w:bCs/>
          <w:sz w:val="24"/>
          <w:szCs w:val="24"/>
          <w:lang w:val="en-US"/>
        </w:rPr>
        <w:br w:type="page"/>
      </w:r>
    </w:p>
    <w:p w14:paraId="5A0A1D91" w14:textId="4A8B5FC2" w:rsidR="00605472" w:rsidRPr="00405F18" w:rsidRDefault="00605472"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b/>
          <w:bCs/>
          <w:sz w:val="24"/>
          <w:szCs w:val="24"/>
          <w:lang w:val="en-US"/>
        </w:rPr>
        <w:lastRenderedPageBreak/>
        <w:t>Results</w:t>
      </w:r>
    </w:p>
    <w:p w14:paraId="511D39C4" w14:textId="481B158D" w:rsidR="00605472" w:rsidRPr="000C6732" w:rsidRDefault="00605472" w:rsidP="00270044">
      <w:pPr>
        <w:spacing w:after="100" w:afterAutospacing="1" w:line="480" w:lineRule="auto"/>
        <w:jc w:val="both"/>
        <w:rPr>
          <w:rFonts w:ascii="Times New Roman" w:hAnsi="Times New Roman" w:cs="Times New Roman"/>
          <w:b/>
          <w:bCs/>
          <w:i/>
          <w:iCs/>
          <w:sz w:val="24"/>
          <w:szCs w:val="24"/>
          <w:lang w:val="en-US"/>
        </w:rPr>
      </w:pPr>
      <w:r w:rsidRPr="000C6732">
        <w:rPr>
          <w:rFonts w:ascii="Times New Roman" w:hAnsi="Times New Roman" w:cs="Times New Roman"/>
          <w:b/>
          <w:bCs/>
          <w:i/>
          <w:iCs/>
          <w:sz w:val="24"/>
          <w:szCs w:val="24"/>
          <w:lang w:val="en-US"/>
        </w:rPr>
        <w:t xml:space="preserve">Treatment with </w:t>
      </w:r>
      <w:r w:rsidR="00294C6C" w:rsidRPr="000C6732">
        <w:rPr>
          <w:rFonts w:ascii="Times New Roman" w:hAnsi="Times New Roman" w:cs="Times New Roman"/>
          <w:b/>
          <w:bCs/>
          <w:i/>
          <w:iCs/>
          <w:sz w:val="24"/>
          <w:szCs w:val="24"/>
          <w:lang w:val="en-US"/>
        </w:rPr>
        <w:t>palmitate</w:t>
      </w:r>
      <w:r w:rsidRPr="000C6732">
        <w:rPr>
          <w:rFonts w:ascii="Times New Roman" w:hAnsi="Times New Roman" w:cs="Times New Roman"/>
          <w:b/>
          <w:bCs/>
          <w:i/>
          <w:iCs/>
          <w:sz w:val="24"/>
          <w:szCs w:val="24"/>
          <w:lang w:val="en-US"/>
        </w:rPr>
        <w:t xml:space="preserve"> leads to autophagosome accumulation in mouse proximal tubular epithelial cells.</w:t>
      </w:r>
    </w:p>
    <w:p w14:paraId="693DE8DF" w14:textId="49B99077" w:rsidR="00605472" w:rsidRPr="00405F18" w:rsidRDefault="00605472"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Changes in autophagic activity secondary to lipid stress have been shown in various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models even</w:t>
      </w:r>
      <w:r w:rsidR="001A4456" w:rsidRPr="00405F18">
        <w:rPr>
          <w:rFonts w:ascii="Times New Roman" w:hAnsi="Times New Roman" w:cs="Times New Roman"/>
          <w:sz w:val="24"/>
          <w:szCs w:val="24"/>
          <w:lang w:val="en-US"/>
        </w:rPr>
        <w:t xml:space="preserve"> if</w:t>
      </w:r>
      <w:r w:rsidRPr="00405F18">
        <w:rPr>
          <w:rFonts w:ascii="Times New Roman" w:hAnsi="Times New Roman" w:cs="Times New Roman"/>
          <w:sz w:val="24"/>
          <w:szCs w:val="24"/>
          <w:lang w:val="en-US"/>
        </w:rPr>
        <w:t xml:space="preserve"> conflicting results and interpretations remain</w:t>
      </w:r>
      <w:r w:rsidR="000C6732">
        <w:rPr>
          <w:rFonts w:ascii="Times New Roman" w:hAnsi="Times New Roman" w:cs="Times New Roman"/>
          <w:sz w:val="24"/>
          <w:szCs w:val="24"/>
          <w:lang w:val="en-US"/>
        </w:rPr>
        <w:t xml:space="preserve"> [</w:t>
      </w:r>
      <w:r w:rsidRPr="000C6732">
        <w:rPr>
          <w:rFonts w:ascii="Times New Roman" w:hAnsi="Times New Roman" w:cs="Times New Roman"/>
          <w:sz w:val="24"/>
          <w:szCs w:val="24"/>
          <w:lang w:val="en-US"/>
        </w:rPr>
        <w:fldChar w:fldCharType="begin" w:fldLock="1"/>
      </w:r>
      <w:r w:rsidR="00362664" w:rsidRPr="000C6732">
        <w:rPr>
          <w:rFonts w:ascii="Times New Roman" w:hAnsi="Times New Roman" w:cs="Times New Roman"/>
          <w:sz w:val="24"/>
          <w:szCs w:val="24"/>
          <w:lang w:val="en-US"/>
        </w:rPr>
        <w:instrText>ADDIN CSL_CITATION {"citationItems":[{"id":"ITEM-1","itemData":{"DOI":"10.1681/ASN.2016070731","author":[{"dropping-particle":"","family":"Yamamoto","given":"Takeshi","non-dropping-particle":"","parse-names":false,"suffix":""},{"dropping-particle":"","family":"Takabatake","given":"Yoshitsugu","non-dropping-particle":"","parse-names":false,"suffix":""},{"dropping-particle":"","family":"Takahashi","given":"Atsushi","non-dropping-particle":"","parse-names":false,"suffix":""},{"dropping-particle":"","family":"Kimura","given":"Tomonori","non-dropping-particle":"","parse-names":false,"suffix":""}],"id":"ITEM-1","issued":{"date-parts":[["2016"]]},"page":"1-18","title":"High-Fat Diet-Induced Lysosomal Dysfunction and Impaired Autophagic Flux Contribute to Lipotoxicity in the Kidney","type":"article-journal"},"uris":["http://www.mendeley.com/documents/?uuid=4b43565d-4ca2-4963-a53a-b7cf6b1d140b"]},{"id":"ITEM-2","itemData":{"DOI":"10.1038/ki.2013.462","ISSN":"15231755","abstract":"AMP-Activated protein kinase (AMPK) is an important energy sensor that may be critical in regulating renal lipid accumulation. To evaluate the role of AMPK in mediating renal lipid accumulation, C57BL/6J mice were randomized to a standard diet, a high-fat diet, or a high-fat diet plus AICAR (an AMPK activator) for 14 weeks. Renal functional and structural studies along with electron microscopy were performed. Mice given the high-fat diet had proximal tubule injury with the presence of enlarged clear vacuoles, and multilaminar inclusions concurrent with an increase of tissue lipid and overloading of the lysosomal system. The margins of the clear vacuoles were positive for the endolysosomal marker, LAMP1, suggesting lysosome accumulation. Characterization of vesicles by special stains (Oil Red O, Nile Red, Luxol Fast Blue) and by electron microscopy showed they contained onion skin-like accumulations consistent with phospholipids. Moreover, cholesteryl esters and phosphatidylcholine-containing phospholipids were significantly increased in the kidneys of mice on a high-fat diet. AMPK activation with chronic AICAR treatment prevented the clinical and structural effects of high-fat diet. Thus, high-fat diet contributes to a dysfunction of the lysosomal system and altered lipid metabolism characterized by cholesterol and phospholipid accumulation in the kidney. AMPK activation normalizes the changes in renal lipid content despite chronic exposure to lipid challenge. © 2013 International Society of Nephrology.","author":[{"dropping-particle":"","family":"Declèves","given":"Anne Emilie","non-dropping-particle":"","parse-names":false,"suffix":""},{"dropping-particle":"","family":"Zolkipli","given":"Zarazuela","non-dropping-particle":"","parse-names":false,"suffix":""},{"dropping-particle":"","family":"Satriano","given":"Joseph","non-dropping-particle":"","parse-names":false,"suffix":""},{"dropping-particle":"","family":"Wang","given":"Lin","non-dropping-particle":"","parse-names":false,"suffix":""},{"dropping-particle":"","family":"Nakayama","given":"Tomohiro","non-dropping-particle":"","parse-names":false,"suffix":""},{"dropping-particle":"","family":"Rogac","given":"Mihael","non-dropping-particle":"","parse-names":false,"suffix":""},{"dropping-particle":"","family":"Le","given":"Thuy P.","non-dropping-particle":"","parse-names":false,"suffix":""},{"dropping-particle":"","family":"Nortier","given":"Joëlle L.","non-dropping-particle":"","parse-names":false,"suffix":""},{"dropping-particle":"","family":"Farquhar","given":"Marilyn G.","non-dropping-particle":"","parse-names":false,"suffix":""},{"dropping-particle":"","family":"Naviaux","given":"Robert K.","non-dropping-particle":"","parse-names":false,"suffix":""},{"dropping-particle":"","family":"Sharma","given":"Kumar","non-dropping-particle":"","parse-names":false,"suffix":""}],"container-title":"Kidney International","id":"ITEM-2","issue":"3","issued":{"date-parts":[["2014"]]},"page":"611-623","title":"Regulation of lipid accumulation by AMK-Activated kinase in high fat diet-induced kidney injury","type":"article-journal","volume":"85"},"uris":["http://www.mendeley.com/documents/?uuid=9cb854f8-4c3a-443a-ac96-2c8139bdbf52"]},{"id":"ITEM-3","itemData":{"DOI":"10.3390/ijms22010350","ISSN":"14220067","PMID":"33396267","abstract":"Exercise training is now recognized as an interesting therapeutic strategy in managing obesity and its related disorders. However, there is still a lack of knowledge about its impact on obesity-induced chronic kidney disease (CKD). Here, we investigated the effects of a delayed protocol of endurance exercise training (EET) as well as the underlying mechanism in obese mice presenting CKD. Mice fed a high-fat diet (HFD) or a low-fat diet (LFD) for 12 weeks were subsequently submitted to an 8-weeks EET protocol. Delayed treatment with EET in obese mice prevented body weight gain associated with a reduced calorie intake. EET intervention counteracted obesity-related disorders including glucose intolerance, insulin resistance, dyslipidaemia and hepatic steatosis. Moreover, our data demonstrated for the first time the beneficial effects of EET on obesity-induced CKD as evidenced by an improvement of obesity-related glomerulopathy, tubulo-interstitial fibrosis, inflammation and oxidative stress. EET also prevented renal lipid depositions in the proximal tubule. These results were associated with an improvement of the AMPK pathway by EET in renal tissue. AMPK-mediated phosphorylation of ACC and ULK-1 were particularly enhanced leading to increased fatty acid oxidation and autophagy improvement with EET in obese mice.","author":[{"dropping-particle":"","family":"Juszczak","given":"Florian","non-dropping-particle":"","parse-names":false,"suffix":""},{"dropping-particle":"","family":"Vlassembrouck","given":"Maud","non-dropping-particle":"","parse-names":false,"suffix":""},{"dropping-particle":"","family":"Botton","given":"Olivia","non-dropping-particle":"","parse-names":false,"suffix":""},{"dropping-particle":"","family":"Zwakhals","given":"Thomas","non-dropping-particle":"","parse-names":false,"suffix":""},{"dropping-particle":"","family":"Decarnoncle","given":"Morgane","non-dropping-particle":"","parse-names":false,"suffix":""},{"dropping-particle":"","family":"Tassin","given":"Alexandra","non-dropping-particle":"","parse-names":false,"suffix":""},{"dropping-particle":"","family":"Caron","given":"Nathalie","non-dropping-particle":"","parse-names":false,"suffix":""},{"dropping-particle":"","family":"Declèves","given":"Anne Emilie","non-dropping-particle":"","parse-names":false,"suffix":""}],"container-title":"International Journal of Molecular Sciences","id":"ITEM-3","issue":"1","issued":{"date-parts":[["2021"]]},"page":"1-20","title":"Delayed exercise training improves obesity-induced chronic kidney disease by activating ampk pathway in high-fat diet-fed mice","type":"article-journal","volume":"22"},"uris":["http://www.mendeley.com/documents/?uuid=8f994a6a-ce8b-4b0a-853d-264953a5bde4"]}],"mendeley":{"formattedCitation":"&lt;sup&gt;12–14&lt;/sup&gt;","plainTextFormattedCitation":"12–14","previouslyFormattedCitation":"&lt;sup&gt;12–14&lt;/sup&gt;"},"properties":{"noteIndex":0},"schema":"https://github.com/citation-style-language/schema/raw/master/csl-citation.json"}</w:instrText>
      </w:r>
      <w:r w:rsidRPr="000C6732">
        <w:rPr>
          <w:rFonts w:ascii="Times New Roman" w:hAnsi="Times New Roman" w:cs="Times New Roman"/>
          <w:sz w:val="24"/>
          <w:szCs w:val="24"/>
          <w:lang w:val="en-US"/>
        </w:rPr>
        <w:fldChar w:fldCharType="separate"/>
      </w:r>
      <w:r w:rsidR="004A2BDA" w:rsidRPr="000C6732">
        <w:rPr>
          <w:rFonts w:ascii="Times New Roman" w:hAnsi="Times New Roman" w:cs="Times New Roman"/>
          <w:noProof/>
          <w:sz w:val="24"/>
          <w:szCs w:val="24"/>
          <w:lang w:val="en-US"/>
        </w:rPr>
        <w:t>12–14</w:t>
      </w:r>
      <w:r w:rsidRPr="000C6732">
        <w:rPr>
          <w:rFonts w:ascii="Times New Roman" w:hAnsi="Times New Roman" w:cs="Times New Roman"/>
          <w:sz w:val="24"/>
          <w:szCs w:val="24"/>
          <w:lang w:val="en-US"/>
        </w:rPr>
        <w:fldChar w:fldCharType="end"/>
      </w:r>
      <w:r w:rsidR="000C6732">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To further investigate how this pathway is affected </w:t>
      </w:r>
      <w:r w:rsidR="00BD0E29" w:rsidRPr="00405F18">
        <w:rPr>
          <w:rFonts w:ascii="Times New Roman" w:hAnsi="Times New Roman" w:cs="Times New Roman"/>
          <w:sz w:val="24"/>
          <w:szCs w:val="24"/>
          <w:lang w:val="en-US"/>
        </w:rPr>
        <w:t>upon lipid challenge</w:t>
      </w:r>
      <w:r w:rsidRPr="00405F18">
        <w:rPr>
          <w:rFonts w:ascii="Times New Roman" w:hAnsi="Times New Roman" w:cs="Times New Roman"/>
          <w:sz w:val="24"/>
          <w:szCs w:val="24"/>
          <w:lang w:val="en-US"/>
        </w:rPr>
        <w:t xml:space="preserve">, </w:t>
      </w:r>
      <w:r w:rsidR="00BD0E29" w:rsidRPr="00405F18">
        <w:rPr>
          <w:rFonts w:ascii="Times New Roman" w:hAnsi="Times New Roman" w:cs="Times New Roman"/>
          <w:sz w:val="24"/>
          <w:szCs w:val="24"/>
          <w:lang w:val="en-US"/>
        </w:rPr>
        <w:t>primary</w:t>
      </w:r>
      <w:r w:rsidR="009326CD">
        <w:rPr>
          <w:rFonts w:ascii="Times New Roman" w:hAnsi="Times New Roman" w:cs="Times New Roman"/>
          <w:sz w:val="24"/>
          <w:szCs w:val="24"/>
          <w:lang w:val="en-US"/>
        </w:rPr>
        <w:t xml:space="preserve"> </w:t>
      </w:r>
      <w:r w:rsidR="009326CD" w:rsidRPr="009326CD">
        <w:rPr>
          <w:rFonts w:ascii="Times New Roman" w:hAnsi="Times New Roman" w:cs="Times New Roman"/>
          <w:i/>
          <w:iCs/>
          <w:sz w:val="24"/>
          <w:szCs w:val="24"/>
          <w:lang w:val="en-US"/>
        </w:rPr>
        <w:t>Mus musculus</w:t>
      </w:r>
      <w:r w:rsidR="009326CD">
        <w:rPr>
          <w:rFonts w:ascii="Times New Roman" w:hAnsi="Times New Roman" w:cs="Times New Roman"/>
          <w:sz w:val="24"/>
          <w:szCs w:val="24"/>
          <w:lang w:val="en-US"/>
        </w:rPr>
        <w:t xml:space="preserve"> (</w:t>
      </w:r>
      <w:r w:rsidR="00BD0E29" w:rsidRPr="00405F18">
        <w:rPr>
          <w:rFonts w:ascii="Times New Roman" w:hAnsi="Times New Roman" w:cs="Times New Roman"/>
          <w:sz w:val="24"/>
          <w:szCs w:val="24"/>
          <w:lang w:val="en-US"/>
        </w:rPr>
        <w:t>mouse</w:t>
      </w:r>
      <w:r w:rsidR="009326CD">
        <w:rPr>
          <w:rFonts w:ascii="Times New Roman" w:hAnsi="Times New Roman" w:cs="Times New Roman"/>
          <w:sz w:val="24"/>
          <w:szCs w:val="24"/>
          <w:lang w:val="en-US"/>
        </w:rPr>
        <w:t>)</w:t>
      </w:r>
      <w:r w:rsidR="00BD0E29" w:rsidRPr="00405F18">
        <w:rPr>
          <w:rFonts w:ascii="Times New Roman" w:hAnsi="Times New Roman" w:cs="Times New Roman"/>
          <w:sz w:val="24"/>
          <w:szCs w:val="24"/>
          <w:lang w:val="en-US"/>
        </w:rPr>
        <w:t xml:space="preserve"> PTEC</w:t>
      </w:r>
      <w:r w:rsidR="00581D04" w:rsidRPr="00405F18">
        <w:rPr>
          <w:rFonts w:ascii="Times New Roman" w:hAnsi="Times New Roman" w:cs="Times New Roman"/>
          <w:sz w:val="24"/>
          <w:szCs w:val="24"/>
          <w:lang w:val="en-US"/>
        </w:rPr>
        <w:t>s</w:t>
      </w:r>
      <w:r w:rsidR="00BD0E29" w:rsidRPr="00405F18">
        <w:rPr>
          <w:rFonts w:ascii="Times New Roman" w:hAnsi="Times New Roman" w:cs="Times New Roman"/>
          <w:sz w:val="24"/>
          <w:szCs w:val="24"/>
          <w:lang w:val="en-US"/>
        </w:rPr>
        <w:t xml:space="preserve"> (</w:t>
      </w:r>
      <w:proofErr w:type="spellStart"/>
      <w:r w:rsidR="0026635C">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581D04" w:rsidRPr="00405F18">
        <w:rPr>
          <w:rFonts w:ascii="Times New Roman" w:hAnsi="Times New Roman" w:cs="Times New Roman"/>
          <w:sz w:val="24"/>
          <w:szCs w:val="24"/>
          <w:lang w:val="en-US"/>
        </w:rPr>
        <w:t>s</w:t>
      </w:r>
      <w:proofErr w:type="spellEnd"/>
      <w:r w:rsidR="00BD0E29" w:rsidRPr="00405F18">
        <w:rPr>
          <w:rFonts w:ascii="Times New Roman" w:hAnsi="Times New Roman" w:cs="Times New Roman"/>
          <w:sz w:val="24"/>
          <w:szCs w:val="24"/>
          <w:lang w:val="en-US"/>
        </w:rPr>
        <w:t>)</w:t>
      </w:r>
      <w:r w:rsidR="00B651CE" w:rsidRPr="00405F18">
        <w:rPr>
          <w:rFonts w:ascii="Times New Roman" w:hAnsi="Times New Roman" w:cs="Times New Roman"/>
          <w:sz w:val="24"/>
          <w:szCs w:val="24"/>
          <w:lang w:val="en-US"/>
        </w:rPr>
        <w:t xml:space="preserve"> </w:t>
      </w:r>
      <w:r w:rsidR="002500AB" w:rsidRPr="00405F18">
        <w:rPr>
          <w:rFonts w:ascii="Times New Roman" w:hAnsi="Times New Roman" w:cs="Times New Roman"/>
          <w:sz w:val="24"/>
          <w:szCs w:val="24"/>
          <w:lang w:val="en-US"/>
        </w:rPr>
        <w:t>were exposed to palmit</w:t>
      </w:r>
      <w:r w:rsidR="00294C6C" w:rsidRPr="00405F18">
        <w:rPr>
          <w:rFonts w:ascii="Times New Roman" w:hAnsi="Times New Roman" w:cs="Times New Roman"/>
          <w:sz w:val="24"/>
          <w:szCs w:val="24"/>
          <w:lang w:val="en-US"/>
        </w:rPr>
        <w:t>ate</w:t>
      </w:r>
      <w:r w:rsidR="002500AB" w:rsidRPr="00405F18">
        <w:rPr>
          <w:rFonts w:ascii="Times New Roman" w:hAnsi="Times New Roman" w:cs="Times New Roman"/>
          <w:sz w:val="24"/>
          <w:szCs w:val="24"/>
          <w:lang w:val="en-US"/>
        </w:rPr>
        <w:t xml:space="preserve"> (PA)</w:t>
      </w:r>
      <w:r w:rsidR="00977097" w:rsidRPr="00405F18">
        <w:rPr>
          <w:rFonts w:ascii="Times New Roman" w:hAnsi="Times New Roman" w:cs="Times New Roman"/>
          <w:sz w:val="24"/>
          <w:szCs w:val="24"/>
          <w:lang w:val="en-US"/>
        </w:rPr>
        <w:t>,</w:t>
      </w:r>
      <w:r w:rsidR="002500AB" w:rsidRPr="00405F18">
        <w:rPr>
          <w:rFonts w:ascii="Times New Roman" w:hAnsi="Times New Roman" w:cs="Times New Roman"/>
          <w:sz w:val="24"/>
          <w:szCs w:val="24"/>
          <w:lang w:val="en-US"/>
        </w:rPr>
        <w:t xml:space="preserve"> widely used to mimic </w:t>
      </w:r>
      <w:proofErr w:type="spellStart"/>
      <w:r w:rsidR="002500AB" w:rsidRPr="00405F18">
        <w:rPr>
          <w:rFonts w:ascii="Times New Roman" w:hAnsi="Times New Roman" w:cs="Times New Roman"/>
          <w:sz w:val="24"/>
          <w:szCs w:val="24"/>
          <w:lang w:val="en-US"/>
        </w:rPr>
        <w:t>lipotoxicity</w:t>
      </w:r>
      <w:proofErr w:type="spellEnd"/>
      <w:r w:rsidR="002500AB" w:rsidRPr="00405F18">
        <w:rPr>
          <w:rFonts w:ascii="Times New Roman" w:hAnsi="Times New Roman" w:cs="Times New Roman"/>
          <w:sz w:val="24"/>
          <w:szCs w:val="24"/>
          <w:lang w:val="en-US"/>
        </w:rPr>
        <w:t xml:space="preserve"> </w:t>
      </w:r>
      <w:r w:rsidR="002500AB" w:rsidRPr="00405F18">
        <w:rPr>
          <w:rFonts w:ascii="Times New Roman" w:hAnsi="Times New Roman" w:cs="Times New Roman"/>
          <w:i/>
          <w:iCs/>
          <w:sz w:val="24"/>
          <w:szCs w:val="24"/>
          <w:lang w:val="en-US"/>
        </w:rPr>
        <w:t>in vitro</w:t>
      </w:r>
      <w:r w:rsidR="00B651CE" w:rsidRPr="00405F18">
        <w:rPr>
          <w:rFonts w:ascii="Times New Roman" w:hAnsi="Times New Roman" w:cs="Times New Roman"/>
          <w:sz w:val="24"/>
          <w:szCs w:val="24"/>
          <w:lang w:val="en-US"/>
        </w:rPr>
        <w:t>. Unlike other models of cultured PTEC</w:t>
      </w:r>
      <w:r w:rsidR="00581D04" w:rsidRPr="00405F18">
        <w:rPr>
          <w:rFonts w:ascii="Times New Roman" w:hAnsi="Times New Roman" w:cs="Times New Roman"/>
          <w:sz w:val="24"/>
          <w:szCs w:val="24"/>
          <w:lang w:val="en-US"/>
        </w:rPr>
        <w:t>s</w:t>
      </w:r>
      <w:r w:rsidR="00B651CE" w:rsidRPr="00405F18">
        <w:rPr>
          <w:rFonts w:ascii="Times New Roman" w:hAnsi="Times New Roman" w:cs="Times New Roman"/>
          <w:sz w:val="24"/>
          <w:szCs w:val="24"/>
          <w:lang w:val="en-US"/>
        </w:rPr>
        <w:t>, these cells display high differentiation state</w:t>
      </w:r>
      <w:r w:rsidR="00804F39">
        <w:rPr>
          <w:rFonts w:ascii="Times New Roman" w:hAnsi="Times New Roman" w:cs="Times New Roman"/>
          <w:sz w:val="24"/>
          <w:szCs w:val="24"/>
          <w:lang w:val="en-US"/>
        </w:rPr>
        <w:t xml:space="preserve"> [</w:t>
      </w:r>
      <w:r w:rsidR="002500AB" w:rsidRPr="00804F39">
        <w:rPr>
          <w:rFonts w:ascii="Times New Roman" w:hAnsi="Times New Roman" w:cs="Times New Roman"/>
          <w:sz w:val="24"/>
          <w:szCs w:val="24"/>
          <w:lang w:val="en-US"/>
        </w:rPr>
        <w:fldChar w:fldCharType="begin" w:fldLock="1"/>
      </w:r>
      <w:r w:rsidR="00BC4F67" w:rsidRPr="00804F39">
        <w:rPr>
          <w:rFonts w:ascii="Times New Roman" w:hAnsi="Times New Roman" w:cs="Times New Roman"/>
          <w:sz w:val="24"/>
          <w:szCs w:val="24"/>
          <w:lang w:val="en-US"/>
        </w:rPr>
        <w:instrText>ADDIN CSL_CITATION {"citationItems":[{"id":"ITEM-1","itemData":{"DOI":"10.1681/ASN.2021020253","ISBN":"2021020207","ISSN":"15333450","PMID":"33846239","author":[{"dropping-particle":"","family":"Berquez","given":"Marine","non-dropping-particle":"","parse-names":false,"suffix":""},{"dropping-particle":"","family":"Krohn","given":"Patrick","non-dropping-particle":"","parse-names":false,"suffix":""},{"dropping-particle":"","family":"Luciani","given":"Alessandro","non-dropping-particle":"","parse-names":false,"suffix":""},{"dropping-particle":"","family":"Devuyst","given":"Olivier","non-dropping-particle":"","parse-names":false,"suffix":""}],"container-title":"Journal of the American Society of Nephrology","id":"ITEM-1","issue":"5","issued":{"date-parts":[["2021"]]},"page":"1265-1267","title":"Receptor-mediated endocytosis and differentiation in proximal tubule cell systems","type":"article-journal","volume":"32"},"uris":["http://www.mendeley.com/documents/?uuid=e50642e1-ae21-4911-a647-56c4b5fa4d68"]}],"mendeley":{"formattedCitation":"&lt;sup&gt;22&lt;/sup&gt;","plainTextFormattedCitation":"22","previouslyFormattedCitation":"&lt;sup&gt;22&lt;/sup&gt;"},"properties":{"noteIndex":0},"schema":"https://github.com/citation-style-language/schema/raw/master/csl-citation.json"}</w:instrText>
      </w:r>
      <w:r w:rsidR="002500AB" w:rsidRPr="00804F39">
        <w:rPr>
          <w:rFonts w:ascii="Times New Roman" w:hAnsi="Times New Roman" w:cs="Times New Roman"/>
          <w:sz w:val="24"/>
          <w:szCs w:val="24"/>
          <w:lang w:val="en-US"/>
        </w:rPr>
        <w:fldChar w:fldCharType="separate"/>
      </w:r>
      <w:r w:rsidR="00D27D77" w:rsidRPr="00804F39">
        <w:rPr>
          <w:rFonts w:ascii="Times New Roman" w:hAnsi="Times New Roman" w:cs="Times New Roman"/>
          <w:noProof/>
          <w:sz w:val="24"/>
          <w:szCs w:val="24"/>
          <w:lang w:val="en-US"/>
        </w:rPr>
        <w:t>22</w:t>
      </w:r>
      <w:r w:rsidR="002500AB"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00B651CE" w:rsidRPr="00405F18">
        <w:rPr>
          <w:rFonts w:ascii="Times New Roman" w:hAnsi="Times New Roman" w:cs="Times New Roman"/>
          <w:sz w:val="24"/>
          <w:szCs w:val="24"/>
          <w:lang w:val="en-US"/>
        </w:rPr>
        <w:t>.</w:t>
      </w:r>
      <w:r w:rsidR="002500AB" w:rsidRPr="00405F18">
        <w:rPr>
          <w:rFonts w:ascii="Times New Roman" w:hAnsi="Times New Roman" w:cs="Times New Roman"/>
          <w:sz w:val="24"/>
          <w:szCs w:val="24"/>
          <w:lang w:val="en-US"/>
        </w:rPr>
        <w:t xml:space="preserve"> The </w:t>
      </w:r>
      <w:r w:rsidRPr="00405F18">
        <w:rPr>
          <w:rFonts w:ascii="Times New Roman" w:hAnsi="Times New Roman" w:cs="Times New Roman"/>
          <w:sz w:val="24"/>
          <w:szCs w:val="24"/>
          <w:lang w:val="en-US"/>
        </w:rPr>
        <w:t>concentration of 300 µM PA was selected in this work as it induce</w:t>
      </w:r>
      <w:r w:rsidR="00AF3129"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xml:space="preserve"> LD accumulation but d</w:t>
      </w:r>
      <w:r w:rsidR="00AF3129" w:rsidRPr="00405F18">
        <w:rPr>
          <w:rFonts w:ascii="Times New Roman" w:hAnsi="Times New Roman" w:cs="Times New Roman"/>
          <w:sz w:val="24"/>
          <w:szCs w:val="24"/>
          <w:lang w:val="en-US"/>
        </w:rPr>
        <w:t>id</w:t>
      </w:r>
      <w:r w:rsidRPr="00405F18">
        <w:rPr>
          <w:rFonts w:ascii="Times New Roman" w:hAnsi="Times New Roman" w:cs="Times New Roman"/>
          <w:sz w:val="24"/>
          <w:szCs w:val="24"/>
          <w:lang w:val="en-US"/>
        </w:rPr>
        <w:t xml:space="preserve"> not significantly impair cell viability (Figure S1). PA-treated cells displa</w:t>
      </w:r>
      <w:r w:rsidR="00AF3129" w:rsidRPr="00405F18">
        <w:rPr>
          <w:rFonts w:ascii="Times New Roman" w:hAnsi="Times New Roman" w:cs="Times New Roman"/>
          <w:sz w:val="24"/>
          <w:szCs w:val="24"/>
          <w:lang w:val="en-US"/>
        </w:rPr>
        <w:t>yed</w:t>
      </w:r>
      <w:r w:rsidRPr="00405F18">
        <w:rPr>
          <w:rFonts w:ascii="Times New Roman" w:hAnsi="Times New Roman" w:cs="Times New Roman"/>
          <w:sz w:val="24"/>
          <w:szCs w:val="24"/>
          <w:lang w:val="en-US"/>
        </w:rPr>
        <w:t xml:space="preserve"> elevated LD number (Figure 1</w:t>
      </w:r>
      <w:proofErr w:type="gramStart"/>
      <w:r w:rsidRPr="00405F18">
        <w:rPr>
          <w:rFonts w:ascii="Times New Roman" w:hAnsi="Times New Roman" w:cs="Times New Roman"/>
          <w:sz w:val="24"/>
          <w:szCs w:val="24"/>
          <w:lang w:val="en-US"/>
        </w:rPr>
        <w:t>A,B</w:t>
      </w:r>
      <w:proofErr w:type="gramEnd"/>
      <w:r w:rsidRPr="00405F18">
        <w:rPr>
          <w:rFonts w:ascii="Times New Roman" w:hAnsi="Times New Roman" w:cs="Times New Roman"/>
          <w:sz w:val="24"/>
          <w:szCs w:val="24"/>
          <w:lang w:val="en-US"/>
        </w:rPr>
        <w:t xml:space="preserve">) and LD size (Figure 1A,C) after 24 h when compared with cells treated with 0.4% </w:t>
      </w:r>
      <w:r w:rsidR="00507086" w:rsidRPr="00405F18">
        <w:rPr>
          <w:rFonts w:ascii="Times New Roman" w:hAnsi="Times New Roman" w:cs="Times New Roman"/>
          <w:sz w:val="24"/>
          <w:szCs w:val="24"/>
          <w:lang w:val="en-US"/>
        </w:rPr>
        <w:t>bovine serum albumin (</w:t>
      </w:r>
      <w:r w:rsidRPr="00405F18">
        <w:rPr>
          <w:rFonts w:ascii="Times New Roman" w:hAnsi="Times New Roman" w:cs="Times New Roman"/>
          <w:sz w:val="24"/>
          <w:szCs w:val="24"/>
          <w:lang w:val="en-US"/>
        </w:rPr>
        <w:t>BSA</w:t>
      </w:r>
      <w:r w:rsidR="00507086"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used as vehicle control. </w:t>
      </w:r>
    </w:p>
    <w:p w14:paraId="574E3A7E" w14:textId="500768CF" w:rsidR="00B01BE4" w:rsidRPr="00405F18" w:rsidRDefault="00605472" w:rsidP="00804F39">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After 6 and 24 h of PA treatment, the </w:t>
      </w:r>
      <w:r w:rsidR="000A7DD2">
        <w:rPr>
          <w:rFonts w:ascii="Times New Roman" w:hAnsi="Times New Roman" w:cs="Times New Roman"/>
          <w:sz w:val="24"/>
          <w:szCs w:val="24"/>
          <w:lang w:val="en-US"/>
        </w:rPr>
        <w:t>MAP1LC3/LC3 (</w:t>
      </w:r>
      <w:r w:rsidRPr="00405F18">
        <w:rPr>
          <w:rFonts w:ascii="Times New Roman" w:hAnsi="Times New Roman" w:cs="Times New Roman"/>
          <w:sz w:val="24"/>
          <w:szCs w:val="24"/>
          <w:lang w:val="en-US"/>
        </w:rPr>
        <w:t xml:space="preserve">microtubule associated protein 1 light chain 3)-II:LC3-I ratio and </w:t>
      </w:r>
      <w:r w:rsidR="000A7DD2" w:rsidRPr="00405F18">
        <w:rPr>
          <w:rFonts w:ascii="Times New Roman" w:hAnsi="Times New Roman" w:cs="Times New Roman"/>
          <w:sz w:val="24"/>
          <w:szCs w:val="24"/>
          <w:lang w:val="en-US"/>
        </w:rPr>
        <w:t>SQSTM1/p62</w:t>
      </w:r>
      <w:r w:rsidR="000A7DD2">
        <w:rPr>
          <w:rFonts w:ascii="Times New Roman" w:hAnsi="Times New Roman" w:cs="Times New Roman"/>
          <w:sz w:val="24"/>
          <w:szCs w:val="24"/>
          <w:lang w:val="en-US"/>
        </w:rPr>
        <w:t xml:space="preserve"> (</w:t>
      </w:r>
      <w:proofErr w:type="spellStart"/>
      <w:r w:rsidRPr="00405F18">
        <w:rPr>
          <w:rFonts w:ascii="Times New Roman" w:hAnsi="Times New Roman" w:cs="Times New Roman"/>
          <w:sz w:val="24"/>
          <w:szCs w:val="24"/>
          <w:lang w:val="en-US"/>
        </w:rPr>
        <w:t>sequestosome</w:t>
      </w:r>
      <w:proofErr w:type="spellEnd"/>
      <w:r w:rsidRPr="00405F18">
        <w:rPr>
          <w:rFonts w:ascii="Times New Roman" w:hAnsi="Times New Roman" w:cs="Times New Roman"/>
          <w:sz w:val="24"/>
          <w:szCs w:val="24"/>
          <w:lang w:val="en-US"/>
        </w:rPr>
        <w:t xml:space="preserve"> 1) </w:t>
      </w:r>
      <w:r w:rsidR="00B57478" w:rsidRPr="00405F18">
        <w:rPr>
          <w:rFonts w:ascii="Times New Roman" w:hAnsi="Times New Roman" w:cs="Times New Roman"/>
          <w:sz w:val="24"/>
          <w:szCs w:val="24"/>
          <w:lang w:val="en-US"/>
        </w:rPr>
        <w:t xml:space="preserve">abundance </w:t>
      </w:r>
      <w:r w:rsidRPr="00405F18">
        <w:rPr>
          <w:rFonts w:ascii="Times New Roman" w:hAnsi="Times New Roman" w:cs="Times New Roman"/>
          <w:sz w:val="24"/>
          <w:szCs w:val="24"/>
          <w:lang w:val="en-US"/>
        </w:rPr>
        <w:t>were significantly elevated (Figure 1D</w:t>
      </w:r>
      <w:r w:rsidR="00770151" w:rsidRPr="00405F18">
        <w:rPr>
          <w:rFonts w:ascii="Times New Roman" w:hAnsi="Times New Roman" w:cs="Times New Roman"/>
          <w:sz w:val="24"/>
          <w:szCs w:val="24"/>
          <w:lang w:val="en-US"/>
        </w:rPr>
        <w:t>-F</w:t>
      </w:r>
      <w:r w:rsidRPr="00405F18">
        <w:rPr>
          <w:rFonts w:ascii="Times New Roman" w:hAnsi="Times New Roman" w:cs="Times New Roman"/>
          <w:sz w:val="24"/>
          <w:szCs w:val="24"/>
          <w:lang w:val="en-US"/>
        </w:rPr>
        <w:t>)</w:t>
      </w:r>
      <w:r w:rsidR="004F5E2F"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Pr="00405F18">
        <w:rPr>
          <w:rFonts w:ascii="Times New Roman" w:hAnsi="Times New Roman" w:cs="Times New Roman"/>
          <w:i/>
          <w:iCs/>
          <w:sz w:val="24"/>
          <w:szCs w:val="24"/>
          <w:lang w:val="en-US"/>
        </w:rPr>
        <w:t>S</w:t>
      </w:r>
      <w:r w:rsidR="000A7DD2">
        <w:rPr>
          <w:rFonts w:ascii="Times New Roman" w:hAnsi="Times New Roman" w:cs="Times New Roman"/>
          <w:i/>
          <w:iCs/>
          <w:sz w:val="24"/>
          <w:szCs w:val="24"/>
          <w:lang w:val="en-US"/>
        </w:rPr>
        <w:t>qstm</w:t>
      </w:r>
      <w:r w:rsidRPr="00405F18">
        <w:rPr>
          <w:rFonts w:ascii="Times New Roman" w:hAnsi="Times New Roman" w:cs="Times New Roman"/>
          <w:i/>
          <w:iCs/>
          <w:sz w:val="24"/>
          <w:szCs w:val="24"/>
          <w:lang w:val="en-US"/>
        </w:rPr>
        <w:t>1</w:t>
      </w:r>
      <w:r w:rsidRPr="00405F18">
        <w:rPr>
          <w:rFonts w:ascii="Times New Roman" w:hAnsi="Times New Roman" w:cs="Times New Roman"/>
          <w:sz w:val="24"/>
          <w:szCs w:val="24"/>
          <w:lang w:val="en-US"/>
        </w:rPr>
        <w:t xml:space="preserve"> relative mRNA abundance </w:t>
      </w:r>
      <w:r w:rsidR="00B57478"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s also significantly increased in PA-treated cells (Figure S2A)</w:t>
      </w:r>
      <w:r w:rsidR="001B2E8A" w:rsidRPr="00405F18">
        <w:rPr>
          <w:rFonts w:ascii="Times New Roman" w:hAnsi="Times New Roman" w:cs="Times New Roman"/>
          <w:sz w:val="24"/>
          <w:szCs w:val="24"/>
          <w:lang w:val="en-US"/>
        </w:rPr>
        <w:t xml:space="preserve"> which</w:t>
      </w:r>
      <w:r w:rsidRPr="00405F18">
        <w:rPr>
          <w:rFonts w:ascii="Times New Roman" w:hAnsi="Times New Roman" w:cs="Times New Roman"/>
          <w:sz w:val="24"/>
          <w:szCs w:val="24"/>
          <w:lang w:val="en-US"/>
        </w:rPr>
        <w:t xml:space="preserve"> </w:t>
      </w:r>
      <w:r w:rsidR="00EC71B4" w:rsidRPr="00405F18">
        <w:rPr>
          <w:rFonts w:ascii="Times New Roman" w:hAnsi="Times New Roman" w:cs="Times New Roman"/>
          <w:sz w:val="24"/>
          <w:szCs w:val="24"/>
          <w:lang w:val="en-US"/>
        </w:rPr>
        <w:t>make</w:t>
      </w:r>
      <w:r w:rsidRPr="00405F18">
        <w:rPr>
          <w:rFonts w:ascii="Times New Roman" w:hAnsi="Times New Roman" w:cs="Times New Roman"/>
          <w:sz w:val="24"/>
          <w:szCs w:val="24"/>
          <w:lang w:val="en-US"/>
        </w:rPr>
        <w:t xml:space="preserve"> the interpretation </w:t>
      </w:r>
      <w:r w:rsidR="00C11C57" w:rsidRPr="00405F18">
        <w:rPr>
          <w:rFonts w:ascii="Times New Roman" w:hAnsi="Times New Roman" w:cs="Times New Roman"/>
          <w:sz w:val="24"/>
          <w:szCs w:val="24"/>
          <w:lang w:val="en-US"/>
        </w:rPr>
        <w:t xml:space="preserve">of SQSTM1 </w:t>
      </w:r>
      <w:r w:rsidRPr="00405F18">
        <w:rPr>
          <w:rFonts w:ascii="Times New Roman" w:hAnsi="Times New Roman" w:cs="Times New Roman"/>
          <w:sz w:val="24"/>
          <w:szCs w:val="24"/>
          <w:lang w:val="en-US"/>
        </w:rPr>
        <w:t>changes</w:t>
      </w:r>
      <w:r w:rsidR="00975582" w:rsidRPr="00405F18">
        <w:rPr>
          <w:rFonts w:ascii="Times New Roman" w:hAnsi="Times New Roman" w:cs="Times New Roman"/>
          <w:sz w:val="24"/>
          <w:szCs w:val="24"/>
          <w:lang w:val="en-US"/>
        </w:rPr>
        <w:t xml:space="preserve"> difficult</w:t>
      </w:r>
      <w:r w:rsidRPr="00405F18">
        <w:rPr>
          <w:rFonts w:ascii="Times New Roman" w:hAnsi="Times New Roman" w:cs="Times New Roman"/>
          <w:sz w:val="24"/>
          <w:szCs w:val="24"/>
          <w:lang w:val="en-US"/>
        </w:rPr>
        <w:t xml:space="preserve"> in the context of autophagy. </w:t>
      </w:r>
      <w:bookmarkStart w:id="4" w:name="_Hlk155256992"/>
      <w:r w:rsidRPr="00405F18">
        <w:rPr>
          <w:rFonts w:ascii="Times New Roman" w:hAnsi="Times New Roman" w:cs="Times New Roman"/>
          <w:sz w:val="24"/>
          <w:szCs w:val="24"/>
          <w:lang w:val="en-US"/>
        </w:rPr>
        <w:t xml:space="preserve">The LC3-II:-I ratio </w:t>
      </w:r>
      <w:bookmarkEnd w:id="4"/>
      <w:r w:rsidR="00BA22D8"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 xml:space="preserve">s not further increased upon the addition of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CC5768">
        <w:rPr>
          <w:rFonts w:ascii="Times New Roman" w:hAnsi="Times New Roman" w:cs="Times New Roman"/>
          <w:sz w:val="24"/>
          <w:szCs w:val="24"/>
          <w:vertAlign w:val="subscript"/>
          <w:lang w:val="en-US"/>
        </w:rPr>
        <w:t>1</w:t>
      </w:r>
      <w:r w:rsidRPr="00405F18">
        <w:rPr>
          <w:rFonts w:ascii="Times New Roman" w:hAnsi="Times New Roman" w:cs="Times New Roman"/>
          <w:sz w:val="24"/>
          <w:szCs w:val="24"/>
          <w:lang w:val="en-US"/>
        </w:rPr>
        <w:t xml:space="preserve">, a </w:t>
      </w:r>
      <w:proofErr w:type="spellStart"/>
      <w:r w:rsidRPr="00405F18">
        <w:rPr>
          <w:rFonts w:ascii="Times New Roman" w:hAnsi="Times New Roman" w:cs="Times New Roman"/>
          <w:sz w:val="24"/>
          <w:szCs w:val="24"/>
          <w:lang w:val="en-US"/>
        </w:rPr>
        <w:t>lysomotropic</w:t>
      </w:r>
      <w:proofErr w:type="spellEnd"/>
      <w:r w:rsidRPr="00405F18">
        <w:rPr>
          <w:rFonts w:ascii="Times New Roman" w:hAnsi="Times New Roman" w:cs="Times New Roman"/>
          <w:sz w:val="24"/>
          <w:szCs w:val="24"/>
          <w:lang w:val="en-US"/>
        </w:rPr>
        <w:t xml:space="preserve"> compound inhibiting lysosomal acidification</w:t>
      </w:r>
      <w:r w:rsidR="00804F39">
        <w:rPr>
          <w:rFonts w:ascii="Times New Roman" w:hAnsi="Times New Roman" w:cs="Times New Roman"/>
          <w:sz w:val="24"/>
          <w:szCs w:val="24"/>
          <w:lang w:val="en-US"/>
        </w:rPr>
        <w:t xml:space="preserve"> [</w:t>
      </w:r>
      <w:r w:rsidRPr="00804F39">
        <w:rPr>
          <w:rFonts w:ascii="Times New Roman" w:hAnsi="Times New Roman" w:cs="Times New Roman"/>
          <w:sz w:val="24"/>
          <w:szCs w:val="24"/>
          <w:lang w:val="en-US"/>
        </w:rPr>
        <w:fldChar w:fldCharType="begin" w:fldLock="1"/>
      </w:r>
      <w:r w:rsidR="00CE398F" w:rsidRPr="00804F39">
        <w:rPr>
          <w:rFonts w:ascii="Times New Roman" w:hAnsi="Times New Roman" w:cs="Times New Roman"/>
          <w:sz w:val="24"/>
          <w:szCs w:val="24"/>
          <w:lang w:val="en-US"/>
        </w:rPr>
        <w:instrText>ADDIN CSL_CITATION {"citationItems":[{"id":"ITEM-1","itemData":{"author":[{"dropping-particle":"","family":"Sundler","given":"Roger","non-dropping-particle":"","parse-names":false,"suffix":""}],"id":"ITEM-1","issue":"April 1995","issued":{"date-parts":[["2017"]]},"page":"137-144","title":"Bafilomycin A , Inhibits Lysosomal , Phagosomal , and Plasma Membrane H + -ATPase and Induces Lysosomal Enzyme Secretion in Macrophages","type":"article-journal","volume":"144"},"uris":["http://www.mendeley.com/documents/?uuid=0cf09c46-fce2-458e-8e00-4ac6578d3673"]}],"mendeley":{"formattedCitation":"&lt;sup&gt;31&lt;/sup&gt;","plainTextFormattedCitation":"31","previouslyFormattedCitation":"&lt;sup&gt;31&lt;/sup&gt;"},"properties":{"noteIndex":0},"schema":"https://github.com/citation-style-language/schema/raw/master/csl-citation.json"}</w:instrText>
      </w:r>
      <w:r w:rsidRPr="00804F39">
        <w:rPr>
          <w:rFonts w:ascii="Times New Roman" w:hAnsi="Times New Roman" w:cs="Times New Roman"/>
          <w:sz w:val="24"/>
          <w:szCs w:val="24"/>
          <w:lang w:val="en-US"/>
        </w:rPr>
        <w:fldChar w:fldCharType="separate"/>
      </w:r>
      <w:r w:rsidR="00D27D77" w:rsidRPr="00804F39">
        <w:rPr>
          <w:rFonts w:ascii="Times New Roman" w:hAnsi="Times New Roman" w:cs="Times New Roman"/>
          <w:noProof/>
          <w:sz w:val="24"/>
          <w:szCs w:val="24"/>
          <w:lang w:val="en-US"/>
        </w:rPr>
        <w:t>31</w:t>
      </w:r>
      <w:r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Pr="00405F18" w:rsidDel="002F2189">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(Figure 1</w:t>
      </w:r>
      <w:r w:rsidR="00770151"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F)</w:t>
      </w:r>
      <w:r w:rsidR="00211011" w:rsidRPr="00405F18">
        <w:rPr>
          <w:rFonts w:ascii="Times New Roman" w:hAnsi="Times New Roman" w:cs="Times New Roman"/>
          <w:sz w:val="24"/>
          <w:szCs w:val="24"/>
          <w:lang w:val="en-US"/>
        </w:rPr>
        <w:t>. This</w:t>
      </w:r>
      <w:r w:rsidRPr="00405F18">
        <w:rPr>
          <w:rFonts w:ascii="Times New Roman" w:hAnsi="Times New Roman" w:cs="Times New Roman"/>
          <w:sz w:val="24"/>
          <w:szCs w:val="24"/>
          <w:lang w:val="en-US"/>
        </w:rPr>
        <w:t xml:space="preserve"> suggest</w:t>
      </w:r>
      <w:r w:rsidR="00211011" w:rsidRPr="00405F18">
        <w:rPr>
          <w:rFonts w:ascii="Times New Roman" w:hAnsi="Times New Roman" w:cs="Times New Roman"/>
          <w:sz w:val="24"/>
          <w:szCs w:val="24"/>
          <w:lang w:val="en-US"/>
        </w:rPr>
        <w:t xml:space="preserve">s </w:t>
      </w:r>
      <w:r w:rsidRPr="00405F18">
        <w:rPr>
          <w:rFonts w:ascii="Times New Roman" w:hAnsi="Times New Roman" w:cs="Times New Roman"/>
          <w:sz w:val="24"/>
          <w:szCs w:val="24"/>
          <w:lang w:val="en-US"/>
        </w:rPr>
        <w:t>an impairment of autophagosome turnover in PTEC</w:t>
      </w:r>
      <w:r w:rsidR="00581D0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exposed to PA. To confirm this hypothesis, we monitored the autophagic flux with a construct encoding a cDNA of </w:t>
      </w:r>
      <w:r w:rsidRPr="00405F18">
        <w:rPr>
          <w:rFonts w:ascii="Times New Roman" w:hAnsi="Times New Roman" w:cs="Times New Roman"/>
          <w:i/>
          <w:iCs/>
          <w:sz w:val="24"/>
          <w:szCs w:val="24"/>
          <w:lang w:val="en-US"/>
        </w:rPr>
        <w:t>LC3B</w:t>
      </w:r>
      <w:r w:rsidRPr="00405F18">
        <w:rPr>
          <w:rFonts w:ascii="Times New Roman" w:hAnsi="Times New Roman" w:cs="Times New Roman"/>
          <w:sz w:val="24"/>
          <w:szCs w:val="24"/>
          <w:lang w:val="en-US"/>
        </w:rPr>
        <w:t xml:space="preserve"> fused with pH-sensitive green fluorescent protein (GFP) and pH-insensitive red fluorescent protein (RFP)</w:t>
      </w:r>
      <w:r w:rsidR="00804F39">
        <w:rPr>
          <w:rFonts w:ascii="Times New Roman" w:hAnsi="Times New Roman" w:cs="Times New Roman"/>
          <w:sz w:val="24"/>
          <w:szCs w:val="24"/>
          <w:lang w:val="en-US"/>
        </w:rPr>
        <w:t xml:space="preserve"> [</w:t>
      </w:r>
      <w:r w:rsidRPr="00804F39">
        <w:rPr>
          <w:rFonts w:ascii="Times New Roman" w:hAnsi="Times New Roman" w:cs="Times New Roman"/>
          <w:sz w:val="24"/>
          <w:szCs w:val="24"/>
          <w:lang w:val="en-US"/>
        </w:rPr>
        <w:fldChar w:fldCharType="begin" w:fldLock="1"/>
      </w:r>
      <w:r w:rsidR="00BC4F67" w:rsidRPr="00804F39">
        <w:rPr>
          <w:rFonts w:ascii="Times New Roman" w:hAnsi="Times New Roman" w:cs="Times New Roman"/>
          <w:sz w:val="24"/>
          <w:szCs w:val="24"/>
          <w:lang w:val="en-US"/>
        </w:rPr>
        <w:instrText>ADDIN CSL_CITATION {"citationItems":[{"id":"ITEM-1","itemData":{"DOI":"10.1038/srep24997","ISSN":"20452322","PMID":"27112194","abstract":"Endosomal sorting required for transport (ESCRT) complexes orchestrate endo-lysosomal sorting of ubiquitinated proteins, multivesicular body formation and autophagic degradation. Defects in the ESCRT pathway have been implicated in many neurodegenerative diseases, but the underlying molecular mechanisms that link them to neurodegeneration remain unknown. In this study, we showed that forebrain-specific ablation of ESCRT-0/Hrs induced marked hippocampal neuronal cell loss accompanied by the accumulation of ubiquitinated proteins, including α-synuclein, TDP-43 and huntingtin as well as the autophagic substrate SQSTM1/p62. Consistent with this, silencing of Hrs in cultured cells not only led to α-synuclein and TDP-43 accumulation in addition to impaired autophagic flux but also suppressed cell viability through the induction of ER stress followed by the activation of JNK and RIPK1, a key regulator of necroptosis. Moreover, necrostatin-1, a specific inhibitor of RIPK1, and pan-caspase inhibitors partially reduced the neurotoxicity in the Hrs-silenced cells. Altogether, these findings suggest that the disruption of ESCRT-0/Hrs in the nervous system compromises autophagic/lysosomal degradation of neurodegenerative disease-related proteins, which thereby triggers ER stress-mediated apoptotic and necroptotic cell death.","author":[{"dropping-particle":"","family":"Oshima","given":"Ryuji","non-dropping-particle":"","parse-names":false,"suffix":""},{"dropping-particle":"","family":"Hasegawa","given":"Takafumi","non-dropping-particle":"","parse-names":false,"suffix":""},{"dropping-particle":"","family":"Tamai","given":"Keiichi","non-dropping-particle":"","parse-names":false,"suffix":""},{"dropping-particle":"","family":"Sugeno","given":"Naoto","non-dropping-particle":"","parse-names":false,"suffix":""},{"dropping-particle":"","family":"Yoshida","given":"Shun","non-dropping-particle":"","parse-names":false,"suffix":""},{"dropping-particle":"","family":"Kobayashi","given":"Junpei","non-dropping-particle":"","parse-names":false,"suffix":""},{"dropping-particle":"","family":"Kikuchi","given":"Akio","non-dropping-particle":"","parse-names":false,"suffix":""},{"dropping-particle":"","family":"Baba","given":"Toru","non-dropping-particle":"","parse-names":false,"suffix":""},{"dropping-particle":"","family":"Futatsugi","given":"Akira","non-dropping-particle":"","parse-names":false,"suffix":""},{"dropping-particle":"","family":"Sato","given":"Ikuro","non-dropping-particle":"","parse-names":false,"suffix":""},{"dropping-particle":"","family":"Satoh","given":"Kennichi","non-dropping-particle":"","parse-names":false,"suffix":""},{"dropping-particle":"","family":"Takeda","given":"Atsushi","non-dropping-particle":"","parse-names":false,"suffix":""},{"dropping-particle":"","family":"Aoki","given":"Masashi","non-dropping-particle":"","parse-names":false,"suffix":""},{"dropping-particle":"","family":"Tanaka","given":"Nobuyuki","non-dropping-particle":"","parse-names":false,"suffix":""}],"container-title":"Scientific Reports","id":"ITEM-1","issue":"February","issued":{"date-parts":[["2016"]]},"page":"1-15","publisher":"Nature Publishing Group","title":"ESCRT-0 dysfunction compromises autophagic degradation of protein aggregates and facilitates ER stress-mediated neurodegeneration via apoptotic and necroptotic pathways","type":"article-journal","volume":"6"},"uris":["http://www.mendeley.com/documents/?uuid=0aff6ebc-ccbb-42b5-b5c0-29fec6056823"]}],"mendeley":{"formattedCitation":"&lt;sup&gt;32&lt;/sup&gt;","plainTextFormattedCitation":"32","previouslyFormattedCitation":"&lt;sup&gt;32&lt;/sup&gt;"},"properties":{"noteIndex":0},"schema":"https://github.com/citation-style-language/schema/raw/master/csl-citation.json"}</w:instrText>
      </w:r>
      <w:r w:rsidRPr="00804F39">
        <w:rPr>
          <w:rFonts w:ascii="Times New Roman" w:hAnsi="Times New Roman" w:cs="Times New Roman"/>
          <w:sz w:val="24"/>
          <w:szCs w:val="24"/>
          <w:lang w:val="en-US"/>
        </w:rPr>
        <w:fldChar w:fldCharType="separate"/>
      </w:r>
      <w:r w:rsidR="00D27D77" w:rsidRPr="00804F39">
        <w:rPr>
          <w:rFonts w:ascii="Times New Roman" w:hAnsi="Times New Roman" w:cs="Times New Roman"/>
          <w:noProof/>
          <w:sz w:val="24"/>
          <w:szCs w:val="24"/>
          <w:lang w:val="en-US"/>
        </w:rPr>
        <w:t>32</w:t>
      </w:r>
      <w:r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In these cells, 6 and 24 h of PA </w:t>
      </w:r>
      <w:r w:rsidR="004D0933" w:rsidRPr="00405F18">
        <w:rPr>
          <w:rFonts w:ascii="Times New Roman" w:hAnsi="Times New Roman" w:cs="Times New Roman"/>
          <w:sz w:val="24"/>
          <w:szCs w:val="24"/>
          <w:lang w:val="en-US"/>
        </w:rPr>
        <w:t>treatment</w:t>
      </w:r>
      <w:r w:rsidR="006A66A4"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significantly increase</w:t>
      </w:r>
      <w:r w:rsidR="004D0933"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xml:space="preserve"> the number of autophagosomes at neutral pH (GFP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RFP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puncta)</w:t>
      </w:r>
      <w:r w:rsidR="00770151" w:rsidRPr="00405F18">
        <w:rPr>
          <w:rFonts w:ascii="Times New Roman" w:hAnsi="Times New Roman" w:cs="Times New Roman"/>
          <w:sz w:val="24"/>
          <w:szCs w:val="24"/>
          <w:lang w:val="en-US"/>
        </w:rPr>
        <w:t xml:space="preserve"> (Figure </w:t>
      </w:r>
      <w:r w:rsidR="008D4698" w:rsidRPr="00405F18">
        <w:rPr>
          <w:rFonts w:ascii="Times New Roman" w:hAnsi="Times New Roman" w:cs="Times New Roman"/>
          <w:sz w:val="24"/>
          <w:szCs w:val="24"/>
          <w:lang w:val="en-US"/>
        </w:rPr>
        <w:t>1</w:t>
      </w:r>
      <w:proofErr w:type="gramStart"/>
      <w:r w:rsidR="008D4698" w:rsidRPr="00405F18">
        <w:rPr>
          <w:rFonts w:ascii="Times New Roman" w:hAnsi="Times New Roman" w:cs="Times New Roman"/>
          <w:sz w:val="24"/>
          <w:szCs w:val="24"/>
          <w:lang w:val="en-US"/>
        </w:rPr>
        <w:t>G,H</w:t>
      </w:r>
      <w:proofErr w:type="gramEnd"/>
      <w:r w:rsidR="008D4698"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6A66A4" w:rsidRPr="00405F18">
        <w:rPr>
          <w:rFonts w:ascii="Times New Roman" w:hAnsi="Times New Roman" w:cs="Times New Roman"/>
          <w:sz w:val="24"/>
          <w:szCs w:val="24"/>
          <w:lang w:val="en-US"/>
        </w:rPr>
        <w:t>Still</w:t>
      </w:r>
      <w:r w:rsidRPr="00405F18">
        <w:rPr>
          <w:rFonts w:ascii="Times New Roman" w:hAnsi="Times New Roman" w:cs="Times New Roman"/>
          <w:sz w:val="24"/>
          <w:szCs w:val="24"/>
          <w:lang w:val="en-US"/>
        </w:rPr>
        <w:t xml:space="preserve">, the addition of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FF7085">
        <w:rPr>
          <w:rFonts w:ascii="Times New Roman" w:hAnsi="Times New Roman" w:cs="Times New Roman"/>
          <w:sz w:val="24"/>
          <w:szCs w:val="24"/>
          <w:vertAlign w:val="subscript"/>
          <w:lang w:val="en-US"/>
        </w:rPr>
        <w:t>1</w:t>
      </w:r>
      <w:r w:rsidRPr="00405F18">
        <w:rPr>
          <w:rFonts w:ascii="Times New Roman" w:hAnsi="Times New Roman" w:cs="Times New Roman"/>
          <w:sz w:val="24"/>
          <w:szCs w:val="24"/>
          <w:lang w:val="en-US"/>
        </w:rPr>
        <w:t xml:space="preserve"> ha</w:t>
      </w:r>
      <w:r w:rsidR="008F36ED"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xml:space="preserve"> no effect on PA-treated cells. </w:t>
      </w:r>
      <w:r w:rsidR="000F5F4F" w:rsidRPr="00405F18">
        <w:rPr>
          <w:rFonts w:ascii="Times New Roman" w:hAnsi="Times New Roman" w:cs="Times New Roman"/>
          <w:sz w:val="24"/>
          <w:szCs w:val="24"/>
          <w:lang w:val="en-US"/>
        </w:rPr>
        <w:t>In contrast</w:t>
      </w:r>
      <w:r w:rsidRPr="00405F18">
        <w:rPr>
          <w:rFonts w:ascii="Times New Roman" w:hAnsi="Times New Roman" w:cs="Times New Roman"/>
          <w:sz w:val="24"/>
          <w:szCs w:val="24"/>
          <w:lang w:val="en-US"/>
        </w:rPr>
        <w:t xml:space="preserve">, the number of acidic </w:t>
      </w:r>
      <w:r w:rsidRPr="00405F18">
        <w:rPr>
          <w:rFonts w:ascii="Times New Roman" w:hAnsi="Times New Roman" w:cs="Times New Roman"/>
          <w:sz w:val="24"/>
          <w:szCs w:val="24"/>
          <w:lang w:val="en-US"/>
        </w:rPr>
        <w:lastRenderedPageBreak/>
        <w:t>autolysosomes (GFP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RFP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puncta) </w:t>
      </w:r>
      <w:r w:rsidR="000F4494"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s unchanged between PA- and BSA-treated cells (Figure 1</w:t>
      </w:r>
      <w:proofErr w:type="gramStart"/>
      <w:r w:rsidRPr="00405F18">
        <w:rPr>
          <w:rFonts w:ascii="Times New Roman" w:hAnsi="Times New Roman" w:cs="Times New Roman"/>
          <w:sz w:val="24"/>
          <w:szCs w:val="24"/>
          <w:lang w:val="en-US"/>
        </w:rPr>
        <w:t>G,I</w:t>
      </w:r>
      <w:proofErr w:type="gramEnd"/>
      <w:r w:rsidRPr="00405F18">
        <w:rPr>
          <w:rFonts w:ascii="Times New Roman" w:hAnsi="Times New Roman" w:cs="Times New Roman"/>
          <w:sz w:val="24"/>
          <w:szCs w:val="24"/>
          <w:lang w:val="en-US"/>
        </w:rPr>
        <w:t xml:space="preserve">). Altogether, </w:t>
      </w:r>
      <w:r w:rsidR="000F5F4F" w:rsidRPr="00405F18">
        <w:rPr>
          <w:rFonts w:ascii="Times New Roman" w:hAnsi="Times New Roman" w:cs="Times New Roman"/>
          <w:sz w:val="24"/>
          <w:szCs w:val="24"/>
          <w:lang w:val="en-US"/>
        </w:rPr>
        <w:t xml:space="preserve">these </w:t>
      </w:r>
      <w:r w:rsidRPr="00405F18">
        <w:rPr>
          <w:rFonts w:ascii="Times New Roman" w:hAnsi="Times New Roman" w:cs="Times New Roman"/>
          <w:sz w:val="24"/>
          <w:szCs w:val="24"/>
          <w:lang w:val="en-US"/>
        </w:rPr>
        <w:t xml:space="preserve">data highlight that autophagosome degradation is quickly impaired in </w:t>
      </w:r>
      <w:proofErr w:type="spellStart"/>
      <w:r w:rsidR="00CC5768">
        <w:rPr>
          <w:rFonts w:ascii="Times New Roman" w:hAnsi="Times New Roman" w:cs="Times New Roman"/>
          <w:sz w:val="24"/>
          <w:szCs w:val="24"/>
          <w:lang w:val="en-US"/>
        </w:rPr>
        <w:t>M</w:t>
      </w:r>
      <w:r w:rsidRP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PTEC</w:t>
      </w:r>
      <w:r w:rsidR="00581D04"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upon lipid challenge which is in accordance with the </w:t>
      </w:r>
      <w:r w:rsidR="00804F39">
        <w:rPr>
          <w:rFonts w:ascii="Times New Roman" w:hAnsi="Times New Roman" w:cs="Times New Roman"/>
          <w:sz w:val="24"/>
          <w:szCs w:val="24"/>
          <w:lang w:val="en-US"/>
        </w:rPr>
        <w:t>literature [</w:t>
      </w:r>
      <w:r w:rsidRPr="00804F39">
        <w:rPr>
          <w:rFonts w:ascii="Times New Roman" w:hAnsi="Times New Roman" w:cs="Times New Roman"/>
          <w:sz w:val="24"/>
          <w:szCs w:val="24"/>
          <w:lang w:val="en-US"/>
        </w:rPr>
        <w:fldChar w:fldCharType="begin" w:fldLock="1"/>
      </w:r>
      <w:r w:rsidR="00362664" w:rsidRPr="00804F39">
        <w:rPr>
          <w:rFonts w:ascii="Times New Roman" w:hAnsi="Times New Roman" w:cs="Times New Roman"/>
          <w:sz w:val="24"/>
          <w:szCs w:val="24"/>
          <w:lang w:val="en-US"/>
        </w:rPr>
        <w:instrText>ADDIN CSL_CITATION {"citationItems":[{"id":"ITEM-1","itemData":{"DOI":"10.1681/ASN.2016070731","author":[{"dropping-particle":"","family":"Yamamoto","given":"Takeshi","non-dropping-particle":"","parse-names":false,"suffix":""},{"dropping-particle":"","family":"Takabatake","given":"Yoshitsugu","non-dropping-particle":"","parse-names":false,"suffix":""},{"dropping-particle":"","family":"Takahashi","given":"Atsushi","non-dropping-particle":"","parse-names":false,"suffix":""},{"dropping-particle":"","family":"Kimura","given":"Tomonori","non-dropping-particle":"","parse-names":false,"suffix":""}],"id":"ITEM-1","issued":{"date-parts":[["2016"]]},"page":"1-18","title":"High-Fat Diet-Induced Lysosomal Dysfunction and Impaired Autophagic Flux Contribute to Lipotoxicity in the Kidney","type":"article-journal"},"uris":["http://www.mendeley.com/documents/?uuid=4b43565d-4ca2-4963-a53a-b7cf6b1d140b"]}],"mendeley":{"formattedCitation":"&lt;sup&gt;12&lt;/sup&gt;","plainTextFormattedCitation":"12","previouslyFormattedCitation":"&lt;sup&gt;12&lt;/sup&gt;"},"properties":{"noteIndex":0},"schema":"https://github.com/citation-style-language/schema/raw/master/csl-citation.json"}</w:instrText>
      </w:r>
      <w:r w:rsidRPr="00804F39">
        <w:rPr>
          <w:rFonts w:ascii="Times New Roman" w:hAnsi="Times New Roman" w:cs="Times New Roman"/>
          <w:sz w:val="24"/>
          <w:szCs w:val="24"/>
          <w:lang w:val="en-US"/>
        </w:rPr>
        <w:fldChar w:fldCharType="separate"/>
      </w:r>
      <w:r w:rsidR="004A2BDA" w:rsidRPr="00804F39">
        <w:rPr>
          <w:rFonts w:ascii="Times New Roman" w:hAnsi="Times New Roman" w:cs="Times New Roman"/>
          <w:noProof/>
          <w:sz w:val="24"/>
          <w:szCs w:val="24"/>
          <w:lang w:val="en-US"/>
        </w:rPr>
        <w:t>12</w:t>
      </w:r>
      <w:r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Pr="00405F18">
        <w:rPr>
          <w:rFonts w:ascii="Times New Roman" w:hAnsi="Times New Roman" w:cs="Times New Roman"/>
          <w:sz w:val="24"/>
          <w:szCs w:val="24"/>
          <w:lang w:val="en-US"/>
        </w:rPr>
        <w:t>. However, no change</w:t>
      </w:r>
      <w:r w:rsidR="004E2F64" w:rsidRPr="00405F18">
        <w:rPr>
          <w:rFonts w:ascii="Times New Roman" w:hAnsi="Times New Roman" w:cs="Times New Roman"/>
          <w:sz w:val="24"/>
          <w:szCs w:val="24"/>
          <w:lang w:val="en-US"/>
        </w:rPr>
        <w:t xml:space="preserve"> in the </w:t>
      </w:r>
      <w:r w:rsidRPr="00405F18">
        <w:rPr>
          <w:rFonts w:ascii="Times New Roman" w:hAnsi="Times New Roman" w:cs="Times New Roman"/>
          <w:sz w:val="24"/>
          <w:szCs w:val="24"/>
          <w:lang w:val="en-US"/>
        </w:rPr>
        <w:t>initiation was observed</w:t>
      </w:r>
      <w:r w:rsidR="004E2F64" w:rsidRPr="00405F18">
        <w:rPr>
          <w:rFonts w:ascii="Times New Roman" w:hAnsi="Times New Roman" w:cs="Times New Roman"/>
          <w:sz w:val="24"/>
          <w:szCs w:val="24"/>
          <w:lang w:val="en-US"/>
        </w:rPr>
        <w:t xml:space="preserve"> upon PA treatment</w:t>
      </w:r>
      <w:r w:rsidRPr="00405F18">
        <w:rPr>
          <w:rFonts w:ascii="Times New Roman" w:hAnsi="Times New Roman" w:cs="Times New Roman"/>
          <w:sz w:val="24"/>
          <w:szCs w:val="24"/>
          <w:lang w:val="en-US"/>
        </w:rPr>
        <w:t>. The phosphorylation of ULK1</w:t>
      </w:r>
      <w:r w:rsidR="0007766E">
        <w:rPr>
          <w:rFonts w:ascii="Times New Roman" w:hAnsi="Times New Roman" w:cs="Times New Roman"/>
          <w:sz w:val="24"/>
          <w:szCs w:val="24"/>
          <w:lang w:val="en-US"/>
        </w:rPr>
        <w:t xml:space="preserve"> (u</w:t>
      </w:r>
      <w:r w:rsidR="0007766E" w:rsidRPr="00405F18">
        <w:rPr>
          <w:rFonts w:ascii="Times New Roman" w:hAnsi="Times New Roman" w:cs="Times New Roman"/>
          <w:sz w:val="24"/>
          <w:szCs w:val="24"/>
          <w:lang w:val="en-US"/>
        </w:rPr>
        <w:t>nc-51</w:t>
      </w:r>
      <w:r w:rsidR="0007766E">
        <w:rPr>
          <w:rFonts w:ascii="Times New Roman" w:hAnsi="Times New Roman" w:cs="Times New Roman"/>
          <w:sz w:val="24"/>
          <w:szCs w:val="24"/>
          <w:lang w:val="en-US"/>
        </w:rPr>
        <w:t xml:space="preserve"> </w:t>
      </w:r>
      <w:r w:rsidR="0007766E" w:rsidRPr="00405F18">
        <w:rPr>
          <w:rFonts w:ascii="Times New Roman" w:hAnsi="Times New Roman" w:cs="Times New Roman"/>
          <w:sz w:val="24"/>
          <w:szCs w:val="24"/>
          <w:lang w:val="en-US"/>
        </w:rPr>
        <w:t>like autophagy</w:t>
      </w:r>
      <w:r w:rsidR="0007766E">
        <w:rPr>
          <w:rFonts w:ascii="Times New Roman" w:hAnsi="Times New Roman" w:cs="Times New Roman"/>
          <w:sz w:val="24"/>
          <w:szCs w:val="24"/>
          <w:lang w:val="en-US"/>
        </w:rPr>
        <w:t xml:space="preserve"> </w:t>
      </w:r>
      <w:r w:rsidR="0007766E" w:rsidRPr="00405F18">
        <w:rPr>
          <w:rFonts w:ascii="Times New Roman" w:hAnsi="Times New Roman" w:cs="Times New Roman"/>
          <w:sz w:val="24"/>
          <w:szCs w:val="24"/>
          <w:lang w:val="en-US"/>
        </w:rPr>
        <w:t>activating kinase 1</w:t>
      </w:r>
      <w:r w:rsidR="0007766E">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at Ser555, a marker of autophagy activation</w:t>
      </w:r>
      <w:r w:rsidR="00804F39">
        <w:rPr>
          <w:rFonts w:ascii="Times New Roman" w:hAnsi="Times New Roman" w:cs="Times New Roman"/>
          <w:sz w:val="24"/>
          <w:szCs w:val="24"/>
          <w:lang w:val="en-US"/>
        </w:rPr>
        <w:t xml:space="preserve"> [</w:t>
      </w:r>
      <w:r w:rsidRPr="00804F39">
        <w:rPr>
          <w:rFonts w:ascii="Times New Roman" w:hAnsi="Times New Roman" w:cs="Times New Roman"/>
          <w:sz w:val="24"/>
          <w:szCs w:val="24"/>
          <w:lang w:val="en-US"/>
        </w:rPr>
        <w:fldChar w:fldCharType="begin" w:fldLock="1"/>
      </w:r>
      <w:r w:rsidR="00BC4F67" w:rsidRPr="00804F39">
        <w:rPr>
          <w:rFonts w:ascii="Times New Roman" w:hAnsi="Times New Roman" w:cs="Times New Roman"/>
          <w:sz w:val="24"/>
          <w:szCs w:val="24"/>
          <w:lang w:val="en-US"/>
        </w:rPr>
        <w:instrText>ADDIN CSL_CITATION {"citationItems":[{"id":"ITEM-1","itemData":{"DOI":"10.1038/ncb2152","ISSN":"14657392","PMID":"21258367","abstract":"Autophagy is a process by which components of the cell are degraded to maintain essential activity and viability in response to nutrient limitation. Extensive genetic studies have shown that the yeast ATG1 kinase has an essential role in autophagy induction. Furthermore, autophagy is promoted by AMP activated protein kinase (AMPK), which is a key energy sensor and regulates cellular metabolism to maintain energy homeostasis. Conversely, autophagy is inhibited by the mammalian target of rapamycin (mTOR), a central cell-growth regulator that integrates growth factor and nutrient signals. Here we demonstrate a molecular mechanism for regulation of the mammalian autophagy-initiating kinase Ulk1, a homologue of yeast ATG1. Under glucose starvation, AMPK promotes autophagy by directly activating Ulk1 through phosphorylation of Ser 317 and Ser 777. Under nutrient sufficiency, high mTOR activity prevents Ulk1 activation by phosphorylating Ulk1 Ser 757 and disrupting the interaction between Ulk1 and AMPK. This coordinated phosphorylation is important for Ulk1 in autophagy induction. Our study has revealed a signalling mechanism for Ulk1 regulation and autophagy induction in response to nutrient signalling. © 2011 Macmillan Publishers Limited. All rights reserved.","author":[{"dropping-particle":"","family":"Kim","given":"Joungmok","non-dropping-particle":"","parse-names":false,"suffix":""},{"dropping-particle":"","family":"Kundu","given":"Mondira","non-dropping-particle":"","parse-names":false,"suffix":""},{"dropping-particle":"","family":"Viollet","given":"Benoit","non-dropping-particle":"","parse-names":false,"suffix":""},{"dropping-particle":"","family":"Guan","given":"Kun Liang","non-dropping-particle":"","parse-names":false,"suffix":""}],"container-title":"Nature Cell Biology","id":"ITEM-1","issue":"2","issued":{"date-parts":[["2011"]]},"page":"132-141","publisher":"Nature Publishing Group","title":"AMPK and mTOR regulate autophagy through direct phosphorylation of Ulk1","type":"article-journal","volume":"13"},"uris":["http://www.mendeley.com/documents/?uuid=b9e5e59b-6d96-4d10-b5ec-f26cbdd76540"]}],"mendeley":{"formattedCitation":"&lt;sup&gt;33&lt;/sup&gt;","plainTextFormattedCitation":"33","previouslyFormattedCitation":"&lt;sup&gt;33&lt;/sup&gt;"},"properties":{"noteIndex":0},"schema":"https://github.com/citation-style-language/schema/raw/master/csl-citation.json"}</w:instrText>
      </w:r>
      <w:r w:rsidRPr="00804F39">
        <w:rPr>
          <w:rFonts w:ascii="Times New Roman" w:hAnsi="Times New Roman" w:cs="Times New Roman"/>
          <w:sz w:val="24"/>
          <w:szCs w:val="24"/>
          <w:lang w:val="en-US"/>
        </w:rPr>
        <w:fldChar w:fldCharType="separate"/>
      </w:r>
      <w:r w:rsidR="00D27D77" w:rsidRPr="00804F39">
        <w:rPr>
          <w:rFonts w:ascii="Times New Roman" w:hAnsi="Times New Roman" w:cs="Times New Roman"/>
          <w:noProof/>
          <w:sz w:val="24"/>
          <w:szCs w:val="24"/>
          <w:lang w:val="en-US"/>
        </w:rPr>
        <w:t>33</w:t>
      </w:r>
      <w:r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004E2F64"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4C3263"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 xml:space="preserve">s not significantly affected by PA from 3 to 24 h in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581D04"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(Figure S2B,C). </w:t>
      </w:r>
      <w:r w:rsidR="00B01BE4" w:rsidRPr="00405F18">
        <w:rPr>
          <w:rFonts w:ascii="Times New Roman" w:hAnsi="Times New Roman" w:cs="Times New Roman"/>
          <w:sz w:val="24"/>
          <w:szCs w:val="24"/>
          <w:lang w:val="en-US"/>
        </w:rPr>
        <w:t xml:space="preserve">Absence of </w:t>
      </w:r>
      <w:r w:rsidR="00620766" w:rsidRPr="00405F18">
        <w:rPr>
          <w:rFonts w:ascii="Times New Roman" w:hAnsi="Times New Roman" w:cs="Times New Roman"/>
          <w:sz w:val="24"/>
          <w:szCs w:val="24"/>
          <w:lang w:val="en-US"/>
        </w:rPr>
        <w:t xml:space="preserve">PA-induced </w:t>
      </w:r>
      <w:r w:rsidR="00B01BE4" w:rsidRPr="00405F18">
        <w:rPr>
          <w:rFonts w:ascii="Times New Roman" w:hAnsi="Times New Roman" w:cs="Times New Roman"/>
          <w:sz w:val="24"/>
          <w:szCs w:val="24"/>
          <w:lang w:val="en-US"/>
        </w:rPr>
        <w:t>initiation</w:t>
      </w:r>
      <w:r w:rsidR="00F2081C" w:rsidRPr="00405F18">
        <w:rPr>
          <w:rFonts w:ascii="Times New Roman" w:hAnsi="Times New Roman" w:cs="Times New Roman"/>
          <w:sz w:val="24"/>
          <w:szCs w:val="24"/>
          <w:lang w:val="en-US"/>
        </w:rPr>
        <w:t xml:space="preserve"> </w:t>
      </w:r>
      <w:r w:rsidR="00A14649" w:rsidRPr="00405F18">
        <w:rPr>
          <w:rFonts w:ascii="Times New Roman" w:hAnsi="Times New Roman" w:cs="Times New Roman"/>
          <w:sz w:val="24"/>
          <w:szCs w:val="24"/>
          <w:lang w:val="en-US"/>
        </w:rPr>
        <w:t>wa</w:t>
      </w:r>
      <w:r w:rsidR="00B01BE4" w:rsidRPr="00405F18">
        <w:rPr>
          <w:rFonts w:ascii="Times New Roman" w:hAnsi="Times New Roman" w:cs="Times New Roman"/>
          <w:sz w:val="24"/>
          <w:szCs w:val="24"/>
          <w:lang w:val="en-US"/>
        </w:rPr>
        <w:t xml:space="preserve">s reinforced by the similar effect of </w:t>
      </w:r>
      <w:r w:rsidR="001C3C10" w:rsidRPr="00405F18">
        <w:rPr>
          <w:rFonts w:ascii="Times New Roman" w:hAnsi="Times New Roman" w:cs="Times New Roman"/>
          <w:sz w:val="24"/>
          <w:szCs w:val="24"/>
          <w:lang w:val="en-US"/>
        </w:rPr>
        <w:t>BSA and bafilomycin A</w:t>
      </w:r>
      <w:r w:rsidR="001C3C10" w:rsidRPr="00FF7085">
        <w:rPr>
          <w:rFonts w:ascii="Times New Roman" w:hAnsi="Times New Roman" w:cs="Times New Roman"/>
          <w:sz w:val="24"/>
          <w:szCs w:val="24"/>
          <w:vertAlign w:val="subscript"/>
          <w:lang w:val="en-US"/>
        </w:rPr>
        <w:t>1</w:t>
      </w:r>
      <w:r w:rsidR="001C3C10" w:rsidRPr="00405F18">
        <w:rPr>
          <w:rFonts w:ascii="Times New Roman" w:hAnsi="Times New Roman" w:cs="Times New Roman"/>
          <w:sz w:val="24"/>
          <w:szCs w:val="24"/>
          <w:lang w:val="en-US"/>
        </w:rPr>
        <w:t>, PA</w:t>
      </w:r>
      <w:r w:rsidR="004E2F64" w:rsidRPr="00405F18">
        <w:rPr>
          <w:rFonts w:ascii="Times New Roman" w:hAnsi="Times New Roman" w:cs="Times New Roman"/>
          <w:sz w:val="24"/>
          <w:szCs w:val="24"/>
          <w:lang w:val="en-US"/>
        </w:rPr>
        <w:t xml:space="preserve"> </w:t>
      </w:r>
      <w:r w:rsidR="00FF3C90" w:rsidRPr="00405F18">
        <w:rPr>
          <w:rFonts w:ascii="Times New Roman" w:hAnsi="Times New Roman" w:cs="Times New Roman"/>
          <w:sz w:val="24"/>
          <w:szCs w:val="24"/>
          <w:lang w:val="en-US"/>
        </w:rPr>
        <w:t xml:space="preserve">with </w:t>
      </w:r>
      <w:r w:rsidR="00A14649" w:rsidRPr="00405F18">
        <w:rPr>
          <w:rFonts w:ascii="Times New Roman" w:hAnsi="Times New Roman" w:cs="Times New Roman"/>
          <w:sz w:val="24"/>
          <w:szCs w:val="24"/>
          <w:lang w:val="en-US"/>
        </w:rPr>
        <w:t>and</w:t>
      </w:r>
      <w:r w:rsidR="00FF3C90" w:rsidRPr="00405F18">
        <w:rPr>
          <w:rFonts w:ascii="Times New Roman" w:hAnsi="Times New Roman" w:cs="Times New Roman"/>
          <w:sz w:val="24"/>
          <w:szCs w:val="24"/>
          <w:lang w:val="en-US"/>
        </w:rPr>
        <w:t xml:space="preserve"> without</w:t>
      </w:r>
      <w:r w:rsidR="001C3C10" w:rsidRPr="00405F18">
        <w:rPr>
          <w:rFonts w:ascii="Times New Roman" w:hAnsi="Times New Roman" w:cs="Times New Roman"/>
          <w:sz w:val="24"/>
          <w:szCs w:val="24"/>
          <w:lang w:val="en-US"/>
        </w:rPr>
        <w:t xml:space="preserve"> bafilomycin</w:t>
      </w:r>
      <w:r w:rsidR="00F2081C" w:rsidRPr="00405F18">
        <w:rPr>
          <w:rFonts w:ascii="Times New Roman" w:hAnsi="Times New Roman" w:cs="Times New Roman"/>
          <w:sz w:val="24"/>
          <w:szCs w:val="24"/>
          <w:lang w:val="en-US"/>
        </w:rPr>
        <w:t xml:space="preserve"> A</w:t>
      </w:r>
      <w:r w:rsidR="00F2081C" w:rsidRPr="00FF7085">
        <w:rPr>
          <w:rFonts w:ascii="Times New Roman" w:hAnsi="Times New Roman" w:cs="Times New Roman"/>
          <w:sz w:val="24"/>
          <w:szCs w:val="24"/>
          <w:vertAlign w:val="subscript"/>
          <w:lang w:val="en-US"/>
        </w:rPr>
        <w:t>1</w:t>
      </w:r>
      <w:r w:rsidR="001C3C10" w:rsidRPr="00405F18">
        <w:rPr>
          <w:rFonts w:ascii="Times New Roman" w:hAnsi="Times New Roman" w:cs="Times New Roman"/>
          <w:sz w:val="24"/>
          <w:szCs w:val="24"/>
          <w:lang w:val="en-US"/>
        </w:rPr>
        <w:t xml:space="preserve"> on the LC3-II:-I ratio</w:t>
      </w:r>
      <w:r w:rsidR="00CE434E" w:rsidRPr="00405F18">
        <w:rPr>
          <w:rFonts w:ascii="Times New Roman" w:hAnsi="Times New Roman" w:cs="Times New Roman"/>
          <w:sz w:val="24"/>
          <w:szCs w:val="24"/>
          <w:lang w:val="en-US"/>
        </w:rPr>
        <w:t xml:space="preserve"> (Figure 1</w:t>
      </w:r>
      <w:proofErr w:type="gramStart"/>
      <w:r w:rsidR="00CE434E" w:rsidRPr="00405F18">
        <w:rPr>
          <w:rFonts w:ascii="Times New Roman" w:hAnsi="Times New Roman" w:cs="Times New Roman"/>
          <w:sz w:val="24"/>
          <w:szCs w:val="24"/>
          <w:lang w:val="en-US"/>
        </w:rPr>
        <w:t>D,F</w:t>
      </w:r>
      <w:proofErr w:type="gramEnd"/>
      <w:r w:rsidR="00CE434E" w:rsidRPr="00405F18">
        <w:rPr>
          <w:rFonts w:ascii="Times New Roman" w:hAnsi="Times New Roman" w:cs="Times New Roman"/>
          <w:sz w:val="24"/>
          <w:szCs w:val="24"/>
          <w:lang w:val="en-US"/>
        </w:rPr>
        <w:t>)</w:t>
      </w:r>
      <w:r w:rsidR="00F2081C" w:rsidRPr="00405F18">
        <w:rPr>
          <w:rFonts w:ascii="Times New Roman" w:hAnsi="Times New Roman" w:cs="Times New Roman"/>
          <w:sz w:val="24"/>
          <w:szCs w:val="24"/>
          <w:lang w:val="en-US"/>
        </w:rPr>
        <w:t xml:space="preserve"> and the number of GFP</w:t>
      </w:r>
      <w:r w:rsidR="00F2081C" w:rsidRPr="00405F18">
        <w:rPr>
          <w:rFonts w:ascii="Times New Roman" w:hAnsi="Times New Roman" w:cs="Times New Roman"/>
          <w:sz w:val="24"/>
          <w:szCs w:val="24"/>
          <w:vertAlign w:val="superscript"/>
          <w:lang w:val="en-US"/>
        </w:rPr>
        <w:t>+</w:t>
      </w:r>
      <w:r w:rsidR="00F2081C" w:rsidRPr="00405F18">
        <w:rPr>
          <w:rFonts w:ascii="Times New Roman" w:hAnsi="Times New Roman" w:cs="Times New Roman"/>
          <w:sz w:val="24"/>
          <w:szCs w:val="24"/>
          <w:lang w:val="en-US"/>
        </w:rPr>
        <w:t xml:space="preserve"> RFP</w:t>
      </w:r>
      <w:r w:rsidR="00F2081C" w:rsidRPr="00405F18">
        <w:rPr>
          <w:rFonts w:ascii="Times New Roman" w:hAnsi="Times New Roman" w:cs="Times New Roman"/>
          <w:sz w:val="24"/>
          <w:szCs w:val="24"/>
          <w:vertAlign w:val="superscript"/>
          <w:lang w:val="en-US"/>
        </w:rPr>
        <w:t>+</w:t>
      </w:r>
      <w:r w:rsidR="00F2081C" w:rsidRPr="00405F18">
        <w:rPr>
          <w:rFonts w:ascii="Times New Roman" w:hAnsi="Times New Roman" w:cs="Times New Roman"/>
          <w:sz w:val="24"/>
          <w:szCs w:val="24"/>
          <w:lang w:val="en-US"/>
        </w:rPr>
        <w:t xml:space="preserve"> LC3 puncta (Figure 1G,H)</w:t>
      </w:r>
      <w:r w:rsidR="00536215" w:rsidRPr="00405F18">
        <w:rPr>
          <w:rFonts w:ascii="Times New Roman" w:hAnsi="Times New Roman" w:cs="Times New Roman"/>
          <w:sz w:val="24"/>
          <w:szCs w:val="24"/>
          <w:lang w:val="en-US"/>
        </w:rPr>
        <w:t>.</w:t>
      </w:r>
    </w:p>
    <w:p w14:paraId="486D080E" w14:textId="405A6926" w:rsidR="00605472" w:rsidRPr="00CC5768" w:rsidRDefault="00605472" w:rsidP="00270044">
      <w:pPr>
        <w:spacing w:after="100" w:afterAutospacing="1" w:line="480" w:lineRule="auto"/>
        <w:jc w:val="both"/>
        <w:rPr>
          <w:rFonts w:ascii="Times New Roman" w:hAnsi="Times New Roman" w:cs="Times New Roman"/>
          <w:b/>
          <w:bCs/>
          <w:i/>
          <w:iCs/>
          <w:sz w:val="24"/>
          <w:szCs w:val="24"/>
          <w:lang w:val="en-US"/>
        </w:rPr>
      </w:pPr>
      <w:r w:rsidRPr="00CC5768">
        <w:rPr>
          <w:rFonts w:ascii="Times New Roman" w:hAnsi="Times New Roman" w:cs="Times New Roman"/>
          <w:b/>
          <w:bCs/>
          <w:i/>
          <w:iCs/>
          <w:sz w:val="24"/>
          <w:szCs w:val="24"/>
          <w:lang w:val="en-US"/>
        </w:rPr>
        <w:t xml:space="preserve">AMPK </w:t>
      </w:r>
      <w:r w:rsidR="002B6EE0" w:rsidRPr="00CC5768">
        <w:rPr>
          <w:rFonts w:ascii="Times New Roman" w:hAnsi="Times New Roman" w:cs="Times New Roman"/>
          <w:b/>
          <w:bCs/>
          <w:i/>
          <w:iCs/>
          <w:sz w:val="24"/>
          <w:szCs w:val="24"/>
          <w:lang w:val="en-US"/>
        </w:rPr>
        <w:t xml:space="preserve">pharmacological </w:t>
      </w:r>
      <w:r w:rsidRPr="00CC5768">
        <w:rPr>
          <w:rFonts w:ascii="Times New Roman" w:hAnsi="Times New Roman" w:cs="Times New Roman"/>
          <w:b/>
          <w:bCs/>
          <w:i/>
          <w:iCs/>
          <w:sz w:val="24"/>
          <w:szCs w:val="24"/>
          <w:lang w:val="en-US"/>
        </w:rPr>
        <w:t xml:space="preserve">activation prevents PA-induced autophagic flux inhibition in </w:t>
      </w:r>
      <w:proofErr w:type="spellStart"/>
      <w:r w:rsidR="0026635C">
        <w:rPr>
          <w:rFonts w:ascii="Times New Roman" w:hAnsi="Times New Roman" w:cs="Times New Roman"/>
          <w:b/>
          <w:bCs/>
          <w:i/>
          <w:iCs/>
          <w:sz w:val="24"/>
          <w:szCs w:val="24"/>
          <w:lang w:val="en-US"/>
        </w:rPr>
        <w:t>M</w:t>
      </w:r>
      <w:r w:rsidRPr="00CC5768">
        <w:rPr>
          <w:rFonts w:ascii="Times New Roman" w:hAnsi="Times New Roman" w:cs="Times New Roman"/>
          <w:b/>
          <w:bCs/>
          <w:i/>
          <w:iCs/>
          <w:sz w:val="24"/>
          <w:szCs w:val="24"/>
          <w:lang w:val="en-US"/>
        </w:rPr>
        <w:t>mPTEC</w:t>
      </w:r>
      <w:r w:rsidR="0087363D" w:rsidRPr="00CC5768">
        <w:rPr>
          <w:rFonts w:ascii="Times New Roman" w:hAnsi="Times New Roman" w:cs="Times New Roman"/>
          <w:b/>
          <w:bCs/>
          <w:i/>
          <w:iCs/>
          <w:sz w:val="24"/>
          <w:szCs w:val="24"/>
          <w:lang w:val="en-US"/>
        </w:rPr>
        <w:t>s</w:t>
      </w:r>
      <w:proofErr w:type="spellEnd"/>
      <w:r w:rsidRPr="00CC5768">
        <w:rPr>
          <w:rFonts w:ascii="Times New Roman" w:hAnsi="Times New Roman" w:cs="Times New Roman"/>
          <w:b/>
          <w:bCs/>
          <w:i/>
          <w:iCs/>
          <w:sz w:val="24"/>
          <w:szCs w:val="24"/>
          <w:lang w:val="en-US"/>
        </w:rPr>
        <w:t>.</w:t>
      </w:r>
    </w:p>
    <w:p w14:paraId="295232AE" w14:textId="18586EF4" w:rsidR="00EC0BA4" w:rsidRPr="00405F18" w:rsidRDefault="00605472" w:rsidP="00270044">
      <w:pPr>
        <w:spacing w:after="100" w:afterAutospacing="1" w:line="480" w:lineRule="auto"/>
        <w:jc w:val="both"/>
        <w:rPr>
          <w:rFonts w:ascii="Times New Roman" w:hAnsi="Times New Roman" w:cs="Times New Roman"/>
          <w:sz w:val="24"/>
          <w:szCs w:val="24"/>
          <w:lang w:val="en-US"/>
        </w:rPr>
      </w:pPr>
      <w:bookmarkStart w:id="5" w:name="_Hlk160525425"/>
      <w:r w:rsidRPr="00405F18">
        <w:rPr>
          <w:rFonts w:ascii="Times New Roman" w:hAnsi="Times New Roman" w:cs="Times New Roman"/>
          <w:sz w:val="24"/>
          <w:szCs w:val="24"/>
          <w:lang w:val="en-US"/>
        </w:rPr>
        <w:t xml:space="preserve">Impaired AMPK activity </w:t>
      </w:r>
      <w:r w:rsidR="00274B30" w:rsidRPr="00405F18">
        <w:rPr>
          <w:rFonts w:ascii="Times New Roman" w:hAnsi="Times New Roman" w:cs="Times New Roman"/>
          <w:sz w:val="24"/>
          <w:szCs w:val="24"/>
          <w:lang w:val="en-US"/>
        </w:rPr>
        <w:t>i</w:t>
      </w:r>
      <w:r w:rsidRPr="00405F18">
        <w:rPr>
          <w:rFonts w:ascii="Times New Roman" w:hAnsi="Times New Roman" w:cs="Times New Roman"/>
          <w:sz w:val="24"/>
          <w:szCs w:val="24"/>
          <w:lang w:val="en-US"/>
        </w:rPr>
        <w:t xml:space="preserve">s </w:t>
      </w:r>
      <w:r w:rsidR="00274B30" w:rsidRPr="00405F18">
        <w:rPr>
          <w:rFonts w:ascii="Times New Roman" w:hAnsi="Times New Roman" w:cs="Times New Roman"/>
          <w:sz w:val="24"/>
          <w:szCs w:val="24"/>
          <w:lang w:val="en-US"/>
        </w:rPr>
        <w:t>reported in</w:t>
      </w:r>
      <w:r w:rsidRPr="00405F18">
        <w:rPr>
          <w:rFonts w:ascii="Times New Roman" w:hAnsi="Times New Roman" w:cs="Times New Roman"/>
          <w:sz w:val="24"/>
          <w:szCs w:val="24"/>
          <w:lang w:val="en-US"/>
        </w:rPr>
        <w:t xml:space="preserve"> </w:t>
      </w:r>
      <w:r w:rsidR="000C45D5" w:rsidRPr="00405F18">
        <w:rPr>
          <w:rFonts w:ascii="Times New Roman" w:hAnsi="Times New Roman" w:cs="Times New Roman"/>
          <w:sz w:val="24"/>
          <w:szCs w:val="24"/>
          <w:lang w:val="en-US"/>
        </w:rPr>
        <w:t>different models of metabolic CKD as well as in patients presenting diabetic nephropath</w:t>
      </w:r>
      <w:r w:rsidR="00BC4F67" w:rsidRPr="00405F18">
        <w:rPr>
          <w:rFonts w:ascii="Times New Roman" w:hAnsi="Times New Roman" w:cs="Times New Roman"/>
          <w:sz w:val="24"/>
          <w:szCs w:val="24"/>
          <w:lang w:val="en-US"/>
        </w:rPr>
        <w:t>y</w:t>
      </w:r>
      <w:r w:rsidR="00804F39">
        <w:rPr>
          <w:rFonts w:ascii="Times New Roman" w:hAnsi="Times New Roman" w:cs="Times New Roman"/>
          <w:sz w:val="24"/>
          <w:szCs w:val="24"/>
          <w:lang w:val="en-US"/>
        </w:rPr>
        <w:t xml:space="preserve"> [</w:t>
      </w:r>
      <w:r w:rsidR="00BC4F67" w:rsidRPr="00804F39">
        <w:rPr>
          <w:rFonts w:ascii="Times New Roman" w:hAnsi="Times New Roman" w:cs="Times New Roman"/>
          <w:sz w:val="24"/>
          <w:szCs w:val="24"/>
          <w:lang w:val="en-US"/>
        </w:rPr>
        <w:fldChar w:fldCharType="begin" w:fldLock="1"/>
      </w:r>
      <w:r w:rsidR="00362664" w:rsidRPr="00804F39">
        <w:rPr>
          <w:rFonts w:ascii="Times New Roman" w:hAnsi="Times New Roman" w:cs="Times New Roman"/>
          <w:sz w:val="24"/>
          <w:szCs w:val="24"/>
          <w:lang w:val="en-US"/>
        </w:rPr>
        <w:instrText>ADDIN CSL_CITATION {"citationItems":[{"id":"ITEM-1","itemData":{"DOI":"10.1681/ASN.2011010026","ISSN":"10466673","PMID":"21921143","abstract":"The mechanisms underlying the association between obesity and progressive renal disease are not well understood. Exposure to a high-fat diet decreases levels of the cellular energy sensor AMPK in many organs, including the kidney, but whether AMPK contributes to the pathophysiology of kidney disease induced by a high-fat diet is unknown. In this study, we randomly assigned C57BL/6J mice to a standard or high-fat diet. After 1 week, mice fed a high-fat diet exhibited an increase in body weight, renal hypertrophy, an increase in urine H 2O 2 and urine MCP-1, and a decrease in circulating adiponectin levels and renal AMPK activity. Urine ACR progressively increased after 4 weeks of a high-fat diet. After 12 weeks, kidneys of mice fed a high-fat diet demonstrated a marked increase in markers of fibrosis and inflammation, and AMPK activity remained significantly suppressed. To determine whether inhibition of AMPK activity explained these renal effects, we administered an AMPK activator along with a high-fat diet for 1 week. Although AMPK activation did not abrogate the weight gain, it reduced the renal hypertrophy, urine H 2O 2, and urine and renal MCP-1. In vitro, AMPK activation completely inhibited the induction of MCP-1 by palmitic acid in mesangial cells. In conclusion, these data suggest that the energy sensor AMPK mediates the early renal effects of a high-fat diet. Copyright © 2011 by the American Society of Nephrology.","author":[{"dropping-particle":"","family":"Declèves","given":"Anne Emilie","non-dropping-particle":"","parse-names":false,"suffix":""},{"dropping-particle":"V.","family":"Mathew","given":"Anna","non-dropping-particle":"","parse-names":false,"suffix":""},{"dropping-particle":"","family":"Cunard","given":"Robyn","non-dropping-particle":"","parse-names":false,"suffix":""},{"dropping-particle":"","family":"Sharma","given":"Kumar","non-dropping-particle":"","parse-names":false,"suffix":""}],"container-title":"Journal of the American Society of Nephrology","id":"ITEM-1","issue":"10","issued":{"date-parts":[["2011"]]},"page":"1846-1855","title":"AMPK mediates the initiation of kidney disease induced by a high-fat diet","type":"article-journal","volume":"22"},"uris":["http://www.mendeley.com/documents/?uuid=833cfb7a-0222-459f-8c98-cafc48c006fd"]},{"id":"ITEM-2","itemData":{"DOI":"10.1172/JCI66218","ISSN":"00219738","abstract":"Diabetic microvascular complications have been considered to be mediated by a glucose-driven increase in mitochondrial superoxide anion production. Here, we report that superoxide production was reduced in the kidneys of a steptozotocin-induced mouse model of type 1 diabetes, as assessed by in vivo real-time transcutaneous fluorescence, confocal microscopy, and electron paramagnetic resonance analysis. Reduction of mitochondrial biogenesis and phosphorylation of pyruvate dehydrogenase (PDH) were observed in kidneys from diabetic mice. These observations were consistent with an overall reduction of mitochondrial glucose oxidation. Activity of AMPK, the major energy-sensing enzyme, was reduced in kidneys from both diabetic mice and humans. Mitochondrial biogenesis, PDH activity, and mitochondrial complex activity were rescued by treatment with the AMPK activator 5-aminoimidazole-4-carboxamide-1-β-D- ribofuranoside (AICAR). AICAR treatment induced superoxide production and was linked with glomerular matrix and albuminuria reduction in the diabetic kidney. Furthermore, diabetic heterozygous superoxide dismutase 2 (Sod2+/-) mice had no evidence of increased renal disease, and Ampka2-/- mice had increased albuminuria that was not reduced with AICAR treatment. Reduction of mitochondrial superoxide production with rotenone was sufficient to reduce AMPK phosphorylation in mouse kidneys. Taken together, these results demonstrate that diabetic kidneys have reduced superoxide and mitochondrial biogenesis and activation of AMPK enhances superoxide production and mitochondrial function while reducing disease activity.","author":[{"dropping-particle":"","family":"Dugan","given":"Laura L.","non-dropping-particle":"","parse-names":false,"suffix":""},{"dropping-particle":"","family":"You","given":"Young Hyun","non-dropping-particle":"","parse-names":false,"suffix":""},{"dropping-particle":"","family":"Ali","given":"Sameh S.","non-dropping-particle":"","parse-names":false,"suffix":""},{"dropping-particle":"","family":"Diamond-Stanic","given":"Maggie","non-dropping-particle":"","parse-names":false,"suffix":""},{"dropping-particle":"","family":"Miyamoto","given":"Satoshi","non-dropping-particle":"","parse-names":false,"suffix":""},{"dropping-particle":"","family":"DeCleves","given":"Anne Emilie","non-dropping-particle":"","parse-names":false,"suffix":""},{"dropping-particle":"","family":"Andreyev","given":"Aleksander","non-dropping-particle":"","parse-names":false,"suffix":""},{"dropping-particle":"","family":"Quach","given":"Tammy","non-dropping-particle":"","parse-names":false,"suffix":""},{"dropping-particle":"","family":"Ly","given":"San","non-dropping-particle":"","parse-names":false,"suffix":""},{"dropping-particle":"","family":"Shekhtman","given":"Grigory","non-dropping-particle":"","parse-names":false,"suffix":""},{"dropping-particle":"","family":"Nguyen","given":"William","non-dropping-particle":"","parse-names":false,"suffix":""},{"dropping-particle":"","family":"Chepetan","given":"Andre","non-dropping-particle":"","parse-names":false,"suffix":""},{"dropping-particle":"","family":"Le","given":"Thuy P.","non-dropping-particle":"","parse-names":false,"suffix":""},{"dropping-particle":"","family":"Wang","given":"Lin","non-dropping-particle":"","parse-names":false,"suffix":""},{"dropping-particle":"","family":"Xu","given":"Ming","non-dropping-particle":"","parse-names":false,"suffix":""},{"dropping-particle":"","family":"Paik","given":"Kacie P.","non-dropping-particle":"","parse-names":false,"suffix":""},{"dropping-particle":"","family":"Fogo","given":"Agnes","non-dropping-particle":"","parse-names":false,"suffix":""},{"dropping-particle":"","family":"Viollet","given":"Benoit","non-dropping-particle":"","parse-names":false,"suffix":""},{"dropping-particle":"","family":"Murphy","given":"Anne","non-dropping-particle":"","parse-names":false,"suffix":""},{"dropping-particle":"","family":"Brosius","given":"Frank","non-dropping-particle":"","parse-names":false,"suffix":""},{"dropping-particle":"","family":"Naviaux","given":"Robert K.","non-dropping-particle":"","parse-names":false,"suffix":""},{"dropping-particle":"","family":"Sharma","given":"Kumar","non-dropping-particle":"","parse-names":false,"suffix":""}],"container-title":"Journal of Clinical Investigation","id":"ITEM-2","issue":"11","issued":{"date-parts":[["2013"]]},"page":"4888-4899","title":"AMPK dysregulation promotes diabetes-related reduction of superoxide and mitochondrial function","type":"article-journal","volume":"123"},"uris":["http://www.mendeley.com/documents/?uuid=18188925-f012-4241-92d8-3065fd2b57a0"]},{"id":"ITEM-3","itemData":{"DOI":"10.1039/c7mb00167c","ISSN":"17422051","abstract":"Diabetic kidney disease (DKD) is the leading cause of ESRD; however, early intervention can greatly prevent the progression of DKD; thus, sensitive biomarkers for DKD are still required. This study was aimed at the identification of potential biomarkers and revelation of underlying pathways in DKD patients by non-targeted metabolomics. Gas chromatography-mass spectrometry was used to analyze urine obtained from the control and type 2 diabetes mellitus (T2DM) and DKD patients, and the renal histological changes in DKD patients were assessed. The DKD group showed increased level of uric acid, 1,5-anhydroglucitol, hippuric acid, stearic acid, and palmitic acid and reduced level of uracil, glycine, aconitic acid, isocitric acid, 4-hydroxybutyrate, 2-deoxyerythritol, and glycolic acid as compared to the control and T2DM groups. Further analysis indicated that many of the changed metabolites were involved in mitochondrial and fatty acid (FA) metabolism, and combined mitochondrial and FA metabolites showed better diagnosis values for DKD. Histological results confirmed that renal expression of key proteins was reduced in DKD patients with respect to mitochondrial biogenesis (PGC-1α, p-AMPK) and FA oxidation (PPAR-α, CPT-1) as compared to that in the control and T2DM groups. This study highlighted that both mitochondrial and FA metabolism were disturbed in DKD, and thus, they could serve as combined biomarkers for the prediction of DKD.","author":[{"dropping-particle":"","family":"Li","given":"Ling","non-dropping-particle":"","parse-names":false,"suffix":""},{"dropping-particle":"","family":"Wang","given":"Chengshi","non-dropping-particle":"","parse-names":false,"suffix":""},{"dropping-particle":"","family":"Yang","given":"Hongliu","non-dropping-particle":"","parse-names":false,"suffix":""},{"dropping-particle":"","family":"Liu","given":"Shuyun","non-dropping-particle":"","parse-names":false,"suffix":""},{"dropping-particle":"","family":"Lu","given":"Yanrong","non-dropping-particle":"","parse-names":false,"suffix":""},{"dropping-particle":"","family":"Fu","given":"Ping","non-dropping-particle":"","parse-names":false,"suffix":""},{"dropping-particle":"","family":"Liu","given":"Jingping","non-dropping-particle":"","parse-names":false,"suffix":""}],"container-title":"Molecular BioSystems","id":"ITEM-3","issue":"11","issued":{"date-parts":[["2017"]]},"page":"2392-2400","title":"Metabolomics reveal mitochondrial and fatty acid metabolism disorders that contribute to the development of DKD in T2DM patients","type":"article-journal","volume":"13"},"uris":["http://www.mendeley.com/documents/?uuid=0b1a2c0c-be9b-4a06-9d7a-37677f1f3fb1"]}],"mendeley":{"formattedCitation":"&lt;sup&gt;15–17&lt;/sup&gt;","plainTextFormattedCitation":"15–17","previouslyFormattedCitation":"&lt;sup&gt;15–17&lt;/sup&gt;"},"properties":{"noteIndex":0},"schema":"https://github.com/citation-style-language/schema/raw/master/csl-citation.json"}</w:instrText>
      </w:r>
      <w:r w:rsidR="00BC4F67" w:rsidRPr="00804F39">
        <w:rPr>
          <w:rFonts w:ascii="Times New Roman" w:hAnsi="Times New Roman" w:cs="Times New Roman"/>
          <w:sz w:val="24"/>
          <w:szCs w:val="24"/>
          <w:lang w:val="en-US"/>
        </w:rPr>
        <w:fldChar w:fldCharType="separate"/>
      </w:r>
      <w:r w:rsidR="004A2BDA" w:rsidRPr="00804F39">
        <w:rPr>
          <w:rFonts w:ascii="Times New Roman" w:hAnsi="Times New Roman" w:cs="Times New Roman"/>
          <w:noProof/>
          <w:sz w:val="24"/>
          <w:szCs w:val="24"/>
          <w:lang w:val="en-US"/>
        </w:rPr>
        <w:t>15–17</w:t>
      </w:r>
      <w:r w:rsidR="00BC4F67" w:rsidRPr="00804F39">
        <w:rPr>
          <w:rFonts w:ascii="Times New Roman" w:hAnsi="Times New Roman" w:cs="Times New Roman"/>
          <w:sz w:val="24"/>
          <w:szCs w:val="24"/>
          <w:lang w:val="en-US"/>
        </w:rPr>
        <w:fldChar w:fldCharType="end"/>
      </w:r>
      <w:bookmarkEnd w:id="5"/>
      <w:r w:rsidR="00804F39">
        <w:rPr>
          <w:rFonts w:ascii="Times New Roman" w:hAnsi="Times New Roman" w:cs="Times New Roman"/>
          <w:sz w:val="24"/>
          <w:szCs w:val="24"/>
          <w:lang w:val="en-US"/>
        </w:rPr>
        <w:t>]</w:t>
      </w:r>
      <w:r w:rsidR="000C45D5" w:rsidRPr="00405F18">
        <w:rPr>
          <w:rFonts w:ascii="Times New Roman" w:hAnsi="Times New Roman" w:cs="Times New Roman"/>
          <w:sz w:val="24"/>
          <w:szCs w:val="24"/>
          <w:lang w:val="en-US"/>
        </w:rPr>
        <w:t>. In high fat diet-fed mice, we show</w:t>
      </w:r>
      <w:r w:rsidR="003D54C2" w:rsidRPr="00405F18">
        <w:rPr>
          <w:rFonts w:ascii="Times New Roman" w:hAnsi="Times New Roman" w:cs="Times New Roman"/>
          <w:sz w:val="24"/>
          <w:szCs w:val="24"/>
          <w:lang w:val="en-US"/>
        </w:rPr>
        <w:t>ed</w:t>
      </w:r>
      <w:r w:rsidR="000C45D5" w:rsidRPr="00405F18">
        <w:rPr>
          <w:rFonts w:ascii="Times New Roman" w:hAnsi="Times New Roman" w:cs="Times New Roman"/>
          <w:sz w:val="24"/>
          <w:szCs w:val="24"/>
          <w:lang w:val="en-US"/>
        </w:rPr>
        <w:t xml:space="preserve"> t</w:t>
      </w:r>
      <w:r w:rsidR="00274B30" w:rsidRPr="00405F18">
        <w:rPr>
          <w:rFonts w:ascii="Times New Roman" w:hAnsi="Times New Roman" w:cs="Times New Roman"/>
          <w:sz w:val="24"/>
          <w:szCs w:val="24"/>
          <w:lang w:val="en-US"/>
        </w:rPr>
        <w:t xml:space="preserve">he contribution of this event </w:t>
      </w:r>
      <w:r w:rsidRPr="00405F18">
        <w:rPr>
          <w:rFonts w:ascii="Times New Roman" w:hAnsi="Times New Roman" w:cs="Times New Roman"/>
          <w:sz w:val="24"/>
          <w:szCs w:val="24"/>
          <w:lang w:val="en-US"/>
        </w:rPr>
        <w:t>to the development of CKD</w:t>
      </w:r>
      <w:r w:rsidR="00804F39">
        <w:rPr>
          <w:rFonts w:ascii="Times New Roman" w:hAnsi="Times New Roman" w:cs="Times New Roman"/>
          <w:sz w:val="24"/>
          <w:szCs w:val="24"/>
          <w:lang w:val="en-US"/>
        </w:rPr>
        <w:t xml:space="preserve"> [</w:t>
      </w:r>
      <w:r w:rsidRPr="00804F39">
        <w:rPr>
          <w:rFonts w:ascii="Times New Roman" w:hAnsi="Times New Roman" w:cs="Times New Roman"/>
          <w:sz w:val="24"/>
          <w:szCs w:val="24"/>
          <w:lang w:val="en-US"/>
        </w:rPr>
        <w:fldChar w:fldCharType="begin" w:fldLock="1"/>
      </w:r>
      <w:r w:rsidR="00025345" w:rsidRPr="00804F39">
        <w:rPr>
          <w:rFonts w:ascii="Times New Roman" w:hAnsi="Times New Roman" w:cs="Times New Roman"/>
          <w:sz w:val="24"/>
          <w:szCs w:val="24"/>
          <w:lang w:val="en-US"/>
        </w:rPr>
        <w:instrText>ADDIN CSL_CITATION {"citationItems":[{"id":"ITEM-1","itemData":{"DOI":"10.1038/ki.2013.462","ISSN":"15231755","abstract":"AMP-Activated protein kinase (AMPK) is an important energy sensor that may be critical in regulating renal lipid accumulation. To evaluate the role of AMPK in mediating renal lipid accumulation, C57BL/6J mice were randomized to a standard diet, a high-fat diet, or a high-fat diet plus AICAR (an AMPK activator) for 14 weeks. Renal functional and structural studies along with electron microscopy were performed. Mice given the high-fat diet had proximal tubule injury with the presence of enlarged clear vacuoles, and multilaminar inclusions concurrent with an increase of tissue lipid and overloading of the lysosomal system. The margins of the clear vacuoles were positive for the endolysosomal marker, LAMP1, suggesting lysosome accumulation. Characterization of vesicles by special stains (Oil Red O, Nile Red, Luxol Fast Blue) and by electron microscopy showed they contained onion skin-like accumulations consistent with phospholipids. Moreover, cholesteryl esters and phosphatidylcholine-containing phospholipids were significantly increased in the kidneys of mice on a high-fat diet. AMPK activation with chronic AICAR treatment prevented the clinical and structural effects of high-fat diet. Thus, high-fat diet contributes to a dysfunction of the lysosomal system and altered lipid metabolism characterized by cholesterol and phospholipid accumulation in the kidney. AMPK activation normalizes the changes in renal lipid content despite chronic exposure to lipid challenge. © 2013 International Society of Nephrology.","author":[{"dropping-particle":"","family":"Declèves","given":"Anne Emilie","non-dropping-particle":"","parse-names":false,"suffix":""},{"dropping-particle":"","family":"Zolkipli","given":"Zarazuela","non-dropping-particle":"","parse-names":false,"suffix":""},{"dropping-particle":"","family":"Satriano","given":"Joseph","non-dropping-particle":"","parse-names":false,"suffix":""},{"dropping-particle":"","family":"Wang","given":"Lin","non-dropping-particle":"","parse-names":false,"suffix":""},{"dropping-particle":"","family":"Nakayama","given":"Tomohiro","non-dropping-particle":"","parse-names":false,"suffix":""},{"dropping-particle":"","family":"Rogac","given":"Mihael","non-dropping-particle":"","parse-names":false,"suffix":""},{"dropping-particle":"","family":"Le","given":"Thuy P.","non-dropping-particle":"","parse-names":false,"suffix":""},{"dropping-particle":"","family":"Nortier","given":"Joëlle L.","non-dropping-particle":"","parse-names":false,"suffix":""},{"dropping-particle":"","family":"Farquhar","given":"Marilyn G.","non-dropping-particle":"","parse-names":false,"suffix":""},{"dropping-particle":"","family":"Naviaux","given":"Robert K.","non-dropping-particle":"","parse-names":false,"suffix":""},{"dropping-particle":"","family":"Sharma","given":"Kumar","non-dropping-particle":"","parse-names":false,"suffix":""}],"container-title":"Kidney International","id":"ITEM-1","issue":"3","issued":{"date-parts":[["2014"]]},"page":"611-623","title":"Regulation of lipid accumulation by AMK-Activated kinase in high fat diet-induced kidney injury","type":"article-journal","volume":"85"},"uris":["http://www.mendeley.com/documents/?uuid=9cb854f8-4c3a-443a-ac96-2c8139bdbf52"]}],"mendeley":{"formattedCitation":"&lt;sup&gt;13&lt;/sup&gt;","plainTextFormattedCitation":"13","previouslyFormattedCitation":"&lt;sup&gt;13&lt;/sup&gt;"},"properties":{"noteIndex":0},"schema":"https://github.com/citation-style-language/schema/raw/master/csl-citation.json"}</w:instrText>
      </w:r>
      <w:r w:rsidRPr="00804F39">
        <w:rPr>
          <w:rFonts w:ascii="Times New Roman" w:hAnsi="Times New Roman" w:cs="Times New Roman"/>
          <w:sz w:val="24"/>
          <w:szCs w:val="24"/>
          <w:lang w:val="en-US"/>
        </w:rPr>
        <w:fldChar w:fldCharType="separate"/>
      </w:r>
      <w:r w:rsidR="002500AB" w:rsidRPr="00804F39">
        <w:rPr>
          <w:rFonts w:ascii="Times New Roman" w:hAnsi="Times New Roman" w:cs="Times New Roman"/>
          <w:noProof/>
          <w:sz w:val="24"/>
          <w:szCs w:val="24"/>
          <w:lang w:val="en-US"/>
        </w:rPr>
        <w:t>13</w:t>
      </w:r>
      <w:r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Pr="00405F18">
        <w:rPr>
          <w:rFonts w:ascii="Times New Roman" w:hAnsi="Times New Roman" w:cs="Times New Roman"/>
          <w:sz w:val="24"/>
          <w:szCs w:val="24"/>
          <w:lang w:val="en-US"/>
        </w:rPr>
        <w:t>. The present work aimed to assess the direct</w:t>
      </w:r>
      <w:r w:rsidR="00BC4F67" w:rsidRPr="00405F18">
        <w:rPr>
          <w:rFonts w:ascii="Times New Roman" w:hAnsi="Times New Roman" w:cs="Times New Roman"/>
          <w:sz w:val="24"/>
          <w:szCs w:val="24"/>
          <w:lang w:val="en-US"/>
        </w:rPr>
        <w:t xml:space="preserve"> effect </w:t>
      </w:r>
      <w:r w:rsidRPr="00405F18">
        <w:rPr>
          <w:rFonts w:ascii="Times New Roman" w:hAnsi="Times New Roman" w:cs="Times New Roman"/>
          <w:sz w:val="24"/>
          <w:szCs w:val="24"/>
          <w:lang w:val="en-US"/>
        </w:rPr>
        <w:t xml:space="preserve">of FA overload </w:t>
      </w:r>
      <w:r w:rsidR="00BC4F67" w:rsidRPr="00405F18">
        <w:rPr>
          <w:rFonts w:ascii="Times New Roman" w:hAnsi="Times New Roman" w:cs="Times New Roman"/>
          <w:sz w:val="24"/>
          <w:szCs w:val="24"/>
          <w:lang w:val="en-US"/>
        </w:rPr>
        <w:t xml:space="preserve">on AMPK activity </w:t>
      </w:r>
      <w:r w:rsidRPr="00405F18">
        <w:rPr>
          <w:rFonts w:ascii="Times New Roman" w:hAnsi="Times New Roman" w:cs="Times New Roman"/>
          <w:sz w:val="24"/>
          <w:szCs w:val="24"/>
          <w:lang w:val="en-US"/>
        </w:rPr>
        <w:t>in PTEC</w:t>
      </w:r>
      <w:r w:rsidR="0087363D"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After a 6 h PA-treatment, AMPK activity </w:t>
      </w:r>
      <w:r w:rsidR="00E82812" w:rsidRPr="00405F18">
        <w:rPr>
          <w:rFonts w:ascii="Times New Roman" w:hAnsi="Times New Roman" w:cs="Times New Roman"/>
          <w:sz w:val="24"/>
          <w:szCs w:val="24"/>
          <w:lang w:val="en-US"/>
        </w:rPr>
        <w:t>was</w:t>
      </w:r>
      <w:r w:rsidRPr="00405F18">
        <w:rPr>
          <w:rFonts w:ascii="Times New Roman" w:hAnsi="Times New Roman" w:cs="Times New Roman"/>
          <w:sz w:val="24"/>
          <w:szCs w:val="24"/>
          <w:lang w:val="en-US"/>
        </w:rPr>
        <w:t xml:space="preserve"> not affected as evidenced by unchanged activity (Figure 2A) and phosphorylation stat</w:t>
      </w:r>
      <w:r w:rsidR="001D3E74" w:rsidRPr="00405F18">
        <w:rPr>
          <w:rFonts w:ascii="Times New Roman" w:hAnsi="Times New Roman" w:cs="Times New Roman"/>
          <w:sz w:val="24"/>
          <w:szCs w:val="24"/>
          <w:lang w:val="en-US"/>
        </w:rPr>
        <w:t>e</w:t>
      </w:r>
      <w:r w:rsidRPr="00405F18">
        <w:rPr>
          <w:rFonts w:ascii="Times New Roman" w:hAnsi="Times New Roman" w:cs="Times New Roman"/>
          <w:sz w:val="24"/>
          <w:szCs w:val="24"/>
          <w:lang w:val="en-US"/>
        </w:rPr>
        <w:t xml:space="preserve"> of the enzyme on Thr172 (Figure</w:t>
      </w:r>
      <w:r w:rsidR="00D16BEA"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2</w:t>
      </w:r>
      <w:proofErr w:type="gramStart"/>
      <w:r w:rsidRPr="00405F18">
        <w:rPr>
          <w:rFonts w:ascii="Times New Roman" w:hAnsi="Times New Roman" w:cs="Times New Roman"/>
          <w:sz w:val="24"/>
          <w:szCs w:val="24"/>
          <w:lang w:val="en-US"/>
        </w:rPr>
        <w:t>B,C</w:t>
      </w:r>
      <w:proofErr w:type="gramEnd"/>
      <w:r w:rsidRPr="00405F18">
        <w:rPr>
          <w:rFonts w:ascii="Times New Roman" w:hAnsi="Times New Roman" w:cs="Times New Roman"/>
          <w:sz w:val="24"/>
          <w:szCs w:val="24"/>
          <w:lang w:val="en-US"/>
        </w:rPr>
        <w:t xml:space="preserve">). AMPK-dependent phosphorylation of </w:t>
      </w:r>
      <w:r w:rsidR="00F60A2D">
        <w:rPr>
          <w:rFonts w:ascii="Times New Roman" w:hAnsi="Times New Roman" w:cs="Times New Roman"/>
          <w:sz w:val="24"/>
          <w:szCs w:val="24"/>
          <w:lang w:val="en-US"/>
        </w:rPr>
        <w:t>ACAC</w:t>
      </w:r>
      <w:r w:rsidR="00F60A2D" w:rsidRPr="00405F18">
        <w:rPr>
          <w:rFonts w:ascii="Times New Roman" w:hAnsi="Times New Roman" w:cs="Times New Roman"/>
          <w:sz w:val="24"/>
          <w:szCs w:val="24"/>
          <w:lang w:val="en-US"/>
        </w:rPr>
        <w:t xml:space="preserve"> </w:t>
      </w:r>
      <w:r w:rsidR="00F60A2D">
        <w:rPr>
          <w:rFonts w:ascii="Times New Roman" w:hAnsi="Times New Roman" w:cs="Times New Roman"/>
          <w:sz w:val="24"/>
          <w:szCs w:val="24"/>
          <w:lang w:val="en-US"/>
        </w:rPr>
        <w:t>(</w:t>
      </w:r>
      <w:r w:rsidRPr="00405F18">
        <w:rPr>
          <w:rFonts w:ascii="Times New Roman" w:hAnsi="Times New Roman" w:cs="Times New Roman"/>
          <w:sz w:val="24"/>
          <w:szCs w:val="24"/>
          <w:lang w:val="en-US"/>
        </w:rPr>
        <w:t>acetyl-CoA carboxylase</w:t>
      </w:r>
      <w:r w:rsidR="00A6673B">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on Ser79 </w:t>
      </w:r>
      <w:r w:rsidR="00E41EC1"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 xml:space="preserve">s also comparable between PA- and BSA-treated </w:t>
      </w:r>
      <w:proofErr w:type="spellStart"/>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w:t>
      </w:r>
      <w:r w:rsidR="0030391F" w:rsidRPr="00405F18">
        <w:rPr>
          <w:rFonts w:ascii="Times New Roman" w:hAnsi="Times New Roman" w:cs="Times New Roman"/>
          <w:sz w:val="24"/>
          <w:szCs w:val="24"/>
          <w:lang w:val="en-US"/>
        </w:rPr>
        <w:t>after 6 h</w:t>
      </w:r>
      <w:r w:rsidRPr="00405F18">
        <w:rPr>
          <w:rFonts w:ascii="Times New Roman" w:hAnsi="Times New Roman" w:cs="Times New Roman"/>
          <w:sz w:val="24"/>
          <w:szCs w:val="24"/>
          <w:lang w:val="en-US"/>
        </w:rPr>
        <w:t xml:space="preserve"> (Figure 2</w:t>
      </w:r>
      <w:proofErr w:type="gramStart"/>
      <w:r w:rsidRPr="00405F18">
        <w:rPr>
          <w:rFonts w:ascii="Times New Roman" w:hAnsi="Times New Roman" w:cs="Times New Roman"/>
          <w:sz w:val="24"/>
          <w:szCs w:val="24"/>
          <w:lang w:val="en-US"/>
        </w:rPr>
        <w:t>B,D</w:t>
      </w:r>
      <w:proofErr w:type="gramEnd"/>
      <w:r w:rsidRPr="00405F18">
        <w:rPr>
          <w:rFonts w:ascii="Times New Roman" w:hAnsi="Times New Roman" w:cs="Times New Roman"/>
          <w:sz w:val="24"/>
          <w:szCs w:val="24"/>
          <w:lang w:val="en-US"/>
        </w:rPr>
        <w:t>).</w:t>
      </w:r>
      <w:r w:rsidR="00C85666" w:rsidRPr="00405F18">
        <w:rPr>
          <w:rFonts w:ascii="Times New Roman" w:hAnsi="Times New Roman" w:cs="Times New Roman"/>
          <w:sz w:val="24"/>
          <w:szCs w:val="24"/>
          <w:lang w:val="en-US"/>
        </w:rPr>
        <w:t xml:space="preserve"> </w:t>
      </w:r>
      <w:r w:rsidR="002359C0" w:rsidRPr="00405F18">
        <w:rPr>
          <w:rFonts w:ascii="Times New Roman" w:hAnsi="Times New Roman" w:cs="Times New Roman"/>
          <w:sz w:val="24"/>
          <w:szCs w:val="24"/>
          <w:lang w:val="en-US"/>
        </w:rPr>
        <w:t>However, the AMPK phosphotransferase activity became significantly impaired after 24 h of a PA treatment (Figure 2E) while AMPK and AC</w:t>
      </w:r>
      <w:r w:rsidR="00FD42AC">
        <w:rPr>
          <w:rFonts w:ascii="Times New Roman" w:hAnsi="Times New Roman" w:cs="Times New Roman"/>
          <w:sz w:val="24"/>
          <w:szCs w:val="24"/>
          <w:lang w:val="en-US"/>
        </w:rPr>
        <w:t>A</w:t>
      </w:r>
      <w:r w:rsidR="002359C0" w:rsidRPr="00405F18">
        <w:rPr>
          <w:rFonts w:ascii="Times New Roman" w:hAnsi="Times New Roman" w:cs="Times New Roman"/>
          <w:sz w:val="24"/>
          <w:szCs w:val="24"/>
          <w:lang w:val="en-US"/>
        </w:rPr>
        <w:t xml:space="preserve">C </w:t>
      </w:r>
      <w:proofErr w:type="spellStart"/>
      <w:r w:rsidR="002359C0" w:rsidRPr="00405F18">
        <w:rPr>
          <w:rFonts w:ascii="Times New Roman" w:hAnsi="Times New Roman" w:cs="Times New Roman"/>
          <w:sz w:val="24"/>
          <w:szCs w:val="24"/>
          <w:lang w:val="en-US"/>
        </w:rPr>
        <w:t>phosphorylations</w:t>
      </w:r>
      <w:proofErr w:type="spellEnd"/>
      <w:r w:rsidR="002359C0" w:rsidRPr="00405F18">
        <w:rPr>
          <w:rFonts w:ascii="Times New Roman" w:hAnsi="Times New Roman" w:cs="Times New Roman"/>
          <w:sz w:val="24"/>
          <w:szCs w:val="24"/>
          <w:lang w:val="en-US"/>
        </w:rPr>
        <w:t xml:space="preserve"> were </w:t>
      </w:r>
      <w:r w:rsidR="00B85FC2" w:rsidRPr="00405F18">
        <w:rPr>
          <w:rFonts w:ascii="Times New Roman" w:hAnsi="Times New Roman" w:cs="Times New Roman"/>
          <w:sz w:val="24"/>
          <w:szCs w:val="24"/>
          <w:lang w:val="en-US"/>
        </w:rPr>
        <w:t>sligh</w:t>
      </w:r>
      <w:r w:rsidR="002C6C95" w:rsidRPr="00405F18">
        <w:rPr>
          <w:rFonts w:ascii="Times New Roman" w:hAnsi="Times New Roman" w:cs="Times New Roman"/>
          <w:sz w:val="24"/>
          <w:szCs w:val="24"/>
          <w:lang w:val="en-US"/>
        </w:rPr>
        <w:t>tly decreased</w:t>
      </w:r>
      <w:r w:rsidR="002359C0" w:rsidRPr="00405F18">
        <w:rPr>
          <w:rFonts w:ascii="Times New Roman" w:hAnsi="Times New Roman" w:cs="Times New Roman"/>
          <w:sz w:val="24"/>
          <w:szCs w:val="24"/>
          <w:lang w:val="en-US"/>
        </w:rPr>
        <w:t xml:space="preserve"> at that time </w:t>
      </w:r>
      <w:r w:rsidR="002C6C95" w:rsidRPr="00405F18">
        <w:rPr>
          <w:rFonts w:ascii="Times New Roman" w:hAnsi="Times New Roman" w:cs="Times New Roman"/>
          <w:sz w:val="24"/>
          <w:szCs w:val="24"/>
          <w:lang w:val="en-US"/>
        </w:rPr>
        <w:t xml:space="preserve">in PA-treated cells </w:t>
      </w:r>
      <w:r w:rsidR="002359C0" w:rsidRPr="00405F18">
        <w:rPr>
          <w:rFonts w:ascii="Times New Roman" w:hAnsi="Times New Roman" w:cs="Times New Roman"/>
          <w:sz w:val="24"/>
          <w:szCs w:val="24"/>
          <w:lang w:val="en-US"/>
        </w:rPr>
        <w:t>(Figure 2F-H).</w:t>
      </w:r>
      <w:r w:rsidR="00954622" w:rsidRPr="00405F18">
        <w:rPr>
          <w:rFonts w:ascii="Times New Roman" w:hAnsi="Times New Roman" w:cs="Times New Roman"/>
          <w:sz w:val="24"/>
          <w:szCs w:val="24"/>
          <w:lang w:val="en-US"/>
        </w:rPr>
        <w:t xml:space="preserve"> These results suggest</w:t>
      </w:r>
      <w:r w:rsidR="006C51FB" w:rsidRPr="00405F18">
        <w:rPr>
          <w:rFonts w:ascii="Times New Roman" w:hAnsi="Times New Roman" w:cs="Times New Roman"/>
          <w:sz w:val="24"/>
          <w:szCs w:val="24"/>
          <w:lang w:val="en-US"/>
        </w:rPr>
        <w:t>ed</w:t>
      </w:r>
      <w:r w:rsidR="00954622" w:rsidRPr="00405F18">
        <w:rPr>
          <w:rFonts w:ascii="Times New Roman" w:hAnsi="Times New Roman" w:cs="Times New Roman"/>
          <w:sz w:val="24"/>
          <w:szCs w:val="24"/>
          <w:lang w:val="en-US"/>
        </w:rPr>
        <w:t xml:space="preserve"> that </w:t>
      </w:r>
      <w:proofErr w:type="spellStart"/>
      <w:r w:rsidR="00954622" w:rsidRPr="00405F18">
        <w:rPr>
          <w:rFonts w:ascii="Times New Roman" w:hAnsi="Times New Roman" w:cs="Times New Roman"/>
          <w:sz w:val="24"/>
          <w:szCs w:val="24"/>
          <w:lang w:val="en-US"/>
        </w:rPr>
        <w:t>mPTECs</w:t>
      </w:r>
      <w:proofErr w:type="spellEnd"/>
      <w:r w:rsidR="00954622" w:rsidRPr="00405F18">
        <w:rPr>
          <w:rFonts w:ascii="Times New Roman" w:hAnsi="Times New Roman" w:cs="Times New Roman"/>
          <w:sz w:val="24"/>
          <w:szCs w:val="24"/>
          <w:lang w:val="en-US"/>
        </w:rPr>
        <w:t xml:space="preserve"> exhibit reduced AMPK activity and signaling when exposed to PA for an extended period.</w:t>
      </w:r>
      <w:r w:rsidR="002359C0" w:rsidRPr="00405F18">
        <w:rPr>
          <w:lang w:val="en-US"/>
        </w:rPr>
        <w:t xml:space="preserve"> </w:t>
      </w:r>
      <w:r w:rsidR="00EC0BA4" w:rsidRPr="00405F18">
        <w:rPr>
          <w:rFonts w:ascii="Times New Roman" w:hAnsi="Times New Roman" w:cs="Times New Roman"/>
          <w:sz w:val="24"/>
          <w:szCs w:val="24"/>
          <w:lang w:val="en-US"/>
        </w:rPr>
        <w:t xml:space="preserve">AMPK has an inhibitory action on </w:t>
      </w:r>
      <w:r w:rsidR="0026635C">
        <w:rPr>
          <w:rFonts w:ascii="Times New Roman" w:hAnsi="Times New Roman" w:cs="Times New Roman"/>
          <w:sz w:val="24"/>
          <w:szCs w:val="24"/>
          <w:lang w:val="en-US"/>
        </w:rPr>
        <w:t>M</w:t>
      </w:r>
      <w:r w:rsidR="00EC0BA4" w:rsidRPr="00405F18">
        <w:rPr>
          <w:rFonts w:ascii="Times New Roman" w:hAnsi="Times New Roman" w:cs="Times New Roman"/>
          <w:sz w:val="24"/>
          <w:szCs w:val="24"/>
          <w:lang w:val="en-US"/>
        </w:rPr>
        <w:t>TORC1 activity through phosphorylation of RAPTOR and tuberous sclerosis complex 2</w:t>
      </w:r>
      <w:r w:rsidR="00804F39">
        <w:rPr>
          <w:rFonts w:ascii="Times New Roman" w:hAnsi="Times New Roman" w:cs="Times New Roman"/>
          <w:sz w:val="24"/>
          <w:szCs w:val="24"/>
          <w:lang w:val="en-US"/>
        </w:rPr>
        <w:t xml:space="preserve"> [</w:t>
      </w:r>
      <w:r w:rsidR="00EC0BA4" w:rsidRPr="00804F39">
        <w:rPr>
          <w:rFonts w:ascii="Times New Roman" w:hAnsi="Times New Roman" w:cs="Times New Roman"/>
          <w:sz w:val="24"/>
          <w:szCs w:val="24"/>
          <w:lang w:val="en-US"/>
        </w:rPr>
        <w:fldChar w:fldCharType="begin" w:fldLock="1"/>
      </w:r>
      <w:r w:rsidR="00CE6742" w:rsidRPr="00804F39">
        <w:rPr>
          <w:rFonts w:ascii="Times New Roman" w:hAnsi="Times New Roman" w:cs="Times New Roman"/>
          <w:sz w:val="24"/>
          <w:szCs w:val="24"/>
          <w:lang w:val="en-US"/>
        </w:rPr>
        <w:instrText>ADDIN CSL_CITATION {"citationItems":[{"id":"ITEM-1","itemData":{"DOI":"10.1016/j.cmet.2020.01.015","ISSN":"19327420","PMID":"32130880","abstract":"The AMPK (AMP-activated protein kinase) and TOR (target-of-rapamycin) pathways are interlinked, opposing signaling pathways involved in sensing availability of nutrients and energy and regulation of cell growth. AMPK (Yin, or the “dark side”) is switched on by lack of energy or nutrients and inhibits cell growth, while TOR (Yang, or the “bright side”) is switched on by nutrient availability and promotes cell growth. Genes encoding the AMPK and TOR complexes are found in almost all eukaryotes, suggesting that these pathways arose very early during eukaryotic evolution. During the development of multicellularity, an additional tier of cell-extrinsic growth control arose that is mediated by growth factors, but these often act by modulating nutrient uptake so that AMPK and TOR remain the underlying regulators of cellular growth control. In this review, we discuss the evolution, structure, and regulation of the AMPK and TOR pathways and the complex mechanisms by which they interact.","author":[{"dropping-particle":"","family":"González","given":"Asier","non-dropping-particle":"","parse-names":false,"suffix":""},{"dropping-particle":"","family":"Hall","given":"Michael N.","non-dropping-particle":"","parse-names":false,"suffix":""},{"dropping-particle":"","family":"Lin","given":"Sheng Cai","non-dropping-particle":"","parse-names":false,"suffix":""},{"dropping-particle":"","family":"Hardie","given":"D. Grahame","non-dropping-particle":"","parse-names":false,"suffix":""}],"container-title":"Cell Metabolism","id":"ITEM-1","issue":"3","issued":{"date-parts":[["2020"]]},"page":"472-492","title":"AMPK and TOR: The Yin and Yang of Cellular Nutrient Sensing and Growth Control","type":"article-journal","volume":"31"},"uris":["http://www.mendeley.com/documents/?uuid=6e8d8413-1103-4e70-a898-6566671e7d18"]}],"mendeley":{"formattedCitation":"&lt;sup&gt;34&lt;/sup&gt;","plainTextFormattedCitation":"34","previouslyFormattedCitation":"&lt;sup&gt;34&lt;/sup&gt;"},"properties":{"noteIndex":0},"schema":"https://github.com/citation-style-language/schema/raw/master/csl-citation.json"}</w:instrText>
      </w:r>
      <w:r w:rsidR="00EC0BA4" w:rsidRPr="00804F39">
        <w:rPr>
          <w:rFonts w:ascii="Times New Roman" w:hAnsi="Times New Roman" w:cs="Times New Roman"/>
          <w:sz w:val="24"/>
          <w:szCs w:val="24"/>
          <w:lang w:val="en-US"/>
        </w:rPr>
        <w:fldChar w:fldCharType="separate"/>
      </w:r>
      <w:r w:rsidR="00AD5D76" w:rsidRPr="00804F39">
        <w:rPr>
          <w:rFonts w:ascii="Times New Roman" w:hAnsi="Times New Roman" w:cs="Times New Roman"/>
          <w:noProof/>
          <w:sz w:val="24"/>
          <w:szCs w:val="24"/>
          <w:lang w:val="en-US"/>
        </w:rPr>
        <w:t>34</w:t>
      </w:r>
      <w:r w:rsidR="00EC0BA4"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00EC0BA4" w:rsidRPr="00405F18">
        <w:rPr>
          <w:rFonts w:ascii="Times New Roman" w:hAnsi="Times New Roman" w:cs="Times New Roman"/>
          <w:sz w:val="24"/>
          <w:szCs w:val="24"/>
          <w:lang w:val="en-US"/>
        </w:rPr>
        <w:t xml:space="preserve">. We thus analyzed </w:t>
      </w:r>
      <w:r w:rsidR="003F4FA7">
        <w:rPr>
          <w:rFonts w:ascii="Times New Roman" w:hAnsi="Times New Roman" w:cs="Times New Roman"/>
          <w:sz w:val="24"/>
          <w:szCs w:val="24"/>
          <w:lang w:val="en-US"/>
        </w:rPr>
        <w:t>M</w:t>
      </w:r>
      <w:r w:rsidR="00EC0BA4" w:rsidRPr="00405F18">
        <w:rPr>
          <w:rFonts w:ascii="Times New Roman" w:hAnsi="Times New Roman" w:cs="Times New Roman"/>
          <w:sz w:val="24"/>
          <w:szCs w:val="24"/>
          <w:lang w:val="en-US"/>
        </w:rPr>
        <w:t xml:space="preserve">TORC1 activity by </w:t>
      </w:r>
      <w:r w:rsidR="00EC0BA4" w:rsidRPr="00405F18">
        <w:rPr>
          <w:rFonts w:ascii="Times New Roman" w:hAnsi="Times New Roman" w:cs="Times New Roman"/>
          <w:sz w:val="24"/>
          <w:szCs w:val="24"/>
          <w:lang w:val="en-US"/>
        </w:rPr>
        <w:lastRenderedPageBreak/>
        <w:t>assessing the phosphorylation of substrates such as</w:t>
      </w:r>
      <w:r w:rsidR="0026635C">
        <w:rPr>
          <w:rFonts w:ascii="Times New Roman" w:hAnsi="Times New Roman" w:cs="Times New Roman"/>
          <w:sz w:val="24"/>
          <w:szCs w:val="24"/>
          <w:lang w:val="en-US"/>
        </w:rPr>
        <w:t xml:space="preserve"> EIF4EBP1</w:t>
      </w:r>
      <w:r w:rsidR="00EC0BA4" w:rsidRPr="00405F18">
        <w:rPr>
          <w:rFonts w:ascii="Times New Roman" w:hAnsi="Times New Roman" w:cs="Times New Roman"/>
          <w:sz w:val="24"/>
          <w:szCs w:val="24"/>
          <w:lang w:val="en-US"/>
        </w:rPr>
        <w:t xml:space="preserve"> </w:t>
      </w:r>
      <w:r w:rsidR="0026635C">
        <w:rPr>
          <w:rFonts w:ascii="Times New Roman" w:hAnsi="Times New Roman" w:cs="Times New Roman"/>
          <w:sz w:val="24"/>
          <w:szCs w:val="24"/>
          <w:lang w:val="en-US"/>
        </w:rPr>
        <w:t xml:space="preserve">(eukaryotic translation initiation factor </w:t>
      </w:r>
      <w:r w:rsidR="00EC0BA4" w:rsidRPr="00405F18">
        <w:rPr>
          <w:rFonts w:ascii="Times New Roman" w:hAnsi="Times New Roman" w:cs="Times New Roman"/>
          <w:sz w:val="24"/>
          <w:szCs w:val="24"/>
          <w:lang w:val="en-US"/>
        </w:rPr>
        <w:t>4E</w:t>
      </w:r>
      <w:r w:rsidR="0026635C">
        <w:rPr>
          <w:rFonts w:ascii="Times New Roman" w:hAnsi="Times New Roman" w:cs="Times New Roman"/>
          <w:sz w:val="24"/>
          <w:szCs w:val="24"/>
          <w:lang w:val="en-US"/>
        </w:rPr>
        <w:t xml:space="preserve"> </w:t>
      </w:r>
      <w:r w:rsidR="00EC0BA4" w:rsidRPr="00405F18">
        <w:rPr>
          <w:rFonts w:ascii="Times New Roman" w:hAnsi="Times New Roman" w:cs="Times New Roman"/>
          <w:sz w:val="24"/>
          <w:szCs w:val="24"/>
          <w:lang w:val="en-US"/>
        </w:rPr>
        <w:t xml:space="preserve">binding protein 1) on Thr37/46 and </w:t>
      </w:r>
      <w:r w:rsidR="0026635C">
        <w:rPr>
          <w:rFonts w:ascii="Times New Roman" w:hAnsi="Times New Roman" w:cs="Times New Roman"/>
          <w:sz w:val="24"/>
          <w:szCs w:val="24"/>
          <w:lang w:val="en-US"/>
        </w:rPr>
        <w:t>RPS6KB</w:t>
      </w:r>
      <w:r w:rsidR="00EC0BA4" w:rsidRPr="00405F18">
        <w:rPr>
          <w:rFonts w:ascii="Times New Roman" w:hAnsi="Times New Roman" w:cs="Times New Roman"/>
          <w:sz w:val="24"/>
          <w:szCs w:val="24"/>
          <w:lang w:val="en-US"/>
        </w:rPr>
        <w:t xml:space="preserve"> </w:t>
      </w:r>
      <w:r w:rsidR="0026635C">
        <w:rPr>
          <w:rFonts w:ascii="Times New Roman" w:hAnsi="Times New Roman" w:cs="Times New Roman"/>
          <w:sz w:val="24"/>
          <w:szCs w:val="24"/>
          <w:lang w:val="en-US"/>
        </w:rPr>
        <w:t>(</w:t>
      </w:r>
      <w:r w:rsidR="00EC0BA4" w:rsidRPr="00405F18">
        <w:rPr>
          <w:rFonts w:ascii="Times New Roman" w:hAnsi="Times New Roman" w:cs="Times New Roman"/>
          <w:sz w:val="24"/>
          <w:szCs w:val="24"/>
          <w:lang w:val="en-US"/>
        </w:rPr>
        <w:t xml:space="preserve">ribosomal protein S6 kinase </w:t>
      </w:r>
      <w:r w:rsidR="0026635C">
        <w:rPr>
          <w:rFonts w:ascii="Times New Roman" w:hAnsi="Times New Roman" w:cs="Times New Roman"/>
          <w:sz w:val="24"/>
          <w:szCs w:val="24"/>
          <w:lang w:val="en-US"/>
        </w:rPr>
        <w:t>B</w:t>
      </w:r>
      <w:r w:rsidR="00EC0BA4" w:rsidRPr="00405F18">
        <w:rPr>
          <w:rFonts w:ascii="Times New Roman" w:hAnsi="Times New Roman" w:cs="Times New Roman"/>
          <w:sz w:val="24"/>
          <w:szCs w:val="24"/>
          <w:lang w:val="en-US"/>
        </w:rPr>
        <w:t xml:space="preserve">) on Thr389. The phosphorylation states of these two proteins were significantly increased in PA-treated cells for 24 h (Figure S3). These data indicate that 24 h of PA-treatment impairs AMPK activity which is concomitant with elevated </w:t>
      </w:r>
      <w:r w:rsidR="00344A78">
        <w:rPr>
          <w:rFonts w:ascii="Times New Roman" w:hAnsi="Times New Roman" w:cs="Times New Roman"/>
          <w:sz w:val="24"/>
          <w:szCs w:val="24"/>
          <w:lang w:val="en-US"/>
        </w:rPr>
        <w:t>M</w:t>
      </w:r>
      <w:r w:rsidR="00EC0BA4" w:rsidRPr="00405F18">
        <w:rPr>
          <w:rFonts w:ascii="Times New Roman" w:hAnsi="Times New Roman" w:cs="Times New Roman"/>
          <w:sz w:val="24"/>
          <w:szCs w:val="24"/>
          <w:lang w:val="en-US"/>
        </w:rPr>
        <w:t>TORC1 activity in</w:t>
      </w:r>
      <w:r w:rsidR="00CC5768">
        <w:rPr>
          <w:rFonts w:ascii="Times New Roman" w:hAnsi="Times New Roman" w:cs="Times New Roman"/>
          <w:sz w:val="24"/>
          <w:szCs w:val="24"/>
          <w:lang w:val="en-US"/>
        </w:rPr>
        <w:t xml:space="preserve"> </w:t>
      </w:r>
      <w:proofErr w:type="spellStart"/>
      <w:r w:rsidR="00CC5768">
        <w:rPr>
          <w:rFonts w:ascii="Times New Roman" w:hAnsi="Times New Roman" w:cs="Times New Roman"/>
          <w:sz w:val="24"/>
          <w:szCs w:val="24"/>
          <w:lang w:val="en-US"/>
        </w:rPr>
        <w:t>M</w:t>
      </w:r>
      <w:r w:rsidR="00EC0BA4" w:rsidRPr="00405F18">
        <w:rPr>
          <w:rFonts w:ascii="Times New Roman" w:hAnsi="Times New Roman" w:cs="Times New Roman"/>
          <w:sz w:val="24"/>
          <w:szCs w:val="24"/>
          <w:lang w:val="en-US"/>
        </w:rPr>
        <w:t>mPTECs</w:t>
      </w:r>
      <w:proofErr w:type="spellEnd"/>
      <w:r w:rsidR="00EC0BA4" w:rsidRPr="00405F18">
        <w:rPr>
          <w:rFonts w:ascii="Times New Roman" w:hAnsi="Times New Roman" w:cs="Times New Roman"/>
          <w:sz w:val="24"/>
          <w:szCs w:val="24"/>
          <w:lang w:val="en-US"/>
        </w:rPr>
        <w:t>.</w:t>
      </w:r>
    </w:p>
    <w:p w14:paraId="7C300637" w14:textId="6A262083" w:rsidR="00605472" w:rsidRPr="00405F18" w:rsidRDefault="00605472" w:rsidP="00804F39">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Once activated, AMPK promotes autophagy by acting at multiple steps of the flux, from initiation to fusion between autophagosomes and lysosomes</w:t>
      </w:r>
      <w:r w:rsidR="00804F39">
        <w:rPr>
          <w:rFonts w:ascii="Times New Roman" w:hAnsi="Times New Roman" w:cs="Times New Roman"/>
          <w:sz w:val="24"/>
          <w:szCs w:val="24"/>
          <w:lang w:val="en-US"/>
        </w:rPr>
        <w:t xml:space="preserve"> [</w:t>
      </w:r>
      <w:r w:rsidRPr="00804F39">
        <w:rPr>
          <w:rFonts w:ascii="Times New Roman" w:hAnsi="Times New Roman" w:cs="Times New Roman"/>
          <w:sz w:val="24"/>
          <w:szCs w:val="24"/>
          <w:lang w:val="en-US"/>
        </w:rPr>
        <w:fldChar w:fldCharType="begin" w:fldLock="1"/>
      </w:r>
      <w:r w:rsidR="00CE6742" w:rsidRPr="00804F39">
        <w:rPr>
          <w:rFonts w:ascii="Times New Roman" w:hAnsi="Times New Roman" w:cs="Times New Roman"/>
          <w:sz w:val="24"/>
          <w:szCs w:val="24"/>
          <w:lang w:val="en-US"/>
        </w:rPr>
        <w:instrText>ADDIN CSL_CITATION {"citationItems":[{"id":"ITEM-1","itemData":{"DOI":"10.1038/s41598-018-30977-7","ISSN":"20452322","PMID":"30140075","abstract":"AMP-activated protein kinase (AMPK) regulates autophagy initiation when intracellular ATP level decreases. However, the role of AMPK during autophagosome maturation is not fully understood. Here, we report that AMPK contributes to efficient autophagosome maturation and lysosomal fusion. Using CRISPR-Cas9 gene editing, we generated AMPK α1 knockout HEK293T cell lines, in which starvation-induced autophagy is impaired. Compound C, an AMPK-independent autophagy inducer, and trehalose, an mTOR-independent autophagy inducer were used to examine the role of AMPK in autophagosome maturation and lysosomal fusion. While the treatment of control cells with either compound C or trehalose induces activation of autophagosomes as well as autolysosomes, the treatment of AMPK α1 knockout cells with compound C or trehalose induces mainly activation of autophagosomes, but not autolysosomes. We demonstrate that this effect is due to interference with the fusion of autophagosomes with lysosomes in AMPK α1 knockout cells. The transient expression of AMPK α1 can rescue autophagosome maturation. These results indicate that AMPK α1 is required for efficient autophagosome maturation and lysosomal fusion.","author":[{"dropping-particle":"","family":"Jang","given":"Minsu","non-dropping-particle":"","parse-names":false,"suffix":""},{"dropping-particle":"","family":"Park","given":"Rackhyun","non-dropping-particle":"","parse-names":false,"suffix":""},{"dropping-particle":"","family":"Kim","given":"Hyunju","non-dropping-particle":"","parse-names":false,"suffix":""},{"dropping-particle":"","family":"Namkoong","given":"Sim","non-dropping-particle":"","parse-names":false,"suffix":""},{"dropping-particle":"","family":"Jo","given":"Daum","non-dropping-particle":"","parse-names":false,"suffix":""},{"dropping-particle":"","family":"Huh","given":"Yang Hoon","non-dropping-particle":"","parse-names":false,"suffix":""},{"dropping-particle":"","family":"Jang","given":"Ik Soon","non-dropping-particle":"","parse-names":false,"suffix":""},{"dropping-particle":"","family":"Lee","given":"Jin I.","non-dropping-particle":"","parse-names":false,"suffix":""},{"dropping-particle":"","family":"Park","given":"Junsoo","non-dropping-particle":"","parse-names":false,"suffix":""}],"container-title":"Scientific Reports","id":"ITEM-1","issue":"1","issued":{"date-parts":[["2018"]]},"page":"1-10","publisher":"Springer US","title":"AMPK contributes to autophagosome maturation and lysosomal fusion","type":"article-journal","volume":"8"},"uris":["http://www.mendeley.com/documents/?uuid=3f0654f2-70c7-48e2-85db-5d777bd8bd02"]}],"mendeley":{"formattedCitation":"&lt;sup&gt;35&lt;/sup&gt;","plainTextFormattedCitation":"35","previouslyFormattedCitation":"&lt;sup&gt;35&lt;/sup&gt;"},"properties":{"noteIndex":0},"schema":"https://github.com/citation-style-language/schema/raw/master/csl-citation.json"}</w:instrText>
      </w:r>
      <w:r w:rsidRPr="00804F39">
        <w:rPr>
          <w:rFonts w:ascii="Times New Roman" w:hAnsi="Times New Roman" w:cs="Times New Roman"/>
          <w:sz w:val="24"/>
          <w:szCs w:val="24"/>
          <w:lang w:val="en-US"/>
        </w:rPr>
        <w:fldChar w:fldCharType="separate"/>
      </w:r>
      <w:r w:rsidR="00AD5D76" w:rsidRPr="00804F39">
        <w:rPr>
          <w:rFonts w:ascii="Times New Roman" w:hAnsi="Times New Roman" w:cs="Times New Roman"/>
          <w:noProof/>
          <w:sz w:val="24"/>
          <w:szCs w:val="24"/>
          <w:lang w:val="en-US"/>
        </w:rPr>
        <w:t>35</w:t>
      </w:r>
      <w:r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Pr="00405F18">
        <w:rPr>
          <w:rFonts w:ascii="Times New Roman" w:hAnsi="Times New Roman" w:cs="Times New Roman"/>
          <w:sz w:val="24"/>
          <w:szCs w:val="24"/>
          <w:lang w:val="en-US"/>
        </w:rPr>
        <w:t>.</w:t>
      </w:r>
      <w:r w:rsidR="0052529B" w:rsidRPr="00405F18">
        <w:rPr>
          <w:rFonts w:ascii="Times New Roman" w:hAnsi="Times New Roman" w:cs="Times New Roman"/>
          <w:sz w:val="24"/>
          <w:szCs w:val="24"/>
          <w:lang w:val="en-US"/>
        </w:rPr>
        <w:t xml:space="preserve"> </w:t>
      </w:r>
      <w:r w:rsidR="0051564C" w:rsidRPr="00405F18">
        <w:rPr>
          <w:rFonts w:ascii="Times New Roman" w:hAnsi="Times New Roman" w:cs="Times New Roman"/>
          <w:sz w:val="24"/>
          <w:szCs w:val="24"/>
          <w:lang w:val="en-US"/>
        </w:rPr>
        <w:t>Th</w:t>
      </w:r>
      <w:r w:rsidR="002042C8" w:rsidRPr="00405F18">
        <w:rPr>
          <w:rFonts w:ascii="Times New Roman" w:hAnsi="Times New Roman" w:cs="Times New Roman"/>
          <w:sz w:val="24"/>
          <w:szCs w:val="24"/>
          <w:lang w:val="en-US"/>
        </w:rPr>
        <w:t>erefore</w:t>
      </w:r>
      <w:r w:rsidR="0051564C" w:rsidRPr="00405F18">
        <w:rPr>
          <w:rFonts w:ascii="Times New Roman" w:hAnsi="Times New Roman" w:cs="Times New Roman"/>
          <w:sz w:val="24"/>
          <w:szCs w:val="24"/>
          <w:lang w:val="en-US"/>
        </w:rPr>
        <w:t>, its in</w:t>
      </w:r>
      <w:r w:rsidR="00E518C8" w:rsidRPr="00405F18">
        <w:rPr>
          <w:rFonts w:ascii="Times New Roman" w:hAnsi="Times New Roman" w:cs="Times New Roman"/>
          <w:sz w:val="24"/>
          <w:szCs w:val="24"/>
          <w:lang w:val="en-US"/>
        </w:rPr>
        <w:t>hibition</w:t>
      </w:r>
      <w:r w:rsidR="0051564C" w:rsidRPr="00405F18">
        <w:rPr>
          <w:rFonts w:ascii="Times New Roman" w:hAnsi="Times New Roman" w:cs="Times New Roman"/>
          <w:sz w:val="24"/>
          <w:szCs w:val="24"/>
          <w:lang w:val="en-US"/>
        </w:rPr>
        <w:t xml:space="preserve"> in PA-treated</w:t>
      </w:r>
      <w:r w:rsidR="00E40397" w:rsidRPr="00405F18">
        <w:rPr>
          <w:rFonts w:ascii="Times New Roman" w:hAnsi="Times New Roman" w:cs="Times New Roman"/>
          <w:sz w:val="24"/>
          <w:szCs w:val="24"/>
          <w:lang w:val="en-US"/>
        </w:rPr>
        <w:t xml:space="preserve"> </w:t>
      </w:r>
      <w:proofErr w:type="spellStart"/>
      <w:r w:rsidR="00CC5768">
        <w:rPr>
          <w:rFonts w:ascii="Times New Roman" w:hAnsi="Times New Roman" w:cs="Times New Roman"/>
          <w:sz w:val="24"/>
          <w:szCs w:val="24"/>
          <w:lang w:val="en-US"/>
        </w:rPr>
        <w:t>M</w:t>
      </w:r>
      <w:r w:rsidR="00E40397" w:rsidRPr="00405F18">
        <w:rPr>
          <w:rFonts w:ascii="Times New Roman" w:hAnsi="Times New Roman" w:cs="Times New Roman"/>
          <w:sz w:val="24"/>
          <w:szCs w:val="24"/>
          <w:lang w:val="en-US"/>
        </w:rPr>
        <w:t>mPTECs</w:t>
      </w:r>
      <w:proofErr w:type="spellEnd"/>
      <w:r w:rsidR="00F95CA6" w:rsidRPr="00405F18">
        <w:rPr>
          <w:rFonts w:ascii="Times New Roman" w:hAnsi="Times New Roman" w:cs="Times New Roman"/>
          <w:sz w:val="24"/>
          <w:szCs w:val="24"/>
          <w:lang w:val="en-US"/>
        </w:rPr>
        <w:t xml:space="preserve"> could contribute to the autophagosome accumulation </w:t>
      </w:r>
      <w:r w:rsidR="00DF0811" w:rsidRPr="00405F18">
        <w:rPr>
          <w:rFonts w:ascii="Times New Roman" w:hAnsi="Times New Roman" w:cs="Times New Roman"/>
          <w:sz w:val="24"/>
          <w:szCs w:val="24"/>
          <w:lang w:val="en-US"/>
        </w:rPr>
        <w:t>observed</w:t>
      </w:r>
      <w:r w:rsidR="00F95CA6" w:rsidRPr="00405F18">
        <w:rPr>
          <w:rFonts w:ascii="Times New Roman" w:hAnsi="Times New Roman" w:cs="Times New Roman"/>
          <w:sz w:val="24"/>
          <w:szCs w:val="24"/>
          <w:lang w:val="en-US"/>
        </w:rPr>
        <w:t xml:space="preserve"> in these cells. To test this hypothesis, </w:t>
      </w:r>
      <w:r w:rsidR="002042C8" w:rsidRPr="00405F18">
        <w:rPr>
          <w:rFonts w:ascii="Times New Roman" w:hAnsi="Times New Roman" w:cs="Times New Roman"/>
          <w:sz w:val="24"/>
          <w:szCs w:val="24"/>
          <w:lang w:val="en-US"/>
        </w:rPr>
        <w:t xml:space="preserve">we </w:t>
      </w:r>
      <w:r w:rsidR="00F95CA6" w:rsidRPr="00405F18">
        <w:rPr>
          <w:rFonts w:ascii="Times New Roman" w:hAnsi="Times New Roman" w:cs="Times New Roman"/>
          <w:sz w:val="24"/>
          <w:szCs w:val="24"/>
          <w:lang w:val="en-US"/>
        </w:rPr>
        <w:t>used</w:t>
      </w:r>
      <w:r w:rsidRPr="00405F18">
        <w:rPr>
          <w:rFonts w:ascii="Times New Roman" w:hAnsi="Times New Roman" w:cs="Times New Roman"/>
          <w:sz w:val="24"/>
          <w:szCs w:val="24"/>
          <w:lang w:val="en-US"/>
        </w:rPr>
        <w:t xml:space="preserve"> </w:t>
      </w:r>
      <w:r w:rsidR="00CB127F" w:rsidRPr="00405F18">
        <w:rPr>
          <w:rFonts w:ascii="Times New Roman" w:hAnsi="Times New Roman" w:cs="Times New Roman"/>
          <w:sz w:val="24"/>
          <w:szCs w:val="24"/>
          <w:lang w:val="en-US"/>
        </w:rPr>
        <w:t>two pharmacological AMPK activators</w:t>
      </w:r>
      <w:r w:rsidR="006D1E2D" w:rsidRPr="00405F18">
        <w:rPr>
          <w:rFonts w:ascii="Times New Roman" w:hAnsi="Times New Roman" w:cs="Times New Roman"/>
          <w:sz w:val="24"/>
          <w:szCs w:val="24"/>
          <w:lang w:val="en-US"/>
        </w:rPr>
        <w:t xml:space="preserve">, </w:t>
      </w:r>
      <w:r w:rsidR="00FE74E8" w:rsidRPr="00405F18">
        <w:rPr>
          <w:rFonts w:ascii="Times New Roman" w:hAnsi="Times New Roman" w:cs="Times New Roman"/>
          <w:sz w:val="24"/>
          <w:szCs w:val="24"/>
          <w:lang w:val="en-US"/>
        </w:rPr>
        <w:t>A769662 and AICAR</w:t>
      </w:r>
      <w:r w:rsidR="00804F39">
        <w:rPr>
          <w:rFonts w:ascii="Times New Roman" w:hAnsi="Times New Roman" w:cs="Times New Roman"/>
          <w:sz w:val="24"/>
          <w:szCs w:val="24"/>
          <w:lang w:val="en-US"/>
        </w:rPr>
        <w:t xml:space="preserve"> [</w:t>
      </w:r>
      <w:r w:rsidR="00FE74E8" w:rsidRPr="00804F39">
        <w:rPr>
          <w:rFonts w:ascii="Times New Roman" w:hAnsi="Times New Roman" w:cs="Times New Roman"/>
          <w:sz w:val="24"/>
          <w:szCs w:val="24"/>
          <w:lang w:val="en-US"/>
        </w:rPr>
        <w:fldChar w:fldCharType="begin" w:fldLock="1"/>
      </w:r>
      <w:r w:rsidR="00CE6742" w:rsidRPr="00804F39">
        <w:rPr>
          <w:rFonts w:ascii="Times New Roman" w:hAnsi="Times New Roman" w:cs="Times New Roman"/>
          <w:sz w:val="24"/>
          <w:szCs w:val="24"/>
          <w:lang w:val="en-US"/>
        </w:rPr>
        <w:instrText>ADDIN CSL_CITATION {"citationItems":[{"id":"ITEM-1","itemData":{"DOI":"10.1152/ajpendo.00672.2013","ISSN":"15221555","PMID":"24425763","abstract":"AMP-activated protein kinase (AMPK) is a key cellular energy sensor and regulator of metabolic homeostasis. Activation of AMPK provides beneficial outcomes in fighting against metabolic disorders such as insulin resistance and type 2 diabetes. Currently, there is no allosteric AMPK activator available for the treatment of metabolic diseases, and limited compounds are available to robustly stimulate cellular/tissue AMPK in a specific manner. Here we investigated whether simultaneous administration of two different pharmacological AMPK activators, which bind and act on different sites, would result in an additive or synergistic effect on AMPK and its downstream signaling and physiological events in intact cells. We observed that cotreating primary hepatocytes with the AMP mimetic 5-aminoimidazole-4-carboxamide-1-β-D-ribofuranoside (AICAR) and a low dose (1 μM) of the allosteric activator A769662 produced a synergistic effect on AMPK Thr172 phosphorylation and catalytic activity, which was associated with a more profound increase/decrease in phosphorylation of downstream AMPK targets and inhibition of hepatic lipogenesis compared with single-compound treatment. Mechanistically, we found that cotreatment does not stimulate LKB1, upstream kinase for AMPK, but it protects against dephosphorylation of Thr172 phosphorylation by protein phosphatase PP2Cα in an additive manner in a cell-free assay. Collectively, we demonstrate that AICAR sensitizes the effect of A769662 and promotes AMPK activity and its downstream events. The study demonstrates the feasibility of promoting AMPK activity by using two activators with distinct modes of action in order to achieve a greater activation of AMPK and downstream signaling. © 2014 the American Physiological Society.","author":[{"dropping-particle":"","family":"Ducommun","given":"Serge","non-dropping-particle":"","parse-names":false,"suffix":""},{"dropping-particle":"","family":"Ford","given":"Rebecca J.","non-dropping-particle":"","parse-names":false,"suffix":""},{"dropping-particle":"","family":"Bultot","given":"Laurent","non-dropping-particle":"","parse-names":false,"suffix":""},{"dropping-particle":"","family":"Deak","given":"Maria","non-dropping-particle":"","parse-names":false,"suffix":""},{"dropping-particle":"","family":"Bertrand","given":"Luc","non-dropping-particle":"","parse-names":false,"suffix":""},{"dropping-particle":"","family":"Kemp","given":"Bruce E.","non-dropping-particle":"","parse-names":false,"suffix":""},{"dropping-particle":"","family":"Steinberg","given":"Gregory R.","non-dropping-particle":"","parse-names":false,"suffix":""},{"dropping-particle":"","family":"Sakamoto","given":"Kei","non-dropping-particle":"","parse-names":false,"suffix":""}],"container-title":"American Journal of Physiology - Endocrinology and Metabolism","id":"ITEM-1","issue":"6","issued":{"date-parts":[["2014"]]},"page":"688-696","title":"Enhanced activation of cellular AMPK by dual-small molecule treatment: AICAR and A769662","type":"article-journal","volume":"306"},"uris":["http://www.mendeley.com/documents/?uuid=fa85a679-80b4-4a50-96d9-7a42f9e3feca"]}],"mendeley":{"formattedCitation":"&lt;sup&gt;36&lt;/sup&gt;","plainTextFormattedCitation":"36","previouslyFormattedCitation":"&lt;sup&gt;36&lt;/sup&gt;"},"properties":{"noteIndex":0},"schema":"https://github.com/citation-style-language/schema/raw/master/csl-citation.json"}</w:instrText>
      </w:r>
      <w:r w:rsidR="00FE74E8" w:rsidRPr="00804F39">
        <w:rPr>
          <w:rFonts w:ascii="Times New Roman" w:hAnsi="Times New Roman" w:cs="Times New Roman"/>
          <w:sz w:val="24"/>
          <w:szCs w:val="24"/>
          <w:lang w:val="en-US"/>
        </w:rPr>
        <w:fldChar w:fldCharType="separate"/>
      </w:r>
      <w:r w:rsidR="00AD5D76" w:rsidRPr="00804F39">
        <w:rPr>
          <w:rFonts w:ascii="Times New Roman" w:hAnsi="Times New Roman" w:cs="Times New Roman"/>
          <w:noProof/>
          <w:sz w:val="24"/>
          <w:szCs w:val="24"/>
          <w:lang w:val="en-US"/>
        </w:rPr>
        <w:t>36</w:t>
      </w:r>
      <w:r w:rsidR="00FE74E8"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000B6B97" w:rsidRPr="00405F18">
        <w:rPr>
          <w:rFonts w:ascii="Times New Roman" w:hAnsi="Times New Roman" w:cs="Times New Roman"/>
          <w:sz w:val="24"/>
          <w:szCs w:val="24"/>
          <w:lang w:val="en-US"/>
        </w:rPr>
        <w:t xml:space="preserve">. </w:t>
      </w:r>
      <w:r w:rsidR="00AB32CE" w:rsidRPr="00405F18">
        <w:rPr>
          <w:rFonts w:ascii="Times New Roman" w:hAnsi="Times New Roman" w:cs="Times New Roman"/>
          <w:sz w:val="24"/>
          <w:szCs w:val="24"/>
          <w:lang w:val="en-US"/>
        </w:rPr>
        <w:t xml:space="preserve">We first validated their </w:t>
      </w:r>
      <w:r w:rsidR="00DB7176" w:rsidRPr="00405F18">
        <w:rPr>
          <w:rFonts w:ascii="Times New Roman" w:hAnsi="Times New Roman" w:cs="Times New Roman"/>
          <w:sz w:val="24"/>
          <w:szCs w:val="24"/>
          <w:lang w:val="en-US"/>
        </w:rPr>
        <w:t>effect</w:t>
      </w:r>
      <w:r w:rsidR="00AB32CE" w:rsidRPr="00405F18">
        <w:rPr>
          <w:rFonts w:ascii="Times New Roman" w:hAnsi="Times New Roman" w:cs="Times New Roman"/>
          <w:sz w:val="24"/>
          <w:szCs w:val="24"/>
          <w:lang w:val="en-US"/>
        </w:rPr>
        <w:t xml:space="preserve"> on </w:t>
      </w:r>
      <w:r w:rsidR="00262A26" w:rsidRPr="00405F18">
        <w:rPr>
          <w:rFonts w:ascii="Times New Roman" w:hAnsi="Times New Roman" w:cs="Times New Roman"/>
          <w:sz w:val="24"/>
          <w:szCs w:val="24"/>
          <w:lang w:val="en-US"/>
        </w:rPr>
        <w:t>AMPK activity</w:t>
      </w:r>
      <w:r w:rsidR="006501F1" w:rsidRPr="00405F18">
        <w:rPr>
          <w:rFonts w:ascii="Times New Roman" w:hAnsi="Times New Roman" w:cs="Times New Roman"/>
          <w:sz w:val="24"/>
          <w:szCs w:val="24"/>
          <w:lang w:val="en-US"/>
        </w:rPr>
        <w:t xml:space="preserve"> and the</w:t>
      </w:r>
      <w:r w:rsidR="00213F94" w:rsidRPr="00405F18">
        <w:rPr>
          <w:rFonts w:ascii="Times New Roman" w:hAnsi="Times New Roman" w:cs="Times New Roman"/>
          <w:sz w:val="24"/>
          <w:szCs w:val="24"/>
          <w:lang w:val="en-US"/>
        </w:rPr>
        <w:t xml:space="preserve"> </w:t>
      </w:r>
      <w:r w:rsidR="00262A26" w:rsidRPr="00405F18">
        <w:rPr>
          <w:rFonts w:ascii="Times New Roman" w:hAnsi="Times New Roman" w:cs="Times New Roman"/>
          <w:sz w:val="24"/>
          <w:szCs w:val="24"/>
          <w:lang w:val="en-US"/>
        </w:rPr>
        <w:t xml:space="preserve">phosphorylation </w:t>
      </w:r>
      <w:r w:rsidR="006501F1" w:rsidRPr="00405F18">
        <w:rPr>
          <w:rFonts w:ascii="Times New Roman" w:hAnsi="Times New Roman" w:cs="Times New Roman"/>
          <w:sz w:val="24"/>
          <w:szCs w:val="24"/>
          <w:lang w:val="en-US"/>
        </w:rPr>
        <w:t>of AMPK and its target AC</w:t>
      </w:r>
      <w:r w:rsidR="00FD42AC">
        <w:rPr>
          <w:rFonts w:ascii="Times New Roman" w:hAnsi="Times New Roman" w:cs="Times New Roman"/>
          <w:sz w:val="24"/>
          <w:szCs w:val="24"/>
          <w:lang w:val="en-US"/>
        </w:rPr>
        <w:t>A</w:t>
      </w:r>
      <w:r w:rsidR="006501F1" w:rsidRPr="00405F18">
        <w:rPr>
          <w:rFonts w:ascii="Times New Roman" w:hAnsi="Times New Roman" w:cs="Times New Roman"/>
          <w:sz w:val="24"/>
          <w:szCs w:val="24"/>
          <w:lang w:val="en-US"/>
        </w:rPr>
        <w:t>C</w:t>
      </w:r>
      <w:r w:rsidR="00262A26" w:rsidRPr="00405F18">
        <w:rPr>
          <w:rFonts w:ascii="Times New Roman" w:hAnsi="Times New Roman" w:cs="Times New Roman"/>
          <w:sz w:val="24"/>
          <w:szCs w:val="24"/>
          <w:lang w:val="en-US"/>
        </w:rPr>
        <w:t>.</w:t>
      </w:r>
      <w:r w:rsidR="00604E7C" w:rsidRPr="00405F18">
        <w:rPr>
          <w:rFonts w:ascii="Times New Roman" w:hAnsi="Times New Roman" w:cs="Times New Roman"/>
          <w:sz w:val="24"/>
          <w:szCs w:val="24"/>
          <w:lang w:val="en-US"/>
        </w:rPr>
        <w:t xml:space="preserve"> </w:t>
      </w:r>
      <w:r w:rsidR="002F2407" w:rsidRPr="00405F18">
        <w:rPr>
          <w:rFonts w:ascii="Times New Roman" w:hAnsi="Times New Roman" w:cs="Times New Roman"/>
          <w:sz w:val="24"/>
          <w:szCs w:val="24"/>
          <w:lang w:val="en-US"/>
        </w:rPr>
        <w:t>After 6 h, the AC</w:t>
      </w:r>
      <w:r w:rsidR="00FD42AC">
        <w:rPr>
          <w:rFonts w:ascii="Times New Roman" w:hAnsi="Times New Roman" w:cs="Times New Roman"/>
          <w:sz w:val="24"/>
          <w:szCs w:val="24"/>
          <w:lang w:val="en-US"/>
        </w:rPr>
        <w:t>A</w:t>
      </w:r>
      <w:r w:rsidR="002F2407" w:rsidRPr="00405F18">
        <w:rPr>
          <w:rFonts w:ascii="Times New Roman" w:hAnsi="Times New Roman" w:cs="Times New Roman"/>
          <w:sz w:val="24"/>
          <w:szCs w:val="24"/>
          <w:lang w:val="en-US"/>
        </w:rPr>
        <w:t xml:space="preserve">C phosphorylation was significantly elevated in the presence of AICAR in PA-treated cells (Figure 2D). </w:t>
      </w:r>
      <w:r w:rsidR="00FB48BF" w:rsidRPr="00405F18">
        <w:rPr>
          <w:rFonts w:ascii="Times New Roman" w:hAnsi="Times New Roman" w:cs="Times New Roman"/>
          <w:sz w:val="24"/>
          <w:szCs w:val="24"/>
          <w:lang w:val="en-US"/>
        </w:rPr>
        <w:t>After 24 h</w:t>
      </w:r>
      <w:r w:rsidR="00484A33" w:rsidRPr="00405F18">
        <w:rPr>
          <w:rFonts w:ascii="Times New Roman" w:hAnsi="Times New Roman" w:cs="Times New Roman"/>
          <w:sz w:val="24"/>
          <w:szCs w:val="24"/>
          <w:lang w:val="en-US"/>
        </w:rPr>
        <w:t xml:space="preserve">, the two </w:t>
      </w:r>
      <w:r w:rsidR="002F2407" w:rsidRPr="00405F18">
        <w:rPr>
          <w:rFonts w:ascii="Times New Roman" w:hAnsi="Times New Roman" w:cs="Times New Roman"/>
          <w:sz w:val="24"/>
          <w:szCs w:val="24"/>
          <w:lang w:val="en-US"/>
        </w:rPr>
        <w:t xml:space="preserve">activators significantly increased AMPK activity and </w:t>
      </w:r>
      <w:r w:rsidR="002F2407" w:rsidRPr="00C732B8">
        <w:rPr>
          <w:rFonts w:ascii="Times New Roman" w:hAnsi="Times New Roman" w:cs="Times New Roman"/>
          <w:sz w:val="24"/>
          <w:szCs w:val="24"/>
          <w:lang w:val="en-US"/>
        </w:rPr>
        <w:t>AC</w:t>
      </w:r>
      <w:r w:rsidR="00FD42AC">
        <w:rPr>
          <w:rFonts w:ascii="Times New Roman" w:hAnsi="Times New Roman" w:cs="Times New Roman"/>
          <w:sz w:val="24"/>
          <w:szCs w:val="24"/>
          <w:lang w:val="en-US"/>
        </w:rPr>
        <w:t>A</w:t>
      </w:r>
      <w:r w:rsidR="002F2407" w:rsidRPr="00C732B8">
        <w:rPr>
          <w:rFonts w:ascii="Times New Roman" w:hAnsi="Times New Roman" w:cs="Times New Roman"/>
          <w:sz w:val="24"/>
          <w:szCs w:val="24"/>
          <w:lang w:val="en-US"/>
        </w:rPr>
        <w:t>C</w:t>
      </w:r>
      <w:r w:rsidR="002F2407" w:rsidRPr="00405F18">
        <w:rPr>
          <w:rFonts w:ascii="Times New Roman" w:hAnsi="Times New Roman" w:cs="Times New Roman"/>
          <w:sz w:val="24"/>
          <w:szCs w:val="24"/>
          <w:lang w:val="en-US"/>
        </w:rPr>
        <w:t xml:space="preserve"> phosphorylation in PA-treated cells while AMPK phosphorylation was significantly increased with AICAR (Figure 2E-H). </w:t>
      </w:r>
      <w:r w:rsidR="00484A33" w:rsidRPr="00405F18">
        <w:rPr>
          <w:rFonts w:ascii="Times New Roman" w:hAnsi="Times New Roman" w:cs="Times New Roman"/>
          <w:sz w:val="24"/>
          <w:szCs w:val="24"/>
          <w:lang w:val="en-US"/>
        </w:rPr>
        <w:t>These data highlight</w:t>
      </w:r>
      <w:r w:rsidR="002568C5" w:rsidRPr="00405F18">
        <w:rPr>
          <w:rFonts w:ascii="Times New Roman" w:hAnsi="Times New Roman" w:cs="Times New Roman"/>
          <w:sz w:val="24"/>
          <w:szCs w:val="24"/>
          <w:lang w:val="en-US"/>
        </w:rPr>
        <w:t>ed</w:t>
      </w:r>
      <w:r w:rsidR="00484A33" w:rsidRPr="00405F18">
        <w:rPr>
          <w:rFonts w:ascii="Times New Roman" w:hAnsi="Times New Roman" w:cs="Times New Roman"/>
          <w:sz w:val="24"/>
          <w:szCs w:val="24"/>
          <w:lang w:val="en-US"/>
        </w:rPr>
        <w:t xml:space="preserve"> th</w:t>
      </w:r>
      <w:r w:rsidR="00316010" w:rsidRPr="00405F18">
        <w:rPr>
          <w:rFonts w:ascii="Times New Roman" w:hAnsi="Times New Roman" w:cs="Times New Roman"/>
          <w:sz w:val="24"/>
          <w:szCs w:val="24"/>
          <w:lang w:val="en-US"/>
        </w:rPr>
        <w:t xml:space="preserve">at </w:t>
      </w:r>
      <w:r w:rsidR="00484A33" w:rsidRPr="00405F18">
        <w:rPr>
          <w:rFonts w:ascii="Times New Roman" w:hAnsi="Times New Roman" w:cs="Times New Roman"/>
          <w:sz w:val="24"/>
          <w:szCs w:val="24"/>
          <w:lang w:val="en-US"/>
        </w:rPr>
        <w:t>AMPK</w:t>
      </w:r>
      <w:r w:rsidR="002568C5" w:rsidRPr="00405F18">
        <w:rPr>
          <w:rFonts w:ascii="Times New Roman" w:hAnsi="Times New Roman" w:cs="Times New Roman"/>
          <w:sz w:val="24"/>
          <w:szCs w:val="24"/>
          <w:lang w:val="en-US"/>
        </w:rPr>
        <w:t xml:space="preserve"> is activated in response to</w:t>
      </w:r>
      <w:r w:rsidR="005F015D" w:rsidRPr="00405F18">
        <w:rPr>
          <w:rFonts w:ascii="Times New Roman" w:hAnsi="Times New Roman" w:cs="Times New Roman"/>
          <w:sz w:val="24"/>
          <w:szCs w:val="24"/>
          <w:lang w:val="en-US"/>
        </w:rPr>
        <w:t xml:space="preserve"> either</w:t>
      </w:r>
      <w:r w:rsidR="002568C5" w:rsidRPr="00405F18">
        <w:rPr>
          <w:rFonts w:ascii="Times New Roman" w:hAnsi="Times New Roman" w:cs="Times New Roman"/>
          <w:sz w:val="24"/>
          <w:szCs w:val="24"/>
          <w:lang w:val="en-US"/>
        </w:rPr>
        <w:t xml:space="preserve"> A769662 or AICAR</w:t>
      </w:r>
      <w:r w:rsidR="002F14BF" w:rsidRPr="00405F18">
        <w:rPr>
          <w:rFonts w:ascii="Times New Roman" w:hAnsi="Times New Roman" w:cs="Times New Roman"/>
          <w:sz w:val="24"/>
          <w:szCs w:val="24"/>
          <w:lang w:val="en-US"/>
        </w:rPr>
        <w:t xml:space="preserve"> in PA-treated </w:t>
      </w:r>
      <w:proofErr w:type="spellStart"/>
      <w:r w:rsidR="00CC5768">
        <w:rPr>
          <w:rFonts w:ascii="Times New Roman" w:hAnsi="Times New Roman" w:cs="Times New Roman"/>
          <w:sz w:val="24"/>
          <w:szCs w:val="24"/>
          <w:lang w:val="en-US"/>
        </w:rPr>
        <w:t>M</w:t>
      </w:r>
      <w:r w:rsidR="002F14BF" w:rsidRPr="00405F18">
        <w:rPr>
          <w:rFonts w:ascii="Times New Roman" w:hAnsi="Times New Roman" w:cs="Times New Roman"/>
          <w:sz w:val="24"/>
          <w:szCs w:val="24"/>
          <w:lang w:val="en-US"/>
        </w:rPr>
        <w:t>mPTECs</w:t>
      </w:r>
      <w:proofErr w:type="spellEnd"/>
      <w:r w:rsidR="00FD3D35" w:rsidRPr="00405F18">
        <w:rPr>
          <w:rFonts w:ascii="Times New Roman" w:hAnsi="Times New Roman" w:cs="Times New Roman"/>
          <w:sz w:val="24"/>
          <w:szCs w:val="24"/>
          <w:lang w:val="en-US"/>
        </w:rPr>
        <w:t>, an effect that is</w:t>
      </w:r>
      <w:r w:rsidR="00FE308D" w:rsidRPr="00405F18">
        <w:rPr>
          <w:rFonts w:ascii="Times New Roman" w:hAnsi="Times New Roman" w:cs="Times New Roman"/>
          <w:sz w:val="24"/>
          <w:szCs w:val="24"/>
          <w:lang w:val="en-US"/>
        </w:rPr>
        <w:t xml:space="preserve"> </w:t>
      </w:r>
      <w:r w:rsidR="00484A33" w:rsidRPr="00405F18">
        <w:rPr>
          <w:rFonts w:ascii="Times New Roman" w:hAnsi="Times New Roman" w:cs="Times New Roman"/>
          <w:sz w:val="24"/>
          <w:szCs w:val="24"/>
          <w:lang w:val="en-US"/>
        </w:rPr>
        <w:t>stronger after 24 h</w:t>
      </w:r>
      <w:r w:rsidR="002F14BF" w:rsidRPr="00405F18">
        <w:rPr>
          <w:rFonts w:ascii="Times New Roman" w:hAnsi="Times New Roman" w:cs="Times New Roman"/>
          <w:sz w:val="24"/>
          <w:szCs w:val="24"/>
          <w:lang w:val="en-US"/>
        </w:rPr>
        <w:t>.</w:t>
      </w:r>
      <w:r w:rsidR="006E0BB9" w:rsidRPr="00405F18">
        <w:rPr>
          <w:rFonts w:ascii="Times New Roman" w:hAnsi="Times New Roman" w:cs="Times New Roman"/>
          <w:sz w:val="24"/>
          <w:szCs w:val="24"/>
          <w:lang w:val="en-US"/>
        </w:rPr>
        <w:t xml:space="preserve"> </w:t>
      </w:r>
      <w:r w:rsidR="009564E2" w:rsidRPr="00405F18">
        <w:rPr>
          <w:rFonts w:ascii="Times New Roman" w:hAnsi="Times New Roman" w:cs="Times New Roman"/>
          <w:sz w:val="24"/>
          <w:szCs w:val="24"/>
          <w:lang w:val="en-US"/>
        </w:rPr>
        <w:t>Next, we</w:t>
      </w:r>
      <w:r w:rsidR="00B901A0" w:rsidRPr="00405F18">
        <w:rPr>
          <w:rFonts w:ascii="Times New Roman" w:hAnsi="Times New Roman" w:cs="Times New Roman"/>
          <w:sz w:val="24"/>
          <w:szCs w:val="24"/>
          <w:lang w:val="en-US"/>
        </w:rPr>
        <w:t xml:space="preserve"> analyzed </w:t>
      </w:r>
      <w:r w:rsidR="002579D0" w:rsidRPr="00405F18">
        <w:rPr>
          <w:rFonts w:ascii="Times New Roman" w:hAnsi="Times New Roman" w:cs="Times New Roman"/>
          <w:sz w:val="24"/>
          <w:szCs w:val="24"/>
          <w:lang w:val="en-US"/>
        </w:rPr>
        <w:t xml:space="preserve">whether </w:t>
      </w:r>
      <w:r w:rsidR="00B901A0" w:rsidRPr="00405F18">
        <w:rPr>
          <w:rFonts w:ascii="Times New Roman" w:hAnsi="Times New Roman" w:cs="Times New Roman"/>
          <w:sz w:val="24"/>
          <w:szCs w:val="24"/>
          <w:lang w:val="en-US"/>
        </w:rPr>
        <w:t>the</w:t>
      </w:r>
      <w:r w:rsidR="002579D0" w:rsidRPr="00405F18">
        <w:rPr>
          <w:rFonts w:ascii="Times New Roman" w:hAnsi="Times New Roman" w:cs="Times New Roman"/>
          <w:sz w:val="24"/>
          <w:szCs w:val="24"/>
          <w:lang w:val="en-US"/>
        </w:rPr>
        <w:t xml:space="preserve"> increase </w:t>
      </w:r>
      <w:r w:rsidR="00542988" w:rsidRPr="00405F18">
        <w:rPr>
          <w:rFonts w:ascii="Times New Roman" w:hAnsi="Times New Roman" w:cs="Times New Roman"/>
          <w:sz w:val="24"/>
          <w:szCs w:val="24"/>
          <w:lang w:val="en-US"/>
        </w:rPr>
        <w:t>in</w:t>
      </w:r>
      <w:r w:rsidR="00B901A0" w:rsidRPr="00405F18">
        <w:rPr>
          <w:rFonts w:ascii="Times New Roman" w:hAnsi="Times New Roman" w:cs="Times New Roman"/>
          <w:sz w:val="24"/>
          <w:szCs w:val="24"/>
          <w:lang w:val="en-US"/>
        </w:rPr>
        <w:t xml:space="preserve"> LC3-II:-I ratio </w:t>
      </w:r>
      <w:r w:rsidR="002579D0" w:rsidRPr="00405F18">
        <w:rPr>
          <w:rFonts w:ascii="Times New Roman" w:hAnsi="Times New Roman" w:cs="Times New Roman"/>
          <w:sz w:val="24"/>
          <w:szCs w:val="24"/>
          <w:lang w:val="en-US"/>
        </w:rPr>
        <w:t xml:space="preserve">induced by PA treatment </w:t>
      </w:r>
      <w:r w:rsidR="00A74AF0" w:rsidRPr="00405F18">
        <w:rPr>
          <w:rFonts w:ascii="Times New Roman" w:hAnsi="Times New Roman" w:cs="Times New Roman"/>
          <w:sz w:val="24"/>
          <w:szCs w:val="24"/>
          <w:lang w:val="en-US"/>
        </w:rPr>
        <w:t xml:space="preserve">of 24 h </w:t>
      </w:r>
      <w:r w:rsidR="002579D0" w:rsidRPr="00405F18">
        <w:rPr>
          <w:rFonts w:ascii="Times New Roman" w:hAnsi="Times New Roman" w:cs="Times New Roman"/>
          <w:sz w:val="24"/>
          <w:szCs w:val="24"/>
          <w:lang w:val="en-US"/>
        </w:rPr>
        <w:t>could be</w:t>
      </w:r>
      <w:r w:rsidR="00115CF4" w:rsidRPr="00405F18">
        <w:rPr>
          <w:rFonts w:ascii="Times New Roman" w:hAnsi="Times New Roman" w:cs="Times New Roman"/>
          <w:sz w:val="24"/>
          <w:szCs w:val="24"/>
          <w:lang w:val="en-US"/>
        </w:rPr>
        <w:t xml:space="preserve"> corrected by</w:t>
      </w:r>
      <w:r w:rsidR="005A5559"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AMPK activation, </w:t>
      </w:r>
      <w:r w:rsidR="005A5559" w:rsidRPr="00405F18">
        <w:rPr>
          <w:rFonts w:ascii="Times New Roman" w:hAnsi="Times New Roman" w:cs="Times New Roman"/>
          <w:sz w:val="24"/>
          <w:szCs w:val="24"/>
          <w:lang w:val="en-US"/>
        </w:rPr>
        <w:t xml:space="preserve">and found </w:t>
      </w:r>
      <w:r w:rsidR="00115CF4" w:rsidRPr="00405F18">
        <w:rPr>
          <w:rFonts w:ascii="Times New Roman" w:hAnsi="Times New Roman" w:cs="Times New Roman"/>
          <w:sz w:val="24"/>
          <w:szCs w:val="24"/>
          <w:lang w:val="en-US"/>
        </w:rPr>
        <w:t xml:space="preserve">that it </w:t>
      </w:r>
      <w:r w:rsidR="00DE105B" w:rsidRPr="00405F18">
        <w:rPr>
          <w:rFonts w:ascii="Times New Roman" w:hAnsi="Times New Roman" w:cs="Times New Roman"/>
          <w:sz w:val="24"/>
          <w:szCs w:val="24"/>
          <w:lang w:val="en-US"/>
        </w:rPr>
        <w:t>was</w:t>
      </w:r>
      <w:r w:rsidRPr="00405F18">
        <w:rPr>
          <w:rFonts w:ascii="Times New Roman" w:hAnsi="Times New Roman" w:cs="Times New Roman"/>
          <w:sz w:val="24"/>
          <w:szCs w:val="24"/>
          <w:lang w:val="en-US"/>
        </w:rPr>
        <w:t xml:space="preserve"> (Figure 3</w:t>
      </w:r>
      <w:proofErr w:type="gramStart"/>
      <w:r w:rsidRPr="00405F18">
        <w:rPr>
          <w:rFonts w:ascii="Times New Roman" w:hAnsi="Times New Roman" w:cs="Times New Roman"/>
          <w:sz w:val="24"/>
          <w:szCs w:val="24"/>
          <w:lang w:val="en-US"/>
        </w:rPr>
        <w:t>A,C</w:t>
      </w:r>
      <w:proofErr w:type="gramEnd"/>
      <w:r w:rsidRPr="00405F18">
        <w:rPr>
          <w:rFonts w:ascii="Times New Roman" w:hAnsi="Times New Roman" w:cs="Times New Roman"/>
          <w:sz w:val="24"/>
          <w:szCs w:val="24"/>
          <w:lang w:val="en-US"/>
        </w:rPr>
        <w:t>). However, AMPK activation d</w:t>
      </w:r>
      <w:r w:rsidR="007546BF" w:rsidRPr="00405F18">
        <w:rPr>
          <w:rFonts w:ascii="Times New Roman" w:hAnsi="Times New Roman" w:cs="Times New Roman"/>
          <w:sz w:val="24"/>
          <w:szCs w:val="24"/>
          <w:lang w:val="en-US"/>
        </w:rPr>
        <w:t>id</w:t>
      </w:r>
      <w:r w:rsidRPr="00405F18">
        <w:rPr>
          <w:rFonts w:ascii="Times New Roman" w:hAnsi="Times New Roman" w:cs="Times New Roman"/>
          <w:sz w:val="24"/>
          <w:szCs w:val="24"/>
          <w:lang w:val="en-US"/>
        </w:rPr>
        <w:t xml:space="preserve"> not modify the abundance of SQSTM1 in these</w:t>
      </w:r>
      <w:r w:rsidR="00FD3D35" w:rsidRPr="00405F18">
        <w:rPr>
          <w:rFonts w:ascii="Times New Roman" w:hAnsi="Times New Roman" w:cs="Times New Roman"/>
          <w:sz w:val="24"/>
          <w:szCs w:val="24"/>
          <w:lang w:val="en-US"/>
        </w:rPr>
        <w:t xml:space="preserve"> experimental</w:t>
      </w:r>
      <w:r w:rsidRPr="00405F18">
        <w:rPr>
          <w:rFonts w:ascii="Times New Roman" w:hAnsi="Times New Roman" w:cs="Times New Roman"/>
          <w:sz w:val="24"/>
          <w:szCs w:val="24"/>
          <w:lang w:val="en-US"/>
        </w:rPr>
        <w:t xml:space="preserve"> conditions (Figure 3</w:t>
      </w:r>
      <w:proofErr w:type="gramStart"/>
      <w:r w:rsidRPr="00405F18">
        <w:rPr>
          <w:rFonts w:ascii="Times New Roman" w:hAnsi="Times New Roman" w:cs="Times New Roman"/>
          <w:sz w:val="24"/>
          <w:szCs w:val="24"/>
          <w:lang w:val="en-US"/>
        </w:rPr>
        <w:t>A,B</w:t>
      </w:r>
      <w:proofErr w:type="gramEnd"/>
      <w:r w:rsidRPr="00405F18">
        <w:rPr>
          <w:rFonts w:ascii="Times New Roman" w:hAnsi="Times New Roman" w:cs="Times New Roman"/>
          <w:sz w:val="24"/>
          <w:szCs w:val="24"/>
          <w:lang w:val="en-US"/>
        </w:rPr>
        <w:t xml:space="preserve">). It is likely </w:t>
      </w:r>
      <w:r w:rsidR="00264F8C" w:rsidRPr="00405F18">
        <w:rPr>
          <w:rFonts w:ascii="Times New Roman" w:hAnsi="Times New Roman" w:cs="Times New Roman"/>
          <w:sz w:val="24"/>
          <w:szCs w:val="24"/>
          <w:lang w:val="en-US"/>
        </w:rPr>
        <w:t>explained by</w:t>
      </w:r>
      <w:r w:rsidRPr="00405F18">
        <w:rPr>
          <w:rFonts w:ascii="Times New Roman" w:hAnsi="Times New Roman" w:cs="Times New Roman"/>
          <w:sz w:val="24"/>
          <w:szCs w:val="24"/>
          <w:lang w:val="en-US"/>
        </w:rPr>
        <w:t xml:space="preserve"> the</w:t>
      </w:r>
      <w:r w:rsidR="00881F06" w:rsidRPr="00405F18">
        <w:rPr>
          <w:rFonts w:ascii="Times New Roman" w:hAnsi="Times New Roman" w:cs="Times New Roman"/>
          <w:sz w:val="24"/>
          <w:szCs w:val="24"/>
          <w:lang w:val="en-US"/>
        </w:rPr>
        <w:t xml:space="preserve"> PA-induced</w:t>
      </w:r>
      <w:r w:rsidRPr="00405F18">
        <w:rPr>
          <w:rFonts w:ascii="Times New Roman" w:hAnsi="Times New Roman" w:cs="Times New Roman"/>
          <w:sz w:val="24"/>
          <w:szCs w:val="24"/>
          <w:lang w:val="en-US"/>
        </w:rPr>
        <w:t xml:space="preserve"> increased mRNA relative expression as previously shown (Figure S2A). In accordance with the LC3-II:-I ratio, the number of autophagosomes with neutral pH (GFP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RFP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puncta) </w:t>
      </w:r>
      <w:r w:rsidR="00B76764"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s also reduced in</w:t>
      </w:r>
      <w:r w:rsidR="00B76764" w:rsidRPr="00405F18">
        <w:rPr>
          <w:rFonts w:ascii="Times New Roman" w:hAnsi="Times New Roman" w:cs="Times New Roman"/>
          <w:sz w:val="24"/>
          <w:szCs w:val="24"/>
          <w:lang w:val="en-US"/>
        </w:rPr>
        <w:t xml:space="preserve"> PA-treated</w:t>
      </w:r>
      <w:r w:rsidRPr="00405F18">
        <w:rPr>
          <w:rFonts w:ascii="Times New Roman" w:hAnsi="Times New Roman" w:cs="Times New Roman"/>
          <w:sz w:val="24"/>
          <w:szCs w:val="24"/>
          <w:lang w:val="en-US"/>
        </w:rPr>
        <w:t xml:space="preserve"> cells in the presence of AMPK activators (Figure 3</w:t>
      </w:r>
      <w:proofErr w:type="gramStart"/>
      <w:r w:rsidRPr="00405F18">
        <w:rPr>
          <w:rFonts w:ascii="Times New Roman" w:hAnsi="Times New Roman" w:cs="Times New Roman"/>
          <w:sz w:val="24"/>
          <w:szCs w:val="24"/>
          <w:lang w:val="en-US"/>
        </w:rPr>
        <w:t>D,E</w:t>
      </w:r>
      <w:proofErr w:type="gramEnd"/>
      <w:r w:rsidRPr="00405F18">
        <w:rPr>
          <w:rFonts w:ascii="Times New Roman" w:hAnsi="Times New Roman" w:cs="Times New Roman"/>
          <w:sz w:val="24"/>
          <w:szCs w:val="24"/>
          <w:lang w:val="en-US"/>
        </w:rPr>
        <w:t>). Again, the number of autophagosomes with acidic pH (GFP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RFP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puncta) was unchanged in these co</w:t>
      </w:r>
      <w:r w:rsidR="000E316D" w:rsidRPr="00405F18">
        <w:rPr>
          <w:rFonts w:ascii="Times New Roman" w:hAnsi="Times New Roman" w:cs="Times New Roman"/>
          <w:sz w:val="24"/>
          <w:szCs w:val="24"/>
          <w:lang w:val="en-US"/>
        </w:rPr>
        <w:t>n</w:t>
      </w:r>
      <w:r w:rsidRPr="00405F18">
        <w:rPr>
          <w:rFonts w:ascii="Times New Roman" w:hAnsi="Times New Roman" w:cs="Times New Roman"/>
          <w:sz w:val="24"/>
          <w:szCs w:val="24"/>
          <w:lang w:val="en-US"/>
        </w:rPr>
        <w:t>ditions (Figure 3</w:t>
      </w:r>
      <w:proofErr w:type="gramStart"/>
      <w:r w:rsidRPr="00405F18">
        <w:rPr>
          <w:rFonts w:ascii="Times New Roman" w:hAnsi="Times New Roman" w:cs="Times New Roman"/>
          <w:sz w:val="24"/>
          <w:szCs w:val="24"/>
          <w:lang w:val="en-US"/>
        </w:rPr>
        <w:t>D,F</w:t>
      </w:r>
      <w:proofErr w:type="gramEnd"/>
      <w:r w:rsidRPr="00405F18">
        <w:rPr>
          <w:rFonts w:ascii="Times New Roman" w:hAnsi="Times New Roman" w:cs="Times New Roman"/>
          <w:sz w:val="24"/>
          <w:szCs w:val="24"/>
          <w:lang w:val="en-US"/>
        </w:rPr>
        <w:t xml:space="preserve">). Notably, in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w:t>
      </w:r>
      <w:r w:rsidR="00264F8C" w:rsidRPr="00405F18">
        <w:rPr>
          <w:rFonts w:ascii="Times New Roman" w:hAnsi="Times New Roman" w:cs="Times New Roman"/>
          <w:sz w:val="24"/>
          <w:szCs w:val="24"/>
          <w:lang w:val="en-US"/>
        </w:rPr>
        <w:t>exposed</w:t>
      </w:r>
      <w:r w:rsidRPr="00405F18">
        <w:rPr>
          <w:rFonts w:ascii="Times New Roman" w:hAnsi="Times New Roman" w:cs="Times New Roman"/>
          <w:sz w:val="24"/>
          <w:szCs w:val="24"/>
          <w:lang w:val="en-US"/>
        </w:rPr>
        <w:t xml:space="preserve"> </w:t>
      </w:r>
      <w:r w:rsidR="00881F06" w:rsidRPr="00405F18">
        <w:rPr>
          <w:rFonts w:ascii="Times New Roman" w:hAnsi="Times New Roman" w:cs="Times New Roman"/>
          <w:sz w:val="24"/>
          <w:szCs w:val="24"/>
          <w:lang w:val="en-US"/>
        </w:rPr>
        <w:t>to</w:t>
      </w:r>
      <w:r w:rsidRPr="00405F18">
        <w:rPr>
          <w:rFonts w:ascii="Times New Roman" w:hAnsi="Times New Roman" w:cs="Times New Roman"/>
          <w:sz w:val="24"/>
          <w:szCs w:val="24"/>
          <w:lang w:val="en-US"/>
        </w:rPr>
        <w:t xml:space="preserve"> both PA and the activators,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FF7085">
        <w:rPr>
          <w:rFonts w:ascii="Times New Roman" w:hAnsi="Times New Roman" w:cs="Times New Roman"/>
          <w:sz w:val="24"/>
          <w:szCs w:val="24"/>
          <w:vertAlign w:val="subscript"/>
          <w:lang w:val="en-US"/>
        </w:rPr>
        <w:t>1</w:t>
      </w:r>
      <w:r w:rsidRPr="00405F18">
        <w:rPr>
          <w:rFonts w:ascii="Times New Roman" w:hAnsi="Times New Roman" w:cs="Times New Roman"/>
          <w:sz w:val="24"/>
          <w:szCs w:val="24"/>
          <w:lang w:val="en-US"/>
        </w:rPr>
        <w:t xml:space="preserve"> further increase</w:t>
      </w:r>
      <w:r w:rsidR="0053406F"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xml:space="preserve"> the LC3 ratio (Figure 3</w:t>
      </w:r>
      <w:proofErr w:type="gramStart"/>
      <w:r w:rsidRPr="00405F18">
        <w:rPr>
          <w:rFonts w:ascii="Times New Roman" w:hAnsi="Times New Roman" w:cs="Times New Roman"/>
          <w:sz w:val="24"/>
          <w:szCs w:val="24"/>
          <w:lang w:val="en-US"/>
        </w:rPr>
        <w:t>A,C</w:t>
      </w:r>
      <w:proofErr w:type="gramEnd"/>
      <w:r w:rsidRPr="00405F18">
        <w:rPr>
          <w:rFonts w:ascii="Times New Roman" w:hAnsi="Times New Roman" w:cs="Times New Roman"/>
          <w:sz w:val="24"/>
          <w:szCs w:val="24"/>
          <w:lang w:val="en-US"/>
        </w:rPr>
        <w:t xml:space="preserve">) as well as the number of </w:t>
      </w:r>
      <w:r w:rsidRPr="00405F18">
        <w:rPr>
          <w:rFonts w:ascii="Times New Roman" w:hAnsi="Times New Roman" w:cs="Times New Roman"/>
          <w:sz w:val="24"/>
          <w:szCs w:val="24"/>
          <w:lang w:val="en-US"/>
        </w:rPr>
        <w:lastRenderedPageBreak/>
        <w:t>autophagosomes with neutral pH (GFP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RFP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puncta) (Figure 3D,E). Comparable results were obtained when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w:t>
      </w:r>
      <w:r w:rsidR="0053406F" w:rsidRPr="00405F18">
        <w:rPr>
          <w:rFonts w:ascii="Times New Roman" w:hAnsi="Times New Roman" w:cs="Times New Roman"/>
          <w:sz w:val="24"/>
          <w:szCs w:val="24"/>
          <w:lang w:val="en-US"/>
        </w:rPr>
        <w:t>we</w:t>
      </w:r>
      <w:r w:rsidRPr="00405F18">
        <w:rPr>
          <w:rFonts w:ascii="Times New Roman" w:hAnsi="Times New Roman" w:cs="Times New Roman"/>
          <w:sz w:val="24"/>
          <w:szCs w:val="24"/>
          <w:lang w:val="en-US"/>
        </w:rPr>
        <w:t xml:space="preserve">re incubated with PA, AMPK activators and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FF7085">
        <w:rPr>
          <w:rFonts w:ascii="Times New Roman" w:hAnsi="Times New Roman" w:cs="Times New Roman"/>
          <w:sz w:val="24"/>
          <w:szCs w:val="24"/>
          <w:vertAlign w:val="subscript"/>
          <w:lang w:val="en-US"/>
        </w:rPr>
        <w:t>1</w:t>
      </w:r>
      <w:r w:rsidRPr="00405F18">
        <w:rPr>
          <w:rFonts w:ascii="Times New Roman" w:hAnsi="Times New Roman" w:cs="Times New Roman"/>
          <w:sz w:val="24"/>
          <w:szCs w:val="24"/>
          <w:lang w:val="en-US"/>
        </w:rPr>
        <w:t xml:space="preserve"> for 6 h (Figure S4). </w:t>
      </w:r>
      <w:r w:rsidR="00E44952" w:rsidRPr="00405F18">
        <w:rPr>
          <w:rFonts w:ascii="Times New Roman" w:hAnsi="Times New Roman" w:cs="Times New Roman"/>
          <w:sz w:val="24"/>
          <w:szCs w:val="24"/>
          <w:lang w:val="en-US"/>
        </w:rPr>
        <w:t>These results reveal that m</w:t>
      </w:r>
      <w:r w:rsidRPr="00405F18">
        <w:rPr>
          <w:rFonts w:ascii="Times New Roman" w:hAnsi="Times New Roman" w:cs="Times New Roman"/>
          <w:sz w:val="24"/>
          <w:szCs w:val="24"/>
          <w:lang w:val="en-US"/>
        </w:rPr>
        <w:t xml:space="preserve">aintenance of AMPK activity in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exposed to PA relieves the autophagic flux inhibition and prevents the accumulation of autophagosomes. In contrast, AMPK activators d</w:t>
      </w:r>
      <w:r w:rsidR="00264F8C" w:rsidRPr="00405F18">
        <w:rPr>
          <w:rFonts w:ascii="Times New Roman" w:hAnsi="Times New Roman" w:cs="Times New Roman"/>
          <w:sz w:val="24"/>
          <w:szCs w:val="24"/>
          <w:lang w:val="en-US"/>
        </w:rPr>
        <w:t>id</w:t>
      </w:r>
      <w:r w:rsidRPr="00405F18">
        <w:rPr>
          <w:rFonts w:ascii="Times New Roman" w:hAnsi="Times New Roman" w:cs="Times New Roman"/>
          <w:sz w:val="24"/>
          <w:szCs w:val="24"/>
          <w:lang w:val="en-US"/>
        </w:rPr>
        <w:t xml:space="preserve"> not modulate the phosphorylation of ULK1 in PA-treated cells (Figure 3</w:t>
      </w:r>
      <w:proofErr w:type="gramStart"/>
      <w:r w:rsidRPr="00405F18">
        <w:rPr>
          <w:rFonts w:ascii="Times New Roman" w:hAnsi="Times New Roman" w:cs="Times New Roman"/>
          <w:sz w:val="24"/>
          <w:szCs w:val="24"/>
          <w:lang w:val="en-US"/>
        </w:rPr>
        <w:t>G,H</w:t>
      </w:r>
      <w:proofErr w:type="gramEnd"/>
      <w:r w:rsidRPr="00405F18">
        <w:rPr>
          <w:rFonts w:ascii="Times New Roman" w:hAnsi="Times New Roman" w:cs="Times New Roman"/>
          <w:sz w:val="24"/>
          <w:szCs w:val="24"/>
          <w:lang w:val="en-US"/>
        </w:rPr>
        <w:t>)</w:t>
      </w:r>
      <w:r w:rsidR="00B26E1D"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suggesting</w:t>
      </w:r>
      <w:r w:rsidR="00881F06" w:rsidRPr="00405F18">
        <w:rPr>
          <w:rFonts w:ascii="Times New Roman" w:hAnsi="Times New Roman" w:cs="Times New Roman"/>
          <w:sz w:val="24"/>
          <w:szCs w:val="24"/>
          <w:lang w:val="en-US"/>
        </w:rPr>
        <w:t xml:space="preserve"> that</w:t>
      </w:r>
      <w:r w:rsidRPr="00405F18">
        <w:rPr>
          <w:rFonts w:ascii="Times New Roman" w:hAnsi="Times New Roman" w:cs="Times New Roman"/>
          <w:sz w:val="24"/>
          <w:szCs w:val="24"/>
          <w:lang w:val="en-US"/>
        </w:rPr>
        <w:t xml:space="preserve"> the protection is not mediated by an activation of the initiation of autophagy. </w:t>
      </w:r>
    </w:p>
    <w:p w14:paraId="596B60A5" w14:textId="77777777" w:rsidR="00605472" w:rsidRPr="00804F39" w:rsidRDefault="00605472" w:rsidP="00270044">
      <w:pPr>
        <w:spacing w:after="100" w:afterAutospacing="1" w:line="480" w:lineRule="auto"/>
        <w:jc w:val="both"/>
        <w:rPr>
          <w:rFonts w:ascii="Times New Roman" w:hAnsi="Times New Roman" w:cs="Times New Roman"/>
          <w:i/>
          <w:iCs/>
          <w:sz w:val="24"/>
          <w:szCs w:val="24"/>
          <w:lang w:val="en-US"/>
        </w:rPr>
      </w:pPr>
      <w:r w:rsidRPr="00804F39">
        <w:rPr>
          <w:rFonts w:ascii="Times New Roman" w:hAnsi="Times New Roman" w:cs="Times New Roman"/>
          <w:b/>
          <w:bCs/>
          <w:i/>
          <w:iCs/>
          <w:sz w:val="24"/>
          <w:szCs w:val="24"/>
          <w:lang w:val="en-US"/>
        </w:rPr>
        <w:t xml:space="preserve">Accumulating autophagosomes in response to PA </w:t>
      </w:r>
      <w:proofErr w:type="gramStart"/>
      <w:r w:rsidRPr="00804F39">
        <w:rPr>
          <w:rFonts w:ascii="Times New Roman" w:hAnsi="Times New Roman" w:cs="Times New Roman"/>
          <w:b/>
          <w:bCs/>
          <w:i/>
          <w:iCs/>
          <w:sz w:val="24"/>
          <w:szCs w:val="24"/>
          <w:lang w:val="en-US"/>
        </w:rPr>
        <w:t>contain</w:t>
      </w:r>
      <w:proofErr w:type="gramEnd"/>
      <w:r w:rsidRPr="00804F39">
        <w:rPr>
          <w:rFonts w:ascii="Times New Roman" w:hAnsi="Times New Roman" w:cs="Times New Roman"/>
          <w:b/>
          <w:bCs/>
          <w:i/>
          <w:iCs/>
          <w:sz w:val="24"/>
          <w:szCs w:val="24"/>
          <w:lang w:val="en-US"/>
        </w:rPr>
        <w:t xml:space="preserve"> ubiquitin-positive aggregates. </w:t>
      </w:r>
    </w:p>
    <w:p w14:paraId="07676CBE" w14:textId="781A1109" w:rsidR="00605472" w:rsidRPr="00405F18" w:rsidRDefault="00605472"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Targeted autophagy </w:t>
      </w:r>
      <w:r w:rsidR="00EC3197" w:rsidRPr="00405F18">
        <w:rPr>
          <w:rFonts w:ascii="Times New Roman" w:hAnsi="Times New Roman" w:cs="Times New Roman"/>
          <w:sz w:val="24"/>
          <w:szCs w:val="24"/>
          <w:lang w:val="en-US"/>
        </w:rPr>
        <w:t>is the process by which</w:t>
      </w:r>
      <w:r w:rsidRPr="00405F18">
        <w:rPr>
          <w:rFonts w:ascii="Times New Roman" w:hAnsi="Times New Roman" w:cs="Times New Roman"/>
          <w:sz w:val="24"/>
          <w:szCs w:val="24"/>
          <w:lang w:val="en-US"/>
        </w:rPr>
        <w:t xml:space="preserve"> autophagosomes engulf selectively damaged organelles and/or cell components after cargo recognition</w:t>
      </w:r>
      <w:r w:rsidR="00804F39">
        <w:rPr>
          <w:rFonts w:ascii="Times New Roman" w:hAnsi="Times New Roman" w:cs="Times New Roman"/>
          <w:sz w:val="24"/>
          <w:szCs w:val="24"/>
          <w:lang w:val="en-US"/>
        </w:rPr>
        <w:t xml:space="preserve"> [</w:t>
      </w:r>
      <w:r w:rsidR="00025345" w:rsidRPr="00804F39">
        <w:rPr>
          <w:rFonts w:ascii="Times New Roman" w:hAnsi="Times New Roman" w:cs="Times New Roman"/>
          <w:sz w:val="24"/>
          <w:szCs w:val="24"/>
          <w:lang w:val="en-US"/>
        </w:rPr>
        <w:fldChar w:fldCharType="begin" w:fldLock="1"/>
      </w:r>
      <w:r w:rsidR="00BC4F67" w:rsidRPr="00804F39">
        <w:rPr>
          <w:rFonts w:ascii="Times New Roman" w:hAnsi="Times New Roman" w:cs="Times New Roman"/>
          <w:sz w:val="24"/>
          <w:szCs w:val="24"/>
          <w:lang w:val="en-US"/>
        </w:rPr>
        <w:instrText>ADDIN CSL_CITATION {"citationItems":[{"id":"ITEM-1","itemData":{"DOI":"10.1146/annurev-cellbio-120219-035530","ISSN":"15308995","PMID":"34152791","abstract":"Selective autophagy is the lysosomal degradation of specific intracellular components sequestered into autophagosomes, late endosomes, or lysosomes through the activity of selective autophagy receptors (SARs). SARs interact with autophagy-related (ATG)8 family proteins via sequence motifs called LC3-interacting region (LIR) motifs in vertebrates and Atg8-interacting motifs (AIMs) in yeast and plants. SARs can be divided into two broad groups: soluble or membrane bound. Cargo or substrate selection may be independent or dependent of ubiquitin labeling of the cargo. In this review, we discuss mechanisms of mammalian selective autophagy with a focus on the unifying principles employed in substrate recognition, interaction with the forming autophagosome via LIR-ATG8 interactions, and the recruitment of core autophagy components for efficient autophagosome formation on the substrate.","author":[{"dropping-particle":"","family":"Lamark","given":"Trond","non-dropping-particle":"","parse-names":false,"suffix":""},{"dropping-particle":"","family":"Johansen","given":"Terje","non-dropping-particle":"","parse-names":false,"suffix":""}],"container-title":"Annual Review of Cell and Developmental Biology","id":"ITEM-1","issued":{"date-parts":[["2021"]]},"page":"143-169","title":"Mechanisms of Selective Autophagy","type":"article-journal","volume":"37"},"uris":["http://www.mendeley.com/documents/?uuid=d0b65dfe-2105-4f91-9bb1-832ffbd3fd08"]}],"mendeley":{"formattedCitation":"&lt;sup&gt;37&lt;/sup&gt;","plainTextFormattedCitation":"37","previouslyFormattedCitation":"&lt;sup&gt;37&lt;/sup&gt;"},"properties":{"noteIndex":0},"schema":"https://github.com/citation-style-language/schema/raw/master/csl-citation.json"}</w:instrText>
      </w:r>
      <w:r w:rsidR="00025345" w:rsidRPr="00804F39">
        <w:rPr>
          <w:rFonts w:ascii="Times New Roman" w:hAnsi="Times New Roman" w:cs="Times New Roman"/>
          <w:sz w:val="24"/>
          <w:szCs w:val="24"/>
          <w:lang w:val="en-US"/>
        </w:rPr>
        <w:fldChar w:fldCharType="separate"/>
      </w:r>
      <w:r w:rsidR="00D27D77" w:rsidRPr="00804F39">
        <w:rPr>
          <w:rFonts w:ascii="Times New Roman" w:hAnsi="Times New Roman" w:cs="Times New Roman"/>
          <w:noProof/>
          <w:sz w:val="24"/>
          <w:szCs w:val="24"/>
          <w:lang w:val="en-US"/>
        </w:rPr>
        <w:t>37</w:t>
      </w:r>
      <w:r w:rsidR="00025345"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Several types of </w:t>
      </w:r>
      <w:r w:rsidR="00025345" w:rsidRPr="00405F18">
        <w:rPr>
          <w:rFonts w:ascii="Times New Roman" w:hAnsi="Times New Roman" w:cs="Times New Roman"/>
          <w:sz w:val="24"/>
          <w:szCs w:val="24"/>
          <w:lang w:val="en-US"/>
        </w:rPr>
        <w:t xml:space="preserve">selective </w:t>
      </w:r>
      <w:r w:rsidRPr="00405F18">
        <w:rPr>
          <w:rFonts w:ascii="Times New Roman" w:hAnsi="Times New Roman" w:cs="Times New Roman"/>
          <w:sz w:val="24"/>
          <w:szCs w:val="24"/>
          <w:lang w:val="en-US"/>
        </w:rPr>
        <w:t>autophagy were studied</w:t>
      </w:r>
      <w:r w:rsidR="00CF5718" w:rsidRPr="00405F18">
        <w:rPr>
          <w:rFonts w:ascii="Times New Roman" w:hAnsi="Times New Roman" w:cs="Times New Roman"/>
          <w:sz w:val="24"/>
          <w:szCs w:val="24"/>
          <w:lang w:val="en-US"/>
        </w:rPr>
        <w:t xml:space="preserve"> in the present work</w:t>
      </w:r>
      <w:r w:rsidRPr="00405F18">
        <w:rPr>
          <w:rFonts w:ascii="Times New Roman" w:hAnsi="Times New Roman" w:cs="Times New Roman"/>
          <w:sz w:val="24"/>
          <w:szCs w:val="24"/>
          <w:lang w:val="en-US"/>
        </w:rPr>
        <w:t xml:space="preserve"> in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after lipid challenge. Because PA was demonstrated to impair mitochondrial membrane potential in PTEC cell line</w:t>
      </w:r>
      <w:r w:rsidR="00804F39">
        <w:rPr>
          <w:rFonts w:ascii="Times New Roman" w:hAnsi="Times New Roman" w:cs="Times New Roman"/>
          <w:sz w:val="24"/>
          <w:szCs w:val="24"/>
          <w:lang w:val="en-US"/>
        </w:rPr>
        <w:t xml:space="preserve"> [</w:t>
      </w:r>
      <w:r w:rsidRPr="00804F39">
        <w:rPr>
          <w:rFonts w:ascii="Times New Roman" w:hAnsi="Times New Roman" w:cs="Times New Roman"/>
          <w:sz w:val="24"/>
          <w:szCs w:val="24"/>
          <w:lang w:val="en-US"/>
        </w:rPr>
        <w:fldChar w:fldCharType="begin" w:fldLock="1"/>
      </w:r>
      <w:r w:rsidR="00362664" w:rsidRPr="00804F39">
        <w:rPr>
          <w:rFonts w:ascii="Times New Roman" w:hAnsi="Times New Roman" w:cs="Times New Roman"/>
          <w:sz w:val="24"/>
          <w:szCs w:val="24"/>
          <w:lang w:val="en-US"/>
        </w:rPr>
        <w:instrText>ADDIN CSL_CITATION {"citationItems":[{"id":"ITEM-1","itemData":{"DOI":"10.1681/ASN.2016070731","author":[{"dropping-particle":"","family":"Yamamoto","given":"Takeshi","non-dropping-particle":"","parse-names":false,"suffix":""},{"dropping-particle":"","family":"Takabatake","given":"Yoshitsugu","non-dropping-particle":"","parse-names":false,"suffix":""},{"dropping-particle":"","family":"Takahashi","given":"Atsushi","non-dropping-particle":"","parse-names":false,"suffix":""},{"dropping-particle":"","family":"Kimura","given":"Tomonori","non-dropping-particle":"","parse-names":false,"suffix":""}],"id":"ITEM-1","issued":{"date-parts":[["2016"]]},"page":"1-18","title":"High-Fat Diet-Induced Lysosomal Dysfunction and Impaired Autophagic Flux Contribute to Lipotoxicity in the Kidney","type":"article-journal"},"uris":["http://www.mendeley.com/documents/?uuid=4b43565d-4ca2-4963-a53a-b7cf6b1d140b"]}],"mendeley":{"formattedCitation":"&lt;sup&gt;12&lt;/sup&gt;","plainTextFormattedCitation":"12","previouslyFormattedCitation":"&lt;sup&gt;12&lt;/sup&gt;"},"properties":{"noteIndex":0},"schema":"https://github.com/citation-style-language/schema/raw/master/csl-citation.json"}</w:instrText>
      </w:r>
      <w:r w:rsidRPr="00804F39">
        <w:rPr>
          <w:rFonts w:ascii="Times New Roman" w:hAnsi="Times New Roman" w:cs="Times New Roman"/>
          <w:sz w:val="24"/>
          <w:szCs w:val="24"/>
          <w:lang w:val="en-US"/>
        </w:rPr>
        <w:fldChar w:fldCharType="separate"/>
      </w:r>
      <w:r w:rsidR="004A2BDA" w:rsidRPr="00804F39">
        <w:rPr>
          <w:rFonts w:ascii="Times New Roman" w:hAnsi="Times New Roman" w:cs="Times New Roman"/>
          <w:noProof/>
          <w:sz w:val="24"/>
          <w:szCs w:val="24"/>
          <w:lang w:val="en-US"/>
        </w:rPr>
        <w:t>12</w:t>
      </w:r>
      <w:r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Pr="00405F18">
        <w:rPr>
          <w:rFonts w:ascii="Times New Roman" w:hAnsi="Times New Roman" w:cs="Times New Roman"/>
          <w:sz w:val="24"/>
          <w:szCs w:val="24"/>
          <w:lang w:val="en-US"/>
        </w:rPr>
        <w:t>, mitophagy was assessed by colocalizing LC3 with mitochondrial oxidative phosphorylation</w:t>
      </w:r>
      <w:r w:rsidR="00ED383D" w:rsidRPr="00405F18">
        <w:rPr>
          <w:rFonts w:ascii="Times New Roman" w:hAnsi="Times New Roman" w:cs="Times New Roman"/>
          <w:sz w:val="24"/>
          <w:szCs w:val="24"/>
          <w:lang w:val="en-US"/>
        </w:rPr>
        <w:t xml:space="preserve"> (OXPHOS)</w:t>
      </w:r>
      <w:r w:rsidRPr="00405F18">
        <w:rPr>
          <w:rFonts w:ascii="Times New Roman" w:hAnsi="Times New Roman" w:cs="Times New Roman"/>
          <w:sz w:val="24"/>
          <w:szCs w:val="24"/>
          <w:lang w:val="en-US"/>
        </w:rPr>
        <w:t xml:space="preserve"> markers. However, no </w:t>
      </w:r>
      <w:r w:rsidR="00A51631" w:rsidRPr="00405F18">
        <w:rPr>
          <w:rFonts w:ascii="Times New Roman" w:hAnsi="Times New Roman" w:cs="Times New Roman"/>
          <w:sz w:val="24"/>
          <w:szCs w:val="24"/>
          <w:lang w:val="en-US"/>
        </w:rPr>
        <w:t>change</w:t>
      </w:r>
      <w:r w:rsidRPr="00405F18">
        <w:rPr>
          <w:rFonts w:ascii="Times New Roman" w:hAnsi="Times New Roman" w:cs="Times New Roman"/>
          <w:sz w:val="24"/>
          <w:szCs w:val="24"/>
          <w:lang w:val="en-US"/>
        </w:rPr>
        <w:t xml:space="preserve"> in colocalization percentages</w:t>
      </w:r>
      <w:r w:rsidR="00A51631" w:rsidRPr="00405F18">
        <w:rPr>
          <w:rFonts w:ascii="Times New Roman" w:hAnsi="Times New Roman" w:cs="Times New Roman"/>
          <w:sz w:val="24"/>
          <w:szCs w:val="24"/>
          <w:lang w:val="en-US"/>
        </w:rPr>
        <w:t xml:space="preserve"> was detected</w:t>
      </w:r>
      <w:r w:rsidRPr="00405F18">
        <w:rPr>
          <w:rFonts w:ascii="Times New Roman" w:hAnsi="Times New Roman" w:cs="Times New Roman"/>
          <w:sz w:val="24"/>
          <w:szCs w:val="24"/>
          <w:lang w:val="en-US"/>
        </w:rPr>
        <w:t xml:space="preserve"> between PA- and BSA-treated cells for 24 h (Figure S5</w:t>
      </w:r>
      <w:proofErr w:type="gramStart"/>
      <w:r w:rsidRPr="00405F18">
        <w:rPr>
          <w:rFonts w:ascii="Times New Roman" w:hAnsi="Times New Roman" w:cs="Times New Roman"/>
          <w:sz w:val="24"/>
          <w:szCs w:val="24"/>
          <w:lang w:val="en-US"/>
        </w:rPr>
        <w:t>A,C</w:t>
      </w:r>
      <w:proofErr w:type="gramEnd"/>
      <w:r w:rsidRPr="00405F18">
        <w:rPr>
          <w:rFonts w:ascii="Times New Roman" w:hAnsi="Times New Roman" w:cs="Times New Roman"/>
          <w:sz w:val="24"/>
          <w:szCs w:val="24"/>
          <w:lang w:val="en-US"/>
        </w:rPr>
        <w:t>). Next, another type of selective autophagy targeting LD</w:t>
      </w:r>
      <w:r w:rsidR="00D94717"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w:t>
      </w:r>
      <w:r w:rsidR="00ED383D" w:rsidRPr="00405F18">
        <w:rPr>
          <w:rFonts w:ascii="Times New Roman" w:hAnsi="Times New Roman" w:cs="Times New Roman"/>
          <w:sz w:val="24"/>
          <w:szCs w:val="24"/>
          <w:lang w:val="en-US"/>
        </w:rPr>
        <w:t xml:space="preserve">namely </w:t>
      </w:r>
      <w:proofErr w:type="spellStart"/>
      <w:r w:rsidRPr="00405F18">
        <w:rPr>
          <w:rFonts w:ascii="Times New Roman" w:hAnsi="Times New Roman" w:cs="Times New Roman"/>
          <w:sz w:val="24"/>
          <w:szCs w:val="24"/>
          <w:lang w:val="en-US"/>
        </w:rPr>
        <w:t>lipophagy</w:t>
      </w:r>
      <w:proofErr w:type="spellEnd"/>
      <w:r w:rsidR="00A51631" w:rsidRPr="00405F18">
        <w:rPr>
          <w:rFonts w:ascii="Times New Roman" w:hAnsi="Times New Roman" w:cs="Times New Roman"/>
          <w:sz w:val="24"/>
          <w:szCs w:val="24"/>
          <w:lang w:val="en-US"/>
        </w:rPr>
        <w:t>, was assessed</w:t>
      </w:r>
      <w:r w:rsidRPr="00405F18">
        <w:rPr>
          <w:rFonts w:ascii="Times New Roman" w:hAnsi="Times New Roman" w:cs="Times New Roman"/>
          <w:sz w:val="24"/>
          <w:szCs w:val="24"/>
          <w:lang w:val="en-US"/>
        </w:rPr>
        <w:t xml:space="preserve">. The impact of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xml:space="preserve"> on </w:t>
      </w:r>
      <w:proofErr w:type="spellStart"/>
      <w:r w:rsidRPr="00405F18">
        <w:rPr>
          <w:rFonts w:ascii="Times New Roman" w:hAnsi="Times New Roman" w:cs="Times New Roman"/>
          <w:sz w:val="24"/>
          <w:szCs w:val="24"/>
          <w:lang w:val="en-US"/>
        </w:rPr>
        <w:t>lipophagy</w:t>
      </w:r>
      <w:proofErr w:type="spellEnd"/>
      <w:r w:rsidRPr="00405F18">
        <w:rPr>
          <w:rFonts w:ascii="Times New Roman" w:hAnsi="Times New Roman" w:cs="Times New Roman"/>
          <w:sz w:val="24"/>
          <w:szCs w:val="24"/>
          <w:lang w:val="en-US"/>
        </w:rPr>
        <w:t xml:space="preserve"> is still controversial in the literature</w:t>
      </w:r>
      <w:r w:rsidR="005D6804"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some studies on cultured hepatocytes postulated that it is activated in response to PA</w:t>
      </w:r>
      <w:r w:rsidR="00804F39">
        <w:rPr>
          <w:rFonts w:ascii="Times New Roman" w:hAnsi="Times New Roman" w:cs="Times New Roman"/>
          <w:sz w:val="24"/>
          <w:szCs w:val="24"/>
          <w:lang w:val="en-US"/>
        </w:rPr>
        <w:t xml:space="preserve"> [</w:t>
      </w:r>
      <w:r w:rsidRPr="00804F39">
        <w:rPr>
          <w:rFonts w:ascii="Times New Roman" w:hAnsi="Times New Roman" w:cs="Times New Roman"/>
          <w:sz w:val="24"/>
          <w:szCs w:val="24"/>
          <w:lang w:val="en-US"/>
        </w:rPr>
        <w:fldChar w:fldCharType="begin" w:fldLock="1"/>
      </w:r>
      <w:r w:rsidR="00BC4F67" w:rsidRPr="00804F39">
        <w:rPr>
          <w:rFonts w:ascii="Times New Roman" w:hAnsi="Times New Roman" w:cs="Times New Roman"/>
          <w:sz w:val="24"/>
          <w:szCs w:val="24"/>
          <w:lang w:val="en-US"/>
        </w:rPr>
        <w:instrText>ADDIN CSL_CITATION {"citationItems":[{"id":"ITEM-1","itemData":{"DOI":"10.1038/nature07976","ISSN":"00280836","PMID":"19339967","abstract":"The intracellular storage and utilization of lipids are critical to maintain cellular energy homeostasis. During nutrient deprivation, cellular lipids stored as triglycerides in lipid droplets are hydrolysed into fatty acids for energy. A second cellular response to starvation is the induction of autophagy, which delivers intracellular proteins and organelles sequestered in double-membrane vesicles (autophagosomes) to lysosomes for degradation and use as an energy source. Lipolysis and autophagy share similarities in regulation and function but are not known to be interrelated. Here we show a previously unknown function for autophagy in regulating intracellular lipid stores (macrolipophagy). Lipid droplets and autophagic components associated during nutrient deprivation, and inhibition of autophagy in cultured hepatocytes and mouse liver increased triglyceride storage in lipid droplets. This study identifies a critical function for autophagy in lipid metabolism that could have important implications for human diseases with lipid over-accumulation such as those that comprise the metabolic syndrome. © 2009 Macmillan Publishers Limited.","author":[{"dropping-particle":"","family":"Singh","given":"Rajat","non-dropping-particle":"","parse-names":false,"suffix":""},{"dropping-particle":"","family":"Kaushik","given":"Susmita","non-dropping-particle":"","parse-names":false,"suffix":""},{"dropping-particle":"","family":"Wang","given":"Yongjun","non-dropping-particle":"","parse-names":false,"suffix":""},{"dropping-particle":"","family":"Xiang","given":"Youqing","non-dropping-particle":"","parse-names":false,"suffix":""},{"dropping-particle":"","family":"Novak","given":"Inna","non-dropping-particle":"","parse-names":false,"suffix":""},{"dropping-particle":"","family":"Komatsu","given":"Masaaki","non-dropping-particle":"","parse-names":false,"suffix":""},{"dropping-particle":"","family":"Tanaka","given":"Keiji","non-dropping-particle":"","parse-names":false,"suffix":""},{"dropping-particle":"","family":"Cuervo","given":"Ana Maria","non-dropping-particle":"","parse-names":false,"suffix":""},{"dropping-particle":"","family":"Czaja","given":"Mark J.","non-dropping-particle":"","parse-names":false,"suffix":""}],"container-title":"Nature","id":"ITEM-1","issue":"7242","issued":{"date-parts":[["2009"]]},"page":"1131-1135","publisher":"Nature Publishing Group","title":"Autophagy regulates lipid metabolism","type":"article-journal","volume":"458"},"uris":["http://www.mendeley.com/documents/?uuid=b9862d9b-834b-4078-8aa5-909559819c86"]},{"id":"ITEM-2","itemData":{"DOI":"10.1124/jpet.111.184341","ISSN":"00223565","PMID":"21856859","abstract":"Fatty acid-induced lipotoxicity plays a critical role in the pathogenesis of nonalcoholic liver disease. Saturated fatty acids and unsaturated fatty acids have differential effects on cell death and steatosis, but the mechanisms responsible for these differences are not known. Using cultured HepG2 cells and primary mouse hepatocytes, we found that unsaturated and saturated fatty acids differentially regulate autophagy and apoptosis. The unsaturated fatty acid, oleic acid, promoted the formation of triglyceride-enriched lipid droplets and induced autophagy but had a minimal effect on apoptosis. In contrast, the saturated fatty acid, palmitic acid, was poorly converted into triglyceride-enriched lipid droplets, suppressed autophagy, and significantly induced apoptosis. Subsequent studies revealed that palmitic acid-induced apoptosis suppressed autophagy by inducing caspase-dependent Beclin 1 cleavage, indicating cross-talk between apoptosis and autophagy. Moreover, our data suggest that the formation of triglyceride-enriched lipid droplets and induction of autophagy are protective mechanisms against fatty acid-induced lipotoxicity. In line with our in vitro findings, we found that high-fat diet-induced hepatic steatosis was associated with autophagy in the mouse liver. Potential modulation of autophagy may be a novel approach that has therapeutic benefits for obesity-induced steatosis and liver injury. Copyright © 2011 by The American Society for Pharmacology and Experimental Therapeutics.","author":[{"dropping-particle":"","family":"Mei","given":"Shuang","non-dropping-particle":"","parse-names":false,"suffix":""},{"dropping-particle":"","family":"Ni","given":"Hong Min","non-dropping-particle":"","parse-names":false,"suffix":""},{"dropping-particle":"","family":"Manley","given":"Sharon","non-dropping-particle":"","parse-names":false,"suffix":""},{"dropping-particle":"","family":"Bockus","given":"Abigail","non-dropping-particle":"","parse-names":false,"suffix":""},{"dropping-particle":"","family":"Kassel","given":"Karen M.","non-dropping-particle":"","parse-names":false,"suffix":""},{"dropping-particle":"","family":"Luyendyk","given":"James P.","non-dropping-particle":"","parse-names":false,"suffix":""},{"dropping-particle":"","family":"Copple","given":"Bryan L.","non-dropping-particle":"","parse-names":false,"suffix":""},{"dropping-particle":"","family":"Ding","given":"Wen Xing","non-dropping-particle":"","parse-names":false,"suffix":""}],"container-title":"Journal of Pharmacology and Experimental Therapeutics","id":"ITEM-2","issue":"2","issued":{"date-parts":[["2011"]]},"page":"487-498","title":"Differential roles of unsaturated and saturated fatty acids on autophagy and apoptosis in hepatocytes","type":"article-journal","volume":"339"},"uris":["http://www.mendeley.com/documents/?uuid=477fa778-bb5c-459d-98dd-23a7f1341120"]}],"mendeley":{"formattedCitation":"&lt;sup&gt;38,39&lt;/sup&gt;","plainTextFormattedCitation":"38,39","previouslyFormattedCitation":"&lt;sup&gt;38,39&lt;/sup&gt;"},"properties":{"noteIndex":0},"schema":"https://github.com/citation-style-language/schema/raw/master/csl-citation.json"}</w:instrText>
      </w:r>
      <w:r w:rsidRPr="00804F39">
        <w:rPr>
          <w:rFonts w:ascii="Times New Roman" w:hAnsi="Times New Roman" w:cs="Times New Roman"/>
          <w:sz w:val="24"/>
          <w:szCs w:val="24"/>
          <w:lang w:val="en-US"/>
        </w:rPr>
        <w:fldChar w:fldCharType="separate"/>
      </w:r>
      <w:r w:rsidR="00D27D77" w:rsidRPr="00804F39">
        <w:rPr>
          <w:rFonts w:ascii="Times New Roman" w:hAnsi="Times New Roman" w:cs="Times New Roman"/>
          <w:noProof/>
          <w:sz w:val="24"/>
          <w:szCs w:val="24"/>
          <w:lang w:val="en-US"/>
        </w:rPr>
        <w:t>38,39</w:t>
      </w:r>
      <w:r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while contradictory findings on cultured β-cells</w:t>
      </w:r>
      <w:r w:rsidR="00ED383D" w:rsidRPr="00405F18">
        <w:rPr>
          <w:rFonts w:ascii="Times New Roman" w:hAnsi="Times New Roman" w:cs="Times New Roman"/>
          <w:sz w:val="24"/>
          <w:szCs w:val="24"/>
          <w:lang w:val="en-US"/>
        </w:rPr>
        <w:t xml:space="preserve"> were observed</w:t>
      </w:r>
      <w:r w:rsidR="00804F39">
        <w:rPr>
          <w:rFonts w:ascii="Times New Roman" w:hAnsi="Times New Roman" w:cs="Times New Roman"/>
          <w:sz w:val="24"/>
          <w:szCs w:val="24"/>
          <w:lang w:val="en-US"/>
        </w:rPr>
        <w:t xml:space="preserve"> [</w:t>
      </w:r>
      <w:r w:rsidRPr="00804F39">
        <w:rPr>
          <w:rFonts w:ascii="Times New Roman" w:hAnsi="Times New Roman" w:cs="Times New Roman"/>
          <w:sz w:val="24"/>
          <w:szCs w:val="24"/>
          <w:lang w:val="en-US"/>
        </w:rPr>
        <w:fldChar w:fldCharType="begin" w:fldLock="1"/>
      </w:r>
      <w:r w:rsidR="00BC4F67" w:rsidRPr="00804F39">
        <w:rPr>
          <w:rFonts w:ascii="Times New Roman" w:hAnsi="Times New Roman" w:cs="Times New Roman"/>
          <w:sz w:val="24"/>
          <w:szCs w:val="24"/>
          <w:lang w:val="en-US"/>
        </w:rPr>
        <w:instrText>ADDIN CSL_CITATION {"citationItems":[{"id":"ITEM-1","itemData":{"DOI":"10.1016/j.jnutbio.2018.02.017","ISSN":"18734847","PMID":"29758481","abstract":"Kaempferol, a natural flavonoid, has the beneficial effects of preserving pancreatic β-cell mass and function, but its action on β-cell lipid metabolism still remains elusive. Recently, autophagy has been reported to play a major role in lipid metabolism in various cell types, but its role in pancreatic β-cell's lipid metabolism is rarely reported. Here, we investigated the role of kaempferol-induced autophagy in inhibition of lipid stores, ER stress and β-cell dysfunction in palmitic acid-challenged RIN-5F cells and isolated pancreatic islets. The lipid-lowering effect of kaempferol was determined by Oil Red O staining, triglyceride assay, BODIPY labeling, RT-PCR and immunoblot analysis of PLIN2 (the lipid droplet coat protein) expression. Further, the involvement of AMPK/mTOR-mediated lipophagy was established by pharmacological and genetic inhibitors of autophagy and AMPK. The co-localization studies of lipid droplets with autophagosomes/lysosomes by BODIPY-MDC-LysoTracker co-staining, LC3/BODIPY labeling and LC3/PLIN2 double immunolabeling further strengthened the findings. Kaempferol treatment exhibited decreased lipid stores and increased co-localization of lipid droplets with autophagosomes and lysosomes in palmitic acid–challenged β-cells. Moreover, inhibition of autophagy led to decreased co-localization and increased lipid droplets accumulation. Kaempferol-induced alleviation of ER stress and β-cell dysfunctions was established by immunoblot analysis of CHOP-10 (a key mediator of cell death in response to ER stress) and insulin content/secretion analysis respectively. Together, these findings suggest that kaempferol prevents ectopic lipid accumulation and ER stress, thus restoring β-cell function through AMPK-mediated lipophagy. The current data implies that kaempferol may be a potential therapeutic candidate to prevent obesity-linked diabetic complications.","author":[{"dropping-particle":"","family":"Varshney","given":"Ritu","non-dropping-particle":"","parse-names":false,"suffix":""},{"dropping-particle":"","family":"Varshney","given":"Rajat","non-dropping-particle":"","parse-names":false,"suffix":""},{"dropping-particle":"","family":"Mishra","given":"Rutusmita","non-dropping-particle":"","parse-names":false,"suffix":""},{"dropping-particle":"","family":"Gupta","given":"Sumeet","non-dropping-particle":"","parse-names":false,"suffix":""},{"dropping-particle":"","family":"Sircar","given":"Debabrata","non-dropping-particle":"","parse-names":false,"suffix":""},{"dropping-particle":"","family":"Roy","given":"Partha","non-dropping-particle":"","parse-names":false,"suffix":""}],"container-title":"Journal of Nutritional Biochemistry","id":"ITEM-1","issued":{"date-parts":[["2018"]]},"page":"212-227","publisher":"Elsevier Inc.","title":"Kaempferol alleviates palmitic acid-induced lipid stores, endoplasmic reticulum stress and pancreatic β-cell dysfunction through AMPK/mTOR-mediated lipophagy","type":"article-journal","volume":"57"},"uris":["http://www.mendeley.com/documents/?uuid=b3b85abb-cf44-4cf4-b2a3-ddc37f0d327d"]}],"mendeley":{"formattedCitation":"&lt;sup&gt;40&lt;/sup&gt;","plainTextFormattedCitation":"40","previouslyFormattedCitation":"&lt;sup&gt;40&lt;/sup&gt;"},"properties":{"noteIndex":0},"schema":"https://github.com/citation-style-language/schema/raw/master/csl-citation.json"}</w:instrText>
      </w:r>
      <w:r w:rsidRPr="00804F39">
        <w:rPr>
          <w:rFonts w:ascii="Times New Roman" w:hAnsi="Times New Roman" w:cs="Times New Roman"/>
          <w:sz w:val="24"/>
          <w:szCs w:val="24"/>
          <w:lang w:val="en-US"/>
        </w:rPr>
        <w:fldChar w:fldCharType="separate"/>
      </w:r>
      <w:r w:rsidR="00D27D77" w:rsidRPr="00804F39">
        <w:rPr>
          <w:rFonts w:ascii="Times New Roman" w:hAnsi="Times New Roman" w:cs="Times New Roman"/>
          <w:noProof/>
          <w:sz w:val="24"/>
          <w:szCs w:val="24"/>
          <w:lang w:val="en-US"/>
        </w:rPr>
        <w:t>40</w:t>
      </w:r>
      <w:r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proofErr w:type="spellStart"/>
      <w:r w:rsidRPr="00405F18">
        <w:rPr>
          <w:rFonts w:ascii="Times New Roman" w:hAnsi="Times New Roman" w:cs="Times New Roman"/>
          <w:sz w:val="24"/>
          <w:szCs w:val="24"/>
          <w:lang w:val="en-US"/>
        </w:rPr>
        <w:t>Lipophagy</w:t>
      </w:r>
      <w:proofErr w:type="spellEnd"/>
      <w:r w:rsidRPr="00405F18">
        <w:rPr>
          <w:rFonts w:ascii="Times New Roman" w:hAnsi="Times New Roman" w:cs="Times New Roman"/>
          <w:sz w:val="24"/>
          <w:szCs w:val="24"/>
          <w:lang w:val="en-US"/>
        </w:rPr>
        <w:t xml:space="preserve"> was assessed by colocalizing LC3 with </w:t>
      </w:r>
      <w:r w:rsidR="0026635C">
        <w:rPr>
          <w:rFonts w:ascii="Times New Roman" w:hAnsi="Times New Roman" w:cs="Times New Roman"/>
          <w:sz w:val="24"/>
          <w:szCs w:val="24"/>
          <w:lang w:val="en-US"/>
        </w:rPr>
        <w:t>PLIN2 (</w:t>
      </w:r>
      <w:r w:rsidRPr="00405F18">
        <w:rPr>
          <w:rFonts w:ascii="Times New Roman" w:hAnsi="Times New Roman" w:cs="Times New Roman"/>
          <w:sz w:val="24"/>
          <w:szCs w:val="24"/>
          <w:lang w:val="en-US"/>
        </w:rPr>
        <w:t>perilipin 2</w:t>
      </w:r>
      <w:r w:rsidR="00ED383D"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and colocalization percentages </w:t>
      </w:r>
      <w:r w:rsidR="004B13A1" w:rsidRPr="00405F18">
        <w:rPr>
          <w:rFonts w:ascii="Times New Roman" w:hAnsi="Times New Roman" w:cs="Times New Roman"/>
          <w:sz w:val="24"/>
          <w:szCs w:val="24"/>
          <w:lang w:val="en-US"/>
        </w:rPr>
        <w:t>we</w:t>
      </w:r>
      <w:r w:rsidRPr="00405F18">
        <w:rPr>
          <w:rFonts w:ascii="Times New Roman" w:hAnsi="Times New Roman" w:cs="Times New Roman"/>
          <w:sz w:val="24"/>
          <w:szCs w:val="24"/>
          <w:lang w:val="en-US"/>
        </w:rPr>
        <w:t>re comparable between PA- and BSA-treated cells (Figure S5</w:t>
      </w:r>
      <w:proofErr w:type="gramStart"/>
      <w:r w:rsidRPr="00405F18">
        <w:rPr>
          <w:rFonts w:ascii="Times New Roman" w:hAnsi="Times New Roman" w:cs="Times New Roman"/>
          <w:sz w:val="24"/>
          <w:szCs w:val="24"/>
          <w:lang w:val="en-US"/>
        </w:rPr>
        <w:t>B,D</w:t>
      </w:r>
      <w:proofErr w:type="gramEnd"/>
      <w:r w:rsidRPr="00405F18">
        <w:rPr>
          <w:rFonts w:ascii="Times New Roman" w:hAnsi="Times New Roman" w:cs="Times New Roman"/>
          <w:sz w:val="24"/>
          <w:szCs w:val="24"/>
          <w:lang w:val="en-US"/>
        </w:rPr>
        <w:t xml:space="preserve">). </w:t>
      </w:r>
    </w:p>
    <w:p w14:paraId="5BEC6DA2" w14:textId="4592A6D4" w:rsidR="00295CE2" w:rsidRPr="00405F18" w:rsidRDefault="00605472" w:rsidP="00804F39">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Perez and collaborators nicely demonstrated that PA damage the endoplasmic reticulum </w:t>
      </w:r>
      <w:r w:rsidR="00107C11" w:rsidRPr="00405F18">
        <w:rPr>
          <w:rFonts w:ascii="Times New Roman" w:hAnsi="Times New Roman" w:cs="Times New Roman"/>
          <w:sz w:val="24"/>
          <w:szCs w:val="24"/>
          <w:lang w:val="en-US"/>
        </w:rPr>
        <w:t xml:space="preserve">by increasing the saturation of membrane FAs </w:t>
      </w:r>
      <w:r w:rsidRPr="00405F18">
        <w:rPr>
          <w:rFonts w:ascii="Times New Roman" w:hAnsi="Times New Roman" w:cs="Times New Roman"/>
          <w:sz w:val="24"/>
          <w:szCs w:val="24"/>
          <w:lang w:val="en-US"/>
        </w:rPr>
        <w:t>in fibroblast-induced renal epithelial cells</w:t>
      </w:r>
      <w:r w:rsidR="00804F39">
        <w:rPr>
          <w:rFonts w:ascii="Times New Roman" w:hAnsi="Times New Roman" w:cs="Times New Roman"/>
          <w:sz w:val="24"/>
          <w:szCs w:val="24"/>
          <w:lang w:val="en-US"/>
        </w:rPr>
        <w:t xml:space="preserve"> [</w:t>
      </w:r>
      <w:r w:rsidRPr="00804F39">
        <w:rPr>
          <w:rFonts w:ascii="Times New Roman" w:hAnsi="Times New Roman" w:cs="Times New Roman"/>
          <w:sz w:val="24"/>
          <w:szCs w:val="24"/>
          <w:lang w:val="en-US"/>
        </w:rPr>
        <w:fldChar w:fldCharType="begin" w:fldLock="1"/>
      </w:r>
      <w:r w:rsidR="00BC4F67" w:rsidRPr="00804F39">
        <w:rPr>
          <w:rFonts w:ascii="Times New Roman" w:hAnsi="Times New Roman" w:cs="Times New Roman"/>
          <w:sz w:val="24"/>
          <w:szCs w:val="24"/>
          <w:lang w:val="en-US"/>
        </w:rPr>
        <w:instrText>ADDIN CSL_CITATION {"citationItems":[{"id":"ITEM-1","itemData":{"DOI":"10.7554/eLife.74391","ISSN":"2050084X","PMID":"35550039","abstract":"In diabetic patients, dyslipidemia frequently contributes to organ damage such as diabetic kidney disease (DKD). Dyslipidemia is associated with both excessive deposition of triacyl-glycerol (TAG) in lipid droplets (LDs) and lipotoxicity. Yet, it is unclear how these two effects correlate with each other in the kidney and how they are influenced by dietary patterns. By using a diabetes mouse model, we find here that high-fat diet enriched in the monounsaturated oleic acid (OA) caused more lipid storage in LDs in renal proximal tubular cells (PTCs) but less tubular damage than a corresponding butter diet with the saturated palmitic acid (PA). This effect was particularly evident in S2/S3 but not S1 segments of the proximal tubule. Combining transcriptomics, lipidomics, and functional studies, we identify endoplasmic reticulum (ER) stress as the main cause of PA-induced PTC injury. Mechanistically, ER stress is caused by elevated levels of saturated TAG precursors, reduced LD formation, and, consequently, higher membrane order in the ER. Simultaneous addition of OA rescues the cytotoxic effects by normalizing membrane order and increasing both TAG and LD formation. Our study thus emphasizes the importance of monounsaturated fatty acids for the dietary management of DKD by preventing lipid bilayer stress in the ER and promoting TAG and LD formation in PTCs.","author":[{"dropping-particle":"","family":"Pérez-Martí","given":"Albert","non-dropping-particle":"","parse-names":false,"suffix":""},{"dropping-particle":"","family":"Ramakrishnan","given":"Suresh","non-dropping-particle":"","parse-names":false,"suffix":""},{"dropping-particle":"","family":"Li","given":"Jiayi","non-dropping-particle":"","parse-names":false,"suffix":""},{"dropping-particle":"","family":"Dugourd","given":"Aurelien","non-dropping-particle":"","parse-names":false,"suffix":""},{"dropping-particle":"","family":"Molenaar","given":"Martijn R.","non-dropping-particle":"","parse-names":false,"suffix":""},{"dropping-particle":"La","family":"Motte","given":"Luigi R.De","non-dropping-particle":"","parse-names":false,"suffix":""},{"dropping-particle":"","family":"Grand","given":"Kelli","non-dropping-particle":"","parse-names":false,"suffix":""},{"dropping-particle":"","family":"Mansouri","given":"Anis","non-dropping-particle":"","parse-names":false,"suffix":""},{"dropping-particle":"","family":"Parisot","given":"Mélanie","non-dropping-particle":"","parse-names":false,"suffix":""},{"dropping-particle":"","family":"Lienkamp","given":"Soeren S.","non-dropping-particle":"","parse-names":false,"suffix":""},{"dropping-particle":"","family":"Saez-Rodriguez","given":"Julio","non-dropping-particle":"","parse-names":false,"suffix":""},{"dropping-particle":"","family":"Simons","given":"Matias","non-dropping-particle":"","parse-names":false,"suffix":""}],"container-title":"eLife","id":"ITEM-1","issued":{"date-parts":[["2022"]]},"page":"1-31","title":"Reducing lipid bilayer stress by monounsaturated fatty acids protects renal proximal tubules in diabetes","type":"article-journal","volume":"11"},"uris":["http://www.mendeley.com/documents/?uuid=063ea5fd-3dc5-49ac-80b1-6c94206131c0"]}],"mendeley":{"formattedCitation":"&lt;sup&gt;41&lt;/sup&gt;","plainTextFormattedCitation":"41","previouslyFormattedCitation":"&lt;sup&gt;41&lt;/sup&gt;"},"properties":{"noteIndex":0},"schema":"https://github.com/citation-style-language/schema/raw/master/csl-citation.json"}</w:instrText>
      </w:r>
      <w:r w:rsidRPr="00804F39">
        <w:rPr>
          <w:rFonts w:ascii="Times New Roman" w:hAnsi="Times New Roman" w:cs="Times New Roman"/>
          <w:sz w:val="24"/>
          <w:szCs w:val="24"/>
          <w:lang w:val="en-US"/>
        </w:rPr>
        <w:fldChar w:fldCharType="separate"/>
      </w:r>
      <w:r w:rsidR="00D27D77" w:rsidRPr="00804F39">
        <w:rPr>
          <w:rFonts w:ascii="Times New Roman" w:hAnsi="Times New Roman" w:cs="Times New Roman"/>
          <w:noProof/>
          <w:sz w:val="24"/>
          <w:szCs w:val="24"/>
          <w:lang w:val="en-US"/>
        </w:rPr>
        <w:t>41</w:t>
      </w:r>
      <w:r w:rsidRPr="00804F39">
        <w:rPr>
          <w:rFonts w:ascii="Times New Roman" w:hAnsi="Times New Roman" w:cs="Times New Roman"/>
          <w:sz w:val="24"/>
          <w:szCs w:val="24"/>
          <w:lang w:val="en-US"/>
        </w:rPr>
        <w:fldChar w:fldCharType="end"/>
      </w:r>
      <w:r w:rsidR="00804F3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This stress might lead to protein misfolding, which will translocate in the cytosol by the </w:t>
      </w:r>
      <w:r w:rsidR="00606290" w:rsidRPr="00405F18">
        <w:rPr>
          <w:rFonts w:ascii="Times New Roman" w:hAnsi="Times New Roman" w:cs="Times New Roman"/>
          <w:sz w:val="24"/>
          <w:szCs w:val="24"/>
          <w:lang w:val="en-US"/>
        </w:rPr>
        <w:lastRenderedPageBreak/>
        <w:t>endoplasmic reticulum</w:t>
      </w:r>
      <w:r w:rsidRPr="00405F18">
        <w:rPr>
          <w:rFonts w:ascii="Times New Roman" w:hAnsi="Times New Roman" w:cs="Times New Roman"/>
          <w:sz w:val="24"/>
          <w:szCs w:val="24"/>
          <w:lang w:val="en-US"/>
        </w:rPr>
        <w:t>-associated protein degradation system. In addition, folded proteins m</w:t>
      </w:r>
      <w:r w:rsidR="00B43D93" w:rsidRPr="00405F18">
        <w:rPr>
          <w:rFonts w:ascii="Times New Roman" w:hAnsi="Times New Roman" w:cs="Times New Roman"/>
          <w:sz w:val="24"/>
          <w:szCs w:val="24"/>
          <w:lang w:val="en-US"/>
        </w:rPr>
        <w:t>ight be</w:t>
      </w:r>
      <w:r w:rsidRPr="00405F18">
        <w:rPr>
          <w:rFonts w:ascii="Times New Roman" w:hAnsi="Times New Roman" w:cs="Times New Roman"/>
          <w:sz w:val="24"/>
          <w:szCs w:val="24"/>
          <w:lang w:val="en-US"/>
        </w:rPr>
        <w:t xml:space="preserve"> directly damaged by toxic lipid intermediates</w:t>
      </w:r>
      <w:r w:rsidR="00087A89" w:rsidRPr="00405F18">
        <w:rPr>
          <w:rFonts w:ascii="Times New Roman" w:hAnsi="Times New Roman" w:cs="Times New Roman"/>
          <w:sz w:val="24"/>
          <w:szCs w:val="24"/>
          <w:lang w:val="en-US"/>
        </w:rPr>
        <w:t xml:space="preserve"> and/or</w:t>
      </w:r>
      <w:r w:rsidRPr="00405F18">
        <w:rPr>
          <w:rFonts w:ascii="Times New Roman" w:hAnsi="Times New Roman" w:cs="Times New Roman"/>
          <w:sz w:val="24"/>
          <w:szCs w:val="24"/>
          <w:lang w:val="en-US"/>
        </w:rPr>
        <w:t xml:space="preserve"> elevated oxidative stress, two features of </w:t>
      </w:r>
      <w:proofErr w:type="spellStart"/>
      <w:r w:rsidRPr="00405F18">
        <w:rPr>
          <w:rFonts w:ascii="Times New Roman" w:hAnsi="Times New Roman" w:cs="Times New Roman"/>
          <w:sz w:val="24"/>
          <w:szCs w:val="24"/>
          <w:lang w:val="en-US"/>
        </w:rPr>
        <w:t>lipotoxicity</w:t>
      </w:r>
      <w:proofErr w:type="spellEnd"/>
      <w:r w:rsidR="007A6C79">
        <w:rPr>
          <w:rFonts w:ascii="Times New Roman" w:hAnsi="Times New Roman" w:cs="Times New Roman"/>
          <w:sz w:val="24"/>
          <w:szCs w:val="24"/>
          <w:lang w:val="en-US"/>
        </w:rPr>
        <w:t xml:space="preserve"> [</w:t>
      </w:r>
      <w:r w:rsidRPr="007A6C79">
        <w:rPr>
          <w:rFonts w:ascii="Times New Roman" w:hAnsi="Times New Roman" w:cs="Times New Roman"/>
          <w:sz w:val="24"/>
          <w:szCs w:val="24"/>
          <w:lang w:val="en-US"/>
        </w:rPr>
        <w:fldChar w:fldCharType="begin" w:fldLock="1"/>
      </w:r>
      <w:r w:rsidR="00BC4F67" w:rsidRPr="007A6C79">
        <w:rPr>
          <w:rFonts w:ascii="Times New Roman" w:hAnsi="Times New Roman" w:cs="Times New Roman"/>
          <w:sz w:val="24"/>
          <w:szCs w:val="24"/>
          <w:lang w:val="en-US"/>
        </w:rPr>
        <w:instrText>ADDIN CSL_CITATION {"citationItems":[{"id":"ITEM-1","itemData":{"DOI":"10.3389/fnmol.2022.829291","ISSN":"16625099","abstract":"The maintenance of lipid homeostasis is essential for the normal functioning of living organisms. Alterations of the lipid homeostasis system remodel the composition of the lipidome, potentially leading to the formation of toxic lipid species. In turn, lipidome changes can affect the protein homeostasis system by causing perturbations that elicit protein condensation phenomena such as protein liquid-liquid phase separation and protein aggregation. Lipids can also be more directly involved the formation of aberrant condensed states of proteins by facilitating the early events that initiate these processes and by stabilizing the condensed states themselves. These observations suggest that lipid-induced toxicity can contribute to protein misfolding diseases, including Alzheimer’s and Parkinson’s diseases. According to this view, an impairment of the lipid homeostasis system generates toxic states of lipids that disturb the protein homeostasis system and promote the formation of toxic states of proteins.","author":[{"dropping-particle":"","family":"Vendruscolo","given":"Michele","non-dropping-particle":"","parse-names":false,"suffix":""}],"container-title":"Frontiers in Molecular Neuroscience","id":"ITEM-1","issue":"March","issued":{"date-parts":[["2022"]]},"page":"1-13","title":"Lipid Homeostasis and Its Links With Protein Misfolding Diseases","type":"article-journal","volume":"15"},"uris":["http://www.mendeley.com/documents/?uuid=1bdbc43b-ccf5-45c6-b792-c2457b68d317"]}],"mendeley":{"formattedCitation":"&lt;sup&gt;42&lt;/sup&gt;","plainTextFormattedCitation":"42","previouslyFormattedCitation":"&lt;sup&gt;42&lt;/sup&gt;"},"properties":{"noteIndex":0},"schema":"https://github.com/citation-style-language/schema/raw/master/csl-citation.json"}</w:instrText>
      </w:r>
      <w:r w:rsidRPr="007A6C79">
        <w:rPr>
          <w:rFonts w:ascii="Times New Roman" w:hAnsi="Times New Roman" w:cs="Times New Roman"/>
          <w:sz w:val="24"/>
          <w:szCs w:val="24"/>
          <w:lang w:val="en-US"/>
        </w:rPr>
        <w:fldChar w:fldCharType="separate"/>
      </w:r>
      <w:r w:rsidR="00D27D77" w:rsidRPr="007A6C79">
        <w:rPr>
          <w:rFonts w:ascii="Times New Roman" w:hAnsi="Times New Roman" w:cs="Times New Roman"/>
          <w:noProof/>
          <w:sz w:val="24"/>
          <w:szCs w:val="24"/>
          <w:lang w:val="en-US"/>
        </w:rPr>
        <w:t>42</w:t>
      </w:r>
      <w:r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Pr="00405F18">
        <w:rPr>
          <w:rFonts w:ascii="Times New Roman" w:hAnsi="Times New Roman" w:cs="Times New Roman"/>
          <w:sz w:val="24"/>
          <w:szCs w:val="24"/>
          <w:lang w:val="en-US"/>
        </w:rPr>
        <w:t>. Cytosolic accumulation of aberrant proteins might form aggregate</w:t>
      </w:r>
      <w:r w:rsidR="00F91DB6"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which, upon ubiquitination, are recognized by SQSTM1 to be engulfed in autophagosomes, a process named </w:t>
      </w:r>
      <w:proofErr w:type="spellStart"/>
      <w:r w:rsidRPr="00405F18">
        <w:rPr>
          <w:rFonts w:ascii="Times New Roman" w:hAnsi="Times New Roman" w:cs="Times New Roman"/>
          <w:sz w:val="24"/>
          <w:szCs w:val="24"/>
          <w:lang w:val="en-US"/>
        </w:rPr>
        <w:t>aggrephagy</w:t>
      </w:r>
      <w:proofErr w:type="spellEnd"/>
      <w:r w:rsidR="007A6C79">
        <w:rPr>
          <w:rFonts w:ascii="Times New Roman" w:hAnsi="Times New Roman" w:cs="Times New Roman"/>
          <w:sz w:val="24"/>
          <w:szCs w:val="24"/>
          <w:lang w:val="en-US"/>
        </w:rPr>
        <w:t xml:space="preserve"> [</w:t>
      </w:r>
      <w:r w:rsidRPr="007A6C79">
        <w:rPr>
          <w:rFonts w:ascii="Times New Roman" w:hAnsi="Times New Roman" w:cs="Times New Roman"/>
          <w:sz w:val="24"/>
          <w:szCs w:val="24"/>
          <w:lang w:val="en-US"/>
        </w:rPr>
        <w:fldChar w:fldCharType="begin" w:fldLock="1"/>
      </w:r>
      <w:r w:rsidR="00BC4F67" w:rsidRPr="007A6C79">
        <w:rPr>
          <w:rFonts w:ascii="Times New Roman" w:hAnsi="Times New Roman" w:cs="Times New Roman"/>
          <w:sz w:val="24"/>
          <w:szCs w:val="24"/>
          <w:lang w:val="en-US"/>
        </w:rPr>
        <w:instrText>ADDIN CSL_CITATION {"citationItems":[{"id":"ITEM-1","itemData":{"DOI":"10.1155/2012/736905","ISSN":"16878876","abstract":"Protein aggregation is a continuous process in our cells. Some proteins aggregate in a regulated manner required for different vital functional processes in the cells whereas other protein aggregates result from misfolding caused by various stressors. The decision to form an aggregate is largely made by chaperones and chaperone-assisted proteins. Proteins that are damaged beyond repair are degraded either by the proteasome or by the lysosome via autophagy. The aggregates can be degraded by the proteasome and by chaperone-mediated autophagy only after dissolution into soluble single peptide species. Hence, protein aggregates as such are degraded by macroautophagy. The selective degradation of protein aggregates by macroautophagy is called aggrephagy. Here we review the processes of aggregate formation, recognition, transport, and sequestration into autophagosomes by autophagy receptors and the role of aggrephagy in different protein aggregation diseases. Copyright 2012 Trond Lamark and Terje Johansen.","author":[{"dropping-particle":"","family":"Lamark","given":"Trond","non-dropping-particle":"","parse-names":false,"suffix":""},{"dropping-particle":"","family":"Johansen","given":"Terje","non-dropping-particle":"","parse-names":false,"suffix":""}],"container-title":"International Journal of Cell Biology","id":"ITEM-1","issued":{"date-parts":[["2012"]]},"title":"Aggrephagy: Selective disposal of protein aggregates by macroautophagy","type":"article-journal","volume":"2012"},"uris":["http://www.mendeley.com/documents/?uuid=663983a4-4bc3-4123-843d-20e32c1a7495"]}],"mendeley":{"formattedCitation":"&lt;sup&gt;43&lt;/sup&gt;","plainTextFormattedCitation":"43","previouslyFormattedCitation":"&lt;sup&gt;43&lt;/sup&gt;"},"properties":{"noteIndex":0},"schema":"https://github.com/citation-style-language/schema/raw/master/csl-citation.json"}</w:instrText>
      </w:r>
      <w:r w:rsidRPr="007A6C79">
        <w:rPr>
          <w:rFonts w:ascii="Times New Roman" w:hAnsi="Times New Roman" w:cs="Times New Roman"/>
          <w:sz w:val="24"/>
          <w:szCs w:val="24"/>
          <w:lang w:val="en-US"/>
        </w:rPr>
        <w:fldChar w:fldCharType="separate"/>
      </w:r>
      <w:r w:rsidR="00D27D77" w:rsidRPr="007A6C79">
        <w:rPr>
          <w:rFonts w:ascii="Times New Roman" w:hAnsi="Times New Roman" w:cs="Times New Roman"/>
          <w:noProof/>
          <w:sz w:val="24"/>
          <w:szCs w:val="24"/>
          <w:lang w:val="en-US"/>
        </w:rPr>
        <w:t>43</w:t>
      </w:r>
      <w:r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Pr="00405F18">
        <w:rPr>
          <w:rFonts w:ascii="Times New Roman" w:hAnsi="Times New Roman" w:cs="Times New Roman"/>
          <w:sz w:val="24"/>
          <w:szCs w:val="24"/>
          <w:lang w:val="en-US"/>
        </w:rPr>
        <w:t>. After 24 h, PA-treated cells show</w:t>
      </w:r>
      <w:r w:rsidR="00B91413"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significant higher number of ubiquitin (</w:t>
      </w:r>
      <w:proofErr w:type="spellStart"/>
      <w:r w:rsidRPr="00405F18">
        <w:rPr>
          <w:rFonts w:ascii="Times New Roman" w:hAnsi="Times New Roman" w:cs="Times New Roman"/>
          <w:sz w:val="24"/>
          <w:szCs w:val="24"/>
          <w:lang w:val="en-US"/>
        </w:rPr>
        <w:t>Ub</w:t>
      </w:r>
      <w:proofErr w:type="spellEnd"/>
      <w:r w:rsidRPr="00405F18">
        <w:rPr>
          <w:rFonts w:ascii="Times New Roman" w:hAnsi="Times New Roman" w:cs="Times New Roman"/>
          <w:sz w:val="24"/>
          <w:szCs w:val="24"/>
          <w:lang w:val="en-US"/>
        </w:rPr>
        <w:t>) aggregates (&gt; 0.5 µm</w:t>
      </w:r>
      <w:r w:rsidR="00686A4C" w:rsidRPr="00405F18">
        <w:rPr>
          <w:rFonts w:ascii="Times New Roman" w:hAnsi="Times New Roman" w:cs="Times New Roman"/>
          <w:sz w:val="24"/>
          <w:szCs w:val="24"/>
          <w:vertAlign w:val="superscript"/>
          <w:lang w:val="en-US"/>
        </w:rPr>
        <w:t>2</w:t>
      </w:r>
      <w:r w:rsidRPr="00405F18">
        <w:rPr>
          <w:rFonts w:ascii="Times New Roman" w:hAnsi="Times New Roman" w:cs="Times New Roman"/>
          <w:sz w:val="24"/>
          <w:szCs w:val="24"/>
          <w:lang w:val="en-US"/>
        </w:rPr>
        <w:t>) compared to BSA-treated cells</w:t>
      </w:r>
      <w:r w:rsidR="00217128" w:rsidRPr="00405F18">
        <w:rPr>
          <w:rFonts w:ascii="Times New Roman" w:hAnsi="Times New Roman" w:cs="Times New Roman"/>
          <w:sz w:val="24"/>
          <w:szCs w:val="24"/>
          <w:lang w:val="en-US"/>
        </w:rPr>
        <w:t xml:space="preserve"> (Figure</w:t>
      </w:r>
      <w:r w:rsidR="00530FF3" w:rsidRPr="00405F18">
        <w:rPr>
          <w:rFonts w:ascii="Times New Roman" w:hAnsi="Times New Roman" w:cs="Times New Roman"/>
          <w:sz w:val="24"/>
          <w:szCs w:val="24"/>
          <w:lang w:val="en-US"/>
        </w:rPr>
        <w:t xml:space="preserve"> 4</w:t>
      </w:r>
      <w:proofErr w:type="gramStart"/>
      <w:r w:rsidR="00530FF3" w:rsidRPr="00405F18">
        <w:rPr>
          <w:rFonts w:ascii="Times New Roman" w:hAnsi="Times New Roman" w:cs="Times New Roman"/>
          <w:sz w:val="24"/>
          <w:szCs w:val="24"/>
          <w:lang w:val="en-US"/>
        </w:rPr>
        <w:t>A,B</w:t>
      </w:r>
      <w:proofErr w:type="gramEnd"/>
      <w:r w:rsidR="00530FF3" w:rsidRPr="00405F18">
        <w:rPr>
          <w:rFonts w:ascii="Times New Roman" w:hAnsi="Times New Roman" w:cs="Times New Roman"/>
          <w:sz w:val="24"/>
          <w:szCs w:val="24"/>
          <w:lang w:val="en-US"/>
        </w:rPr>
        <w:t>)</w:t>
      </w:r>
      <w:r w:rsidR="00217128"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 The effect of PA </w:t>
      </w:r>
      <w:r w:rsidR="00B91413"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s even higher than in the positive control where cells were starved and treated for 6 h with 10 µM</w:t>
      </w:r>
      <w:r w:rsidR="00B91413" w:rsidRPr="00405F18">
        <w:rPr>
          <w:rFonts w:ascii="Times New Roman" w:hAnsi="Times New Roman" w:cs="Times New Roman"/>
          <w:sz w:val="24"/>
          <w:szCs w:val="24"/>
          <w:lang w:val="en-US"/>
        </w:rPr>
        <w:t xml:space="preserve"> of</w:t>
      </w:r>
      <w:r w:rsidRPr="00405F18">
        <w:rPr>
          <w:rFonts w:ascii="Times New Roman" w:hAnsi="Times New Roman" w:cs="Times New Roman"/>
          <w:sz w:val="24"/>
          <w:szCs w:val="24"/>
          <w:lang w:val="en-US"/>
        </w:rPr>
        <w:t xml:space="preserve"> the proteasomal inhibitor </w:t>
      </w:r>
      <w:bookmarkStart w:id="6" w:name="_Hlk172281077"/>
      <w:r w:rsidRPr="00405F18">
        <w:rPr>
          <w:rFonts w:ascii="Times New Roman" w:hAnsi="Times New Roman" w:cs="Times New Roman"/>
          <w:sz w:val="24"/>
          <w:szCs w:val="24"/>
          <w:lang w:val="en-US"/>
        </w:rPr>
        <w:t>N-</w:t>
      </w:r>
      <w:proofErr w:type="spellStart"/>
      <w:r w:rsidR="00F95C44">
        <w:rPr>
          <w:rFonts w:ascii="Times New Roman" w:hAnsi="Times New Roman" w:cs="Times New Roman"/>
          <w:sz w:val="24"/>
          <w:szCs w:val="24"/>
          <w:lang w:val="en-US"/>
        </w:rPr>
        <w:t>b</w:t>
      </w:r>
      <w:r w:rsidRPr="00405F18">
        <w:rPr>
          <w:rFonts w:ascii="Times New Roman" w:hAnsi="Times New Roman" w:cs="Times New Roman"/>
          <w:sz w:val="24"/>
          <w:szCs w:val="24"/>
          <w:lang w:val="en-US"/>
        </w:rPr>
        <w:t>enzyloxycarbonyl</w:t>
      </w:r>
      <w:proofErr w:type="spellEnd"/>
      <w:r w:rsidRPr="00405F18">
        <w:rPr>
          <w:rFonts w:ascii="Times New Roman" w:hAnsi="Times New Roman" w:cs="Times New Roman"/>
          <w:sz w:val="24"/>
          <w:szCs w:val="24"/>
          <w:lang w:val="en-US"/>
        </w:rPr>
        <w:t>-L-leucyl-L-leucyl-L-</w:t>
      </w:r>
      <w:proofErr w:type="spellStart"/>
      <w:r w:rsidRPr="00405F18">
        <w:rPr>
          <w:rFonts w:ascii="Times New Roman" w:hAnsi="Times New Roman" w:cs="Times New Roman"/>
          <w:sz w:val="24"/>
          <w:szCs w:val="24"/>
          <w:lang w:val="en-US"/>
        </w:rPr>
        <w:t>leucinal</w:t>
      </w:r>
      <w:proofErr w:type="spellEnd"/>
      <w:r w:rsidRPr="00405F18">
        <w:rPr>
          <w:rFonts w:ascii="Times New Roman" w:hAnsi="Times New Roman" w:cs="Times New Roman"/>
          <w:sz w:val="24"/>
          <w:szCs w:val="24"/>
          <w:lang w:val="en-US"/>
        </w:rPr>
        <w:t xml:space="preserve"> </w:t>
      </w:r>
      <w:bookmarkEnd w:id="6"/>
      <w:r w:rsidRPr="00405F18">
        <w:rPr>
          <w:rFonts w:ascii="Times New Roman" w:hAnsi="Times New Roman" w:cs="Times New Roman"/>
          <w:sz w:val="24"/>
          <w:szCs w:val="24"/>
          <w:lang w:val="en-US"/>
        </w:rPr>
        <w:t xml:space="preserve">(MG132) and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FF7085">
        <w:rPr>
          <w:rFonts w:ascii="Times New Roman" w:hAnsi="Times New Roman" w:cs="Times New Roman"/>
          <w:sz w:val="24"/>
          <w:szCs w:val="24"/>
          <w:vertAlign w:val="subscript"/>
          <w:lang w:val="en-US"/>
        </w:rPr>
        <w:t>1</w:t>
      </w:r>
      <w:r w:rsidRPr="00405F18">
        <w:rPr>
          <w:rFonts w:ascii="Times New Roman" w:hAnsi="Times New Roman" w:cs="Times New Roman"/>
          <w:sz w:val="24"/>
          <w:szCs w:val="24"/>
          <w:lang w:val="en-US"/>
        </w:rPr>
        <w:t xml:space="preserve"> (Figure 4</w:t>
      </w:r>
      <w:proofErr w:type="gramStart"/>
      <w:r w:rsidRPr="00405F18">
        <w:rPr>
          <w:rFonts w:ascii="Times New Roman" w:hAnsi="Times New Roman" w:cs="Times New Roman"/>
          <w:sz w:val="24"/>
          <w:szCs w:val="24"/>
          <w:lang w:val="en-US"/>
        </w:rPr>
        <w:t>A,B</w:t>
      </w:r>
      <w:proofErr w:type="gramEnd"/>
      <w:r w:rsidRPr="00405F18">
        <w:rPr>
          <w:rFonts w:ascii="Times New Roman" w:hAnsi="Times New Roman" w:cs="Times New Roman"/>
          <w:sz w:val="24"/>
          <w:szCs w:val="24"/>
          <w:lang w:val="en-US"/>
        </w:rPr>
        <w:t>). The significant increase in ubiquitinated protein</w:t>
      </w:r>
      <w:r w:rsidR="00B91413" w:rsidRPr="00405F18">
        <w:rPr>
          <w:rFonts w:ascii="Times New Roman" w:hAnsi="Times New Roman" w:cs="Times New Roman"/>
          <w:sz w:val="24"/>
          <w:szCs w:val="24"/>
          <w:lang w:val="en-US"/>
        </w:rPr>
        <w:t xml:space="preserve"> abundance</w:t>
      </w:r>
      <w:r w:rsidRPr="00405F18">
        <w:rPr>
          <w:rFonts w:ascii="Times New Roman" w:hAnsi="Times New Roman" w:cs="Times New Roman"/>
          <w:sz w:val="24"/>
          <w:szCs w:val="24"/>
          <w:lang w:val="en-US"/>
        </w:rPr>
        <w:t xml:space="preserve"> in response to 24 h of PA</w:t>
      </w:r>
      <w:r w:rsidR="00B91413" w:rsidRPr="00405F18">
        <w:rPr>
          <w:rFonts w:ascii="Times New Roman" w:hAnsi="Times New Roman" w:cs="Times New Roman"/>
          <w:sz w:val="24"/>
          <w:szCs w:val="24"/>
          <w:lang w:val="en-US"/>
        </w:rPr>
        <w:t xml:space="preserve"> treatment</w:t>
      </w:r>
      <w:r w:rsidRPr="00405F18">
        <w:rPr>
          <w:rFonts w:ascii="Times New Roman" w:hAnsi="Times New Roman" w:cs="Times New Roman"/>
          <w:sz w:val="24"/>
          <w:szCs w:val="24"/>
          <w:lang w:val="en-US"/>
        </w:rPr>
        <w:t xml:space="preserve"> was confirmed by western blot analysis (Figure 4</w:t>
      </w:r>
      <w:proofErr w:type="gramStart"/>
      <w:r w:rsidR="00DB5AAB" w:rsidRPr="00405F18">
        <w:rPr>
          <w:rFonts w:ascii="Times New Roman" w:hAnsi="Times New Roman" w:cs="Times New Roman"/>
          <w:sz w:val="24"/>
          <w:szCs w:val="24"/>
          <w:lang w:val="en-US"/>
        </w:rPr>
        <w:t>C</w:t>
      </w:r>
      <w:r w:rsidRPr="00405F18">
        <w:rPr>
          <w:rFonts w:ascii="Times New Roman" w:hAnsi="Times New Roman" w:cs="Times New Roman"/>
          <w:sz w:val="24"/>
          <w:szCs w:val="24"/>
          <w:lang w:val="en-US"/>
        </w:rPr>
        <w:t>,</w:t>
      </w:r>
      <w:r w:rsidR="00DB5AAB" w:rsidRPr="00405F18">
        <w:rPr>
          <w:rFonts w:ascii="Times New Roman" w:hAnsi="Times New Roman" w:cs="Times New Roman"/>
          <w:sz w:val="24"/>
          <w:szCs w:val="24"/>
          <w:lang w:val="en-US"/>
        </w:rPr>
        <w:t>D</w:t>
      </w:r>
      <w:proofErr w:type="gramEnd"/>
      <w:r w:rsidRPr="00405F18">
        <w:rPr>
          <w:rFonts w:ascii="Times New Roman" w:hAnsi="Times New Roman" w:cs="Times New Roman"/>
          <w:sz w:val="24"/>
          <w:szCs w:val="24"/>
          <w:lang w:val="en-US"/>
        </w:rPr>
        <w:t xml:space="preserve">). In addition, colocalization percentages between </w:t>
      </w:r>
      <w:proofErr w:type="spellStart"/>
      <w:r w:rsidRPr="00405F18">
        <w:rPr>
          <w:rFonts w:ascii="Times New Roman" w:hAnsi="Times New Roman" w:cs="Times New Roman"/>
          <w:sz w:val="24"/>
          <w:szCs w:val="24"/>
          <w:lang w:val="en-US"/>
        </w:rPr>
        <w:t>Ub</w:t>
      </w:r>
      <w:proofErr w:type="spellEnd"/>
      <w:r w:rsidRPr="00405F18">
        <w:rPr>
          <w:rFonts w:ascii="Times New Roman" w:hAnsi="Times New Roman" w:cs="Times New Roman"/>
          <w:sz w:val="24"/>
          <w:szCs w:val="24"/>
          <w:lang w:val="en-US"/>
        </w:rPr>
        <w:t xml:space="preserve"> and SQSTM1 </w:t>
      </w:r>
      <w:r w:rsidR="001A7E4F" w:rsidRPr="00405F18">
        <w:rPr>
          <w:rFonts w:ascii="Times New Roman" w:hAnsi="Times New Roman" w:cs="Times New Roman"/>
          <w:sz w:val="24"/>
          <w:szCs w:val="24"/>
          <w:lang w:val="en-US"/>
        </w:rPr>
        <w:t>we</w:t>
      </w:r>
      <w:r w:rsidRPr="00405F18">
        <w:rPr>
          <w:rFonts w:ascii="Times New Roman" w:hAnsi="Times New Roman" w:cs="Times New Roman"/>
          <w:sz w:val="24"/>
          <w:szCs w:val="24"/>
          <w:lang w:val="en-US"/>
        </w:rPr>
        <w:t xml:space="preserve">re significantly higher in PA-treated cells compared to </w:t>
      </w:r>
      <w:r w:rsidR="001A7E4F" w:rsidRPr="00405F18">
        <w:rPr>
          <w:rFonts w:ascii="Times New Roman" w:hAnsi="Times New Roman" w:cs="Times New Roman"/>
          <w:sz w:val="24"/>
          <w:szCs w:val="24"/>
          <w:lang w:val="en-US"/>
        </w:rPr>
        <w:t xml:space="preserve">BSA-treated </w:t>
      </w:r>
      <w:r w:rsidRPr="00405F18">
        <w:rPr>
          <w:rFonts w:ascii="Times New Roman" w:hAnsi="Times New Roman" w:cs="Times New Roman"/>
          <w:sz w:val="24"/>
          <w:szCs w:val="24"/>
          <w:lang w:val="en-US"/>
        </w:rPr>
        <w:t>cells after 24 h (Figure 4</w:t>
      </w:r>
      <w:proofErr w:type="gramStart"/>
      <w:r w:rsidRPr="00405F18">
        <w:rPr>
          <w:rFonts w:ascii="Times New Roman" w:hAnsi="Times New Roman" w:cs="Times New Roman"/>
          <w:sz w:val="24"/>
          <w:szCs w:val="24"/>
          <w:lang w:val="en-US"/>
        </w:rPr>
        <w:t>A,</w:t>
      </w:r>
      <w:r w:rsidR="00DB5AAB" w:rsidRPr="00405F18">
        <w:rPr>
          <w:rFonts w:ascii="Times New Roman" w:hAnsi="Times New Roman" w:cs="Times New Roman"/>
          <w:sz w:val="24"/>
          <w:szCs w:val="24"/>
          <w:lang w:val="en-US"/>
        </w:rPr>
        <w:t>E</w:t>
      </w:r>
      <w:proofErr w:type="gramEnd"/>
      <w:r w:rsidRPr="00405F18">
        <w:rPr>
          <w:rFonts w:ascii="Times New Roman" w:hAnsi="Times New Roman" w:cs="Times New Roman"/>
          <w:sz w:val="24"/>
          <w:szCs w:val="24"/>
          <w:lang w:val="en-US"/>
        </w:rPr>
        <w:t>). Comparable results were obtained after a period of PA incubation of 6 h (Figure</w:t>
      </w:r>
      <w:r w:rsidR="00FA03FD" w:rsidRPr="00405F18">
        <w:rPr>
          <w:rFonts w:ascii="Times New Roman" w:hAnsi="Times New Roman" w:cs="Times New Roman"/>
          <w:sz w:val="24"/>
          <w:szCs w:val="24"/>
          <w:lang w:val="en-US"/>
        </w:rPr>
        <w:t xml:space="preserve"> S6</w:t>
      </w:r>
      <w:r w:rsidRPr="00405F18">
        <w:rPr>
          <w:rFonts w:ascii="Times New Roman" w:hAnsi="Times New Roman" w:cs="Times New Roman"/>
          <w:sz w:val="24"/>
          <w:szCs w:val="24"/>
          <w:lang w:val="en-US"/>
        </w:rPr>
        <w:t xml:space="preserve">). </w:t>
      </w:r>
      <w:r w:rsidR="009F781C" w:rsidRPr="00405F18">
        <w:rPr>
          <w:rFonts w:ascii="Times New Roman" w:hAnsi="Times New Roman" w:cs="Times New Roman"/>
          <w:sz w:val="24"/>
          <w:szCs w:val="24"/>
          <w:lang w:val="en-US"/>
        </w:rPr>
        <w:t>T</w:t>
      </w:r>
      <w:r w:rsidRPr="00405F18">
        <w:rPr>
          <w:rFonts w:ascii="Times New Roman" w:hAnsi="Times New Roman" w:cs="Times New Roman"/>
          <w:sz w:val="24"/>
          <w:szCs w:val="24"/>
          <w:lang w:val="en-US"/>
        </w:rPr>
        <w:t xml:space="preserve">he detection of numerous </w:t>
      </w:r>
      <w:proofErr w:type="spellStart"/>
      <w:r w:rsidRPr="00405F18">
        <w:rPr>
          <w:rFonts w:ascii="Times New Roman" w:hAnsi="Times New Roman" w:cs="Times New Roman"/>
          <w:sz w:val="24"/>
          <w:szCs w:val="24"/>
          <w:lang w:val="en-US"/>
        </w:rPr>
        <w:t>Ub</w:t>
      </w:r>
      <w:proofErr w:type="spellEnd"/>
      <w:r w:rsidRPr="00405F18">
        <w:rPr>
          <w:rFonts w:ascii="Times New Roman" w:hAnsi="Times New Roman" w:cs="Times New Roman"/>
          <w:sz w:val="24"/>
          <w:szCs w:val="24"/>
          <w:lang w:val="en-US"/>
        </w:rPr>
        <w:t xml:space="preserve"> aggregates</w:t>
      </w:r>
      <w:r w:rsidR="009F781C" w:rsidRPr="00405F18">
        <w:rPr>
          <w:rFonts w:ascii="Times New Roman" w:hAnsi="Times New Roman" w:cs="Times New Roman"/>
          <w:sz w:val="24"/>
          <w:szCs w:val="24"/>
          <w:lang w:val="en-US"/>
        </w:rPr>
        <w:t xml:space="preserve"> </w:t>
      </w:r>
      <w:r w:rsidR="00CF7202" w:rsidRPr="00405F18">
        <w:rPr>
          <w:rFonts w:ascii="Times New Roman" w:hAnsi="Times New Roman" w:cs="Times New Roman"/>
          <w:sz w:val="24"/>
          <w:szCs w:val="24"/>
          <w:lang w:val="en-US"/>
        </w:rPr>
        <w:t>translates impairment of</w:t>
      </w:r>
      <w:r w:rsidRPr="00405F18">
        <w:rPr>
          <w:rFonts w:ascii="Times New Roman" w:hAnsi="Times New Roman" w:cs="Times New Roman"/>
          <w:sz w:val="24"/>
          <w:szCs w:val="24"/>
          <w:lang w:val="en-US"/>
        </w:rPr>
        <w:t xml:space="preserve"> protein homeostasis in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00CF7202" w:rsidRPr="00405F18">
        <w:rPr>
          <w:rFonts w:ascii="Times New Roman" w:hAnsi="Times New Roman" w:cs="Times New Roman"/>
          <w:sz w:val="24"/>
          <w:szCs w:val="24"/>
          <w:lang w:val="en-US"/>
        </w:rPr>
        <w:t xml:space="preserve"> treated with PA</w:t>
      </w:r>
      <w:r w:rsidRPr="00405F18">
        <w:rPr>
          <w:rFonts w:ascii="Times New Roman" w:hAnsi="Times New Roman" w:cs="Times New Roman"/>
          <w:sz w:val="24"/>
          <w:szCs w:val="24"/>
          <w:lang w:val="en-US"/>
        </w:rPr>
        <w:t xml:space="preserve">. It is in accordance with previous report showing increased </w:t>
      </w:r>
      <w:proofErr w:type="spellStart"/>
      <w:r w:rsidRPr="00405F18">
        <w:rPr>
          <w:rFonts w:ascii="Times New Roman" w:hAnsi="Times New Roman" w:cs="Times New Roman"/>
          <w:sz w:val="24"/>
          <w:szCs w:val="24"/>
          <w:lang w:val="en-US"/>
        </w:rPr>
        <w:t>Ub</w:t>
      </w:r>
      <w:proofErr w:type="spellEnd"/>
      <w:r w:rsidRPr="00405F18">
        <w:rPr>
          <w:rFonts w:ascii="Times New Roman" w:hAnsi="Times New Roman" w:cs="Times New Roman"/>
          <w:sz w:val="24"/>
          <w:szCs w:val="24"/>
          <w:lang w:val="en-US"/>
        </w:rPr>
        <w:t xml:space="preserve"> staining in proximal tubules of obese mice</w:t>
      </w:r>
      <w:r w:rsidR="007A6C79">
        <w:rPr>
          <w:rFonts w:ascii="Times New Roman" w:hAnsi="Times New Roman" w:cs="Times New Roman"/>
          <w:sz w:val="24"/>
          <w:szCs w:val="24"/>
          <w:lang w:val="en-US"/>
        </w:rPr>
        <w:t xml:space="preserve"> [</w:t>
      </w:r>
      <w:r w:rsidRPr="007A6C79">
        <w:rPr>
          <w:rFonts w:ascii="Times New Roman" w:hAnsi="Times New Roman" w:cs="Times New Roman"/>
          <w:sz w:val="24"/>
          <w:szCs w:val="24"/>
          <w:lang w:val="en-US"/>
        </w:rPr>
        <w:fldChar w:fldCharType="begin" w:fldLock="1"/>
      </w:r>
      <w:r w:rsidR="00362664" w:rsidRPr="007A6C79">
        <w:rPr>
          <w:rFonts w:ascii="Times New Roman" w:hAnsi="Times New Roman" w:cs="Times New Roman"/>
          <w:sz w:val="24"/>
          <w:szCs w:val="24"/>
          <w:lang w:val="en-US"/>
        </w:rPr>
        <w:instrText>ADDIN CSL_CITATION {"citationItems":[{"id":"ITEM-1","itemData":{"DOI":"10.1681/ASN.2016070731","author":[{"dropping-particle":"","family":"Yamamoto","given":"Takeshi","non-dropping-particle":"","parse-names":false,"suffix":""},{"dropping-particle":"","family":"Takabatake","given":"Yoshitsugu","non-dropping-particle":"","parse-names":false,"suffix":""},{"dropping-particle":"","family":"Takahashi","given":"Atsushi","non-dropping-particle":"","parse-names":false,"suffix":""},{"dropping-particle":"","family":"Kimura","given":"Tomonori","non-dropping-particle":"","parse-names":false,"suffix":""}],"id":"ITEM-1","issued":{"date-parts":[["2016"]]},"page":"1-18","title":"High-Fat Diet-Induced Lysosomal Dysfunction and Impaired Autophagic Flux Contribute to Lipotoxicity in the Kidney","type":"article-journal"},"uris":["http://www.mendeley.com/documents/?uuid=4b43565d-4ca2-4963-a53a-b7cf6b1d140b"]}],"mendeley":{"formattedCitation":"&lt;sup&gt;12&lt;/sup&gt;","plainTextFormattedCitation":"12","previouslyFormattedCitation":"&lt;sup&gt;12&lt;/sup&gt;"},"properties":{"noteIndex":0},"schema":"https://github.com/citation-style-language/schema/raw/master/csl-citation.json"}</w:instrText>
      </w:r>
      <w:r w:rsidRPr="007A6C79">
        <w:rPr>
          <w:rFonts w:ascii="Times New Roman" w:hAnsi="Times New Roman" w:cs="Times New Roman"/>
          <w:sz w:val="24"/>
          <w:szCs w:val="24"/>
          <w:lang w:val="en-US"/>
        </w:rPr>
        <w:fldChar w:fldCharType="separate"/>
      </w:r>
      <w:r w:rsidR="004A2BDA" w:rsidRPr="007A6C79">
        <w:rPr>
          <w:rFonts w:ascii="Times New Roman" w:hAnsi="Times New Roman" w:cs="Times New Roman"/>
          <w:noProof/>
          <w:sz w:val="24"/>
          <w:szCs w:val="24"/>
          <w:lang w:val="en-US"/>
        </w:rPr>
        <w:t>12</w:t>
      </w:r>
      <w:r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The present work addresses the </w:t>
      </w:r>
      <w:r w:rsidR="00986110" w:rsidRPr="00405F18">
        <w:rPr>
          <w:rFonts w:ascii="Times New Roman" w:hAnsi="Times New Roman" w:cs="Times New Roman"/>
          <w:sz w:val="24"/>
          <w:szCs w:val="24"/>
          <w:lang w:val="en-US"/>
        </w:rPr>
        <w:t>fate</w:t>
      </w:r>
      <w:r w:rsidR="007B3724"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of </w:t>
      </w:r>
      <w:r w:rsidR="007B3724" w:rsidRPr="00405F18">
        <w:rPr>
          <w:rFonts w:ascii="Times New Roman" w:hAnsi="Times New Roman" w:cs="Times New Roman"/>
          <w:sz w:val="24"/>
          <w:szCs w:val="24"/>
          <w:lang w:val="en-US"/>
        </w:rPr>
        <w:t>the</w:t>
      </w:r>
      <w:r w:rsidR="00986110" w:rsidRPr="00405F18">
        <w:rPr>
          <w:rFonts w:ascii="Times New Roman" w:hAnsi="Times New Roman" w:cs="Times New Roman"/>
          <w:sz w:val="24"/>
          <w:szCs w:val="24"/>
          <w:lang w:val="en-US"/>
        </w:rPr>
        <w:t>se</w:t>
      </w:r>
      <w:r w:rsidR="007B3724"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aggregates, th</w:t>
      </w:r>
      <w:r w:rsidR="00557345" w:rsidRPr="00405F18">
        <w:rPr>
          <w:rFonts w:ascii="Times New Roman" w:hAnsi="Times New Roman" w:cs="Times New Roman"/>
          <w:sz w:val="24"/>
          <w:szCs w:val="24"/>
          <w:lang w:val="en-US"/>
        </w:rPr>
        <w:t>at</w:t>
      </w:r>
      <w:r w:rsidRPr="00405F18">
        <w:rPr>
          <w:rFonts w:ascii="Times New Roman" w:hAnsi="Times New Roman" w:cs="Times New Roman"/>
          <w:sz w:val="24"/>
          <w:szCs w:val="24"/>
          <w:lang w:val="en-US"/>
        </w:rPr>
        <w:t xml:space="preserve"> are delivered to the autophagy machinery for lysosomal degradation. </w:t>
      </w:r>
    </w:p>
    <w:p w14:paraId="25C35D7D" w14:textId="7FA99F28" w:rsidR="00605472" w:rsidRPr="00405F18" w:rsidRDefault="00295CE2" w:rsidP="007A6C79">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Given that </w:t>
      </w:r>
      <w:r w:rsidR="00605472" w:rsidRPr="00405F18">
        <w:rPr>
          <w:rFonts w:ascii="Times New Roman" w:hAnsi="Times New Roman" w:cs="Times New Roman"/>
          <w:sz w:val="24"/>
          <w:szCs w:val="24"/>
          <w:lang w:val="en-US"/>
        </w:rPr>
        <w:t xml:space="preserve">AMPK activation </w:t>
      </w:r>
      <w:r w:rsidR="007B3724" w:rsidRPr="00405F18">
        <w:rPr>
          <w:rFonts w:ascii="Times New Roman" w:hAnsi="Times New Roman" w:cs="Times New Roman"/>
          <w:sz w:val="24"/>
          <w:szCs w:val="24"/>
          <w:lang w:val="en-US"/>
        </w:rPr>
        <w:t>protect</w:t>
      </w:r>
      <w:r w:rsidR="00E465CB" w:rsidRPr="00405F18">
        <w:rPr>
          <w:rFonts w:ascii="Times New Roman" w:hAnsi="Times New Roman" w:cs="Times New Roman"/>
          <w:sz w:val="24"/>
          <w:szCs w:val="24"/>
          <w:lang w:val="en-US"/>
        </w:rPr>
        <w:t>ed</w:t>
      </w:r>
      <w:r w:rsidR="007B3724" w:rsidRPr="00405F18">
        <w:rPr>
          <w:rFonts w:ascii="Times New Roman" w:hAnsi="Times New Roman" w:cs="Times New Roman"/>
          <w:sz w:val="24"/>
          <w:szCs w:val="24"/>
          <w:lang w:val="en-US"/>
        </w:rPr>
        <w:t xml:space="preserve"> against </w:t>
      </w:r>
      <w:r w:rsidR="00605472" w:rsidRPr="00405F18">
        <w:rPr>
          <w:rFonts w:ascii="Times New Roman" w:hAnsi="Times New Roman" w:cs="Times New Roman"/>
          <w:sz w:val="24"/>
          <w:szCs w:val="24"/>
          <w:lang w:val="en-US"/>
        </w:rPr>
        <w:t>autophagosomes accumulation in PA-treated cells (Figure 3)</w:t>
      </w:r>
      <w:r w:rsidRPr="00405F18">
        <w:rPr>
          <w:rFonts w:ascii="Times New Roman" w:hAnsi="Times New Roman" w:cs="Times New Roman"/>
          <w:sz w:val="24"/>
          <w:szCs w:val="24"/>
          <w:lang w:val="en-US"/>
        </w:rPr>
        <w:t>,</w:t>
      </w:r>
      <w:r w:rsidR="00605472" w:rsidRPr="00405F18">
        <w:rPr>
          <w:rFonts w:ascii="Times New Roman" w:hAnsi="Times New Roman" w:cs="Times New Roman"/>
          <w:sz w:val="24"/>
          <w:szCs w:val="24"/>
          <w:lang w:val="en-US"/>
        </w:rPr>
        <w:t xml:space="preserve"> we</w:t>
      </w:r>
      <w:r w:rsidR="007B3724" w:rsidRPr="00405F18">
        <w:rPr>
          <w:rFonts w:ascii="Times New Roman" w:hAnsi="Times New Roman" w:cs="Times New Roman"/>
          <w:sz w:val="24"/>
          <w:szCs w:val="24"/>
          <w:lang w:val="en-US"/>
        </w:rPr>
        <w:t xml:space="preserve"> </w:t>
      </w:r>
      <w:r w:rsidR="00605472" w:rsidRPr="00405F18">
        <w:rPr>
          <w:rFonts w:ascii="Times New Roman" w:hAnsi="Times New Roman" w:cs="Times New Roman"/>
          <w:sz w:val="24"/>
          <w:szCs w:val="24"/>
          <w:lang w:val="en-US"/>
        </w:rPr>
        <w:t xml:space="preserve">asked about its potential protection towards </w:t>
      </w:r>
      <w:proofErr w:type="spellStart"/>
      <w:r w:rsidRPr="00405F18">
        <w:rPr>
          <w:rFonts w:ascii="Times New Roman" w:hAnsi="Times New Roman" w:cs="Times New Roman"/>
          <w:sz w:val="24"/>
          <w:szCs w:val="24"/>
          <w:lang w:val="en-US"/>
        </w:rPr>
        <w:t>Ub</w:t>
      </w:r>
      <w:proofErr w:type="spellEnd"/>
      <w:r w:rsidRPr="00405F18">
        <w:rPr>
          <w:rFonts w:ascii="Times New Roman" w:hAnsi="Times New Roman" w:cs="Times New Roman"/>
          <w:sz w:val="24"/>
          <w:szCs w:val="24"/>
          <w:lang w:val="en-US"/>
        </w:rPr>
        <w:t xml:space="preserve">-tagged </w:t>
      </w:r>
      <w:r w:rsidR="00605472" w:rsidRPr="00405F18">
        <w:rPr>
          <w:rFonts w:ascii="Times New Roman" w:hAnsi="Times New Roman" w:cs="Times New Roman"/>
          <w:sz w:val="24"/>
          <w:szCs w:val="24"/>
          <w:lang w:val="en-US"/>
        </w:rPr>
        <w:t xml:space="preserve">aggregates. AMPK </w:t>
      </w:r>
      <w:r w:rsidR="00B26E1D" w:rsidRPr="00405F18">
        <w:rPr>
          <w:rFonts w:ascii="Times New Roman" w:hAnsi="Times New Roman" w:cs="Times New Roman"/>
          <w:sz w:val="24"/>
          <w:szCs w:val="24"/>
          <w:lang w:val="en-US"/>
        </w:rPr>
        <w:t xml:space="preserve">pharmacological </w:t>
      </w:r>
      <w:r w:rsidR="00605472" w:rsidRPr="00405F18">
        <w:rPr>
          <w:rFonts w:ascii="Times New Roman" w:hAnsi="Times New Roman" w:cs="Times New Roman"/>
          <w:sz w:val="24"/>
          <w:szCs w:val="24"/>
          <w:lang w:val="en-US"/>
        </w:rPr>
        <w:t xml:space="preserve">activation in PA-treated cells </w:t>
      </w:r>
      <w:r w:rsidR="00CF59D6" w:rsidRPr="00405F18">
        <w:rPr>
          <w:rFonts w:ascii="Times New Roman" w:hAnsi="Times New Roman" w:cs="Times New Roman"/>
          <w:sz w:val="24"/>
          <w:szCs w:val="24"/>
          <w:lang w:val="en-US"/>
        </w:rPr>
        <w:t>wa</w:t>
      </w:r>
      <w:r w:rsidR="00605472" w:rsidRPr="00405F18">
        <w:rPr>
          <w:rFonts w:ascii="Times New Roman" w:hAnsi="Times New Roman" w:cs="Times New Roman"/>
          <w:sz w:val="24"/>
          <w:szCs w:val="24"/>
          <w:lang w:val="en-US"/>
        </w:rPr>
        <w:t xml:space="preserve">s associated with significantly reduced number of </w:t>
      </w:r>
      <w:proofErr w:type="spellStart"/>
      <w:r w:rsidR="00605472" w:rsidRPr="00405F18">
        <w:rPr>
          <w:rFonts w:ascii="Times New Roman" w:hAnsi="Times New Roman" w:cs="Times New Roman"/>
          <w:sz w:val="24"/>
          <w:szCs w:val="24"/>
          <w:lang w:val="en-US"/>
        </w:rPr>
        <w:t>Ub</w:t>
      </w:r>
      <w:proofErr w:type="spellEnd"/>
      <w:r w:rsidR="00605472" w:rsidRPr="00405F18">
        <w:rPr>
          <w:rFonts w:ascii="Times New Roman" w:hAnsi="Times New Roman" w:cs="Times New Roman"/>
          <w:sz w:val="24"/>
          <w:szCs w:val="24"/>
          <w:lang w:val="en-US"/>
        </w:rPr>
        <w:t xml:space="preserve"> puncta (Figure 4</w:t>
      </w:r>
      <w:proofErr w:type="gramStart"/>
      <w:r w:rsidR="00605472" w:rsidRPr="00405F18">
        <w:rPr>
          <w:rFonts w:ascii="Times New Roman" w:hAnsi="Times New Roman" w:cs="Times New Roman"/>
          <w:sz w:val="24"/>
          <w:szCs w:val="24"/>
          <w:lang w:val="en-US"/>
        </w:rPr>
        <w:t>F,G</w:t>
      </w:r>
      <w:proofErr w:type="gramEnd"/>
      <w:r w:rsidR="00605472" w:rsidRPr="00405F18">
        <w:rPr>
          <w:rFonts w:ascii="Times New Roman" w:hAnsi="Times New Roman" w:cs="Times New Roman"/>
          <w:sz w:val="24"/>
          <w:szCs w:val="24"/>
          <w:lang w:val="en-US"/>
        </w:rPr>
        <w:t>) and</w:t>
      </w:r>
      <w:r w:rsidR="0006729B" w:rsidRPr="00405F18">
        <w:rPr>
          <w:rFonts w:ascii="Times New Roman" w:hAnsi="Times New Roman" w:cs="Times New Roman"/>
          <w:sz w:val="24"/>
          <w:szCs w:val="24"/>
          <w:lang w:val="en-US"/>
        </w:rPr>
        <w:t xml:space="preserve"> puncta positive for</w:t>
      </w:r>
      <w:r w:rsidR="00605472" w:rsidRPr="00405F18">
        <w:rPr>
          <w:rFonts w:ascii="Times New Roman" w:hAnsi="Times New Roman" w:cs="Times New Roman"/>
          <w:sz w:val="24"/>
          <w:szCs w:val="24"/>
          <w:lang w:val="en-US"/>
        </w:rPr>
        <w:t xml:space="preserve"> </w:t>
      </w:r>
      <w:proofErr w:type="spellStart"/>
      <w:r w:rsidR="0006729B" w:rsidRPr="00405F18">
        <w:rPr>
          <w:rFonts w:ascii="Times New Roman" w:hAnsi="Times New Roman" w:cs="Times New Roman"/>
          <w:sz w:val="24"/>
          <w:szCs w:val="24"/>
          <w:lang w:val="en-US"/>
        </w:rPr>
        <w:t>U</w:t>
      </w:r>
      <w:r w:rsidR="00605472" w:rsidRPr="00405F18">
        <w:rPr>
          <w:rFonts w:ascii="Times New Roman" w:hAnsi="Times New Roman" w:cs="Times New Roman"/>
          <w:sz w:val="24"/>
          <w:szCs w:val="24"/>
          <w:lang w:val="en-US"/>
        </w:rPr>
        <w:t>b</w:t>
      </w:r>
      <w:proofErr w:type="spellEnd"/>
      <w:r w:rsidR="00605472" w:rsidRPr="00405F18">
        <w:rPr>
          <w:rFonts w:ascii="Times New Roman" w:hAnsi="Times New Roman" w:cs="Times New Roman"/>
          <w:sz w:val="24"/>
          <w:szCs w:val="24"/>
          <w:lang w:val="en-US"/>
        </w:rPr>
        <w:t xml:space="preserve"> and SQSTM1</w:t>
      </w:r>
      <w:r w:rsidR="0006729B" w:rsidRPr="00405F18">
        <w:rPr>
          <w:rFonts w:ascii="Times New Roman" w:hAnsi="Times New Roman" w:cs="Times New Roman"/>
          <w:sz w:val="24"/>
          <w:szCs w:val="24"/>
          <w:lang w:val="en-US"/>
        </w:rPr>
        <w:t xml:space="preserve"> staining</w:t>
      </w:r>
      <w:r w:rsidR="00605472" w:rsidRPr="00405F18">
        <w:rPr>
          <w:rFonts w:ascii="Times New Roman" w:hAnsi="Times New Roman" w:cs="Times New Roman"/>
          <w:sz w:val="24"/>
          <w:szCs w:val="24"/>
          <w:lang w:val="en-US"/>
        </w:rPr>
        <w:t xml:space="preserve"> after 24 h (Figure 4F,H). Because the reduction of both markers </w:t>
      </w:r>
      <w:r w:rsidR="00CF59D6" w:rsidRPr="00405F18">
        <w:rPr>
          <w:rFonts w:ascii="Times New Roman" w:hAnsi="Times New Roman" w:cs="Times New Roman"/>
          <w:sz w:val="24"/>
          <w:szCs w:val="24"/>
          <w:lang w:val="en-US"/>
        </w:rPr>
        <w:t>wa</w:t>
      </w:r>
      <w:r w:rsidR="00605472" w:rsidRPr="00405F18">
        <w:rPr>
          <w:rFonts w:ascii="Times New Roman" w:hAnsi="Times New Roman" w:cs="Times New Roman"/>
          <w:sz w:val="24"/>
          <w:szCs w:val="24"/>
          <w:lang w:val="en-US"/>
        </w:rPr>
        <w:t xml:space="preserve">s abolished with </w:t>
      </w:r>
      <w:r w:rsidR="000E316D" w:rsidRPr="00405F18">
        <w:rPr>
          <w:rFonts w:ascii="Times New Roman" w:hAnsi="Times New Roman" w:cs="Times New Roman"/>
          <w:sz w:val="24"/>
          <w:szCs w:val="24"/>
          <w:lang w:val="en-US"/>
        </w:rPr>
        <w:t>b</w:t>
      </w:r>
      <w:r w:rsidR="00605472" w:rsidRPr="00405F18">
        <w:rPr>
          <w:rFonts w:ascii="Times New Roman" w:hAnsi="Times New Roman" w:cs="Times New Roman"/>
          <w:sz w:val="24"/>
          <w:szCs w:val="24"/>
          <w:lang w:val="en-US"/>
        </w:rPr>
        <w:t>afilomycin A</w:t>
      </w:r>
      <w:r w:rsidR="00605472" w:rsidRPr="00FF7085">
        <w:rPr>
          <w:rFonts w:ascii="Times New Roman" w:hAnsi="Times New Roman" w:cs="Times New Roman"/>
          <w:sz w:val="24"/>
          <w:szCs w:val="24"/>
          <w:vertAlign w:val="subscript"/>
          <w:lang w:val="en-US"/>
        </w:rPr>
        <w:t>1</w:t>
      </w:r>
      <w:r w:rsidR="00605472" w:rsidRPr="00405F18">
        <w:rPr>
          <w:rFonts w:ascii="Times New Roman" w:hAnsi="Times New Roman" w:cs="Times New Roman"/>
          <w:sz w:val="24"/>
          <w:szCs w:val="24"/>
          <w:lang w:val="en-US"/>
        </w:rPr>
        <w:t xml:space="preserve"> in these conditions, we can conclude that AMPK activation </w:t>
      </w:r>
      <w:proofErr w:type="gramStart"/>
      <w:r w:rsidR="00605472" w:rsidRPr="00405F18">
        <w:rPr>
          <w:rFonts w:ascii="Times New Roman" w:hAnsi="Times New Roman" w:cs="Times New Roman"/>
          <w:sz w:val="24"/>
          <w:szCs w:val="24"/>
          <w:lang w:val="en-US"/>
        </w:rPr>
        <w:t>restore</w:t>
      </w:r>
      <w:proofErr w:type="gramEnd"/>
      <w:r w:rsidR="00605472" w:rsidRPr="00405F18">
        <w:rPr>
          <w:rFonts w:ascii="Times New Roman" w:hAnsi="Times New Roman" w:cs="Times New Roman"/>
          <w:sz w:val="24"/>
          <w:szCs w:val="24"/>
          <w:lang w:val="en-US"/>
        </w:rPr>
        <w:t xml:space="preserve"> the autophagic degradation of these aggregates in PA-treated cells. </w:t>
      </w:r>
    </w:p>
    <w:p w14:paraId="52E63B2F" w14:textId="4F420206" w:rsidR="00605472" w:rsidRPr="007A6C79" w:rsidRDefault="00605472" w:rsidP="00270044">
      <w:pPr>
        <w:spacing w:after="100" w:afterAutospacing="1" w:line="480" w:lineRule="auto"/>
        <w:jc w:val="both"/>
        <w:rPr>
          <w:rFonts w:ascii="Times New Roman" w:hAnsi="Times New Roman" w:cs="Times New Roman"/>
          <w:i/>
          <w:iCs/>
          <w:sz w:val="24"/>
          <w:szCs w:val="24"/>
          <w:lang w:val="en-US"/>
        </w:rPr>
      </w:pPr>
      <w:r w:rsidRPr="007A6C79">
        <w:rPr>
          <w:rFonts w:ascii="Times New Roman" w:hAnsi="Times New Roman" w:cs="Times New Roman"/>
          <w:b/>
          <w:bCs/>
          <w:i/>
          <w:iCs/>
          <w:sz w:val="24"/>
          <w:szCs w:val="24"/>
          <w:lang w:val="en-US"/>
        </w:rPr>
        <w:lastRenderedPageBreak/>
        <w:t xml:space="preserve">Lysosomal function is impaired </w:t>
      </w:r>
      <w:r w:rsidR="00991AA8" w:rsidRPr="007A6C79">
        <w:rPr>
          <w:rFonts w:ascii="Times New Roman" w:hAnsi="Times New Roman" w:cs="Times New Roman"/>
          <w:b/>
          <w:bCs/>
          <w:i/>
          <w:iCs/>
          <w:sz w:val="24"/>
          <w:szCs w:val="24"/>
          <w:lang w:val="en-US"/>
        </w:rPr>
        <w:t>by</w:t>
      </w:r>
      <w:r w:rsidRPr="007A6C79">
        <w:rPr>
          <w:rFonts w:ascii="Times New Roman" w:hAnsi="Times New Roman" w:cs="Times New Roman"/>
          <w:b/>
          <w:bCs/>
          <w:i/>
          <w:iCs/>
          <w:sz w:val="24"/>
          <w:szCs w:val="24"/>
          <w:lang w:val="en-US"/>
        </w:rPr>
        <w:t xml:space="preserve"> PA and protected by AMPK </w:t>
      </w:r>
      <w:r w:rsidR="00B26E1D" w:rsidRPr="007A6C79">
        <w:rPr>
          <w:rFonts w:ascii="Times New Roman" w:hAnsi="Times New Roman" w:cs="Times New Roman"/>
          <w:b/>
          <w:bCs/>
          <w:i/>
          <w:iCs/>
          <w:sz w:val="24"/>
          <w:szCs w:val="24"/>
          <w:lang w:val="en-US"/>
        </w:rPr>
        <w:t xml:space="preserve">pharmacological </w:t>
      </w:r>
      <w:r w:rsidRPr="007A6C79">
        <w:rPr>
          <w:rFonts w:ascii="Times New Roman" w:hAnsi="Times New Roman" w:cs="Times New Roman"/>
          <w:b/>
          <w:bCs/>
          <w:i/>
          <w:iCs/>
          <w:sz w:val="24"/>
          <w:szCs w:val="24"/>
          <w:lang w:val="en-US"/>
        </w:rPr>
        <w:t>activation</w:t>
      </w:r>
      <w:r w:rsidR="00991AA8" w:rsidRPr="007A6C79">
        <w:rPr>
          <w:rFonts w:ascii="Times New Roman" w:hAnsi="Times New Roman" w:cs="Times New Roman"/>
          <w:b/>
          <w:bCs/>
          <w:i/>
          <w:iCs/>
          <w:sz w:val="24"/>
          <w:szCs w:val="24"/>
          <w:lang w:val="en-US"/>
        </w:rPr>
        <w:t xml:space="preserve"> in </w:t>
      </w:r>
      <w:proofErr w:type="spellStart"/>
      <w:r w:rsidR="00CC5768">
        <w:rPr>
          <w:rFonts w:ascii="Times New Roman" w:hAnsi="Times New Roman" w:cs="Times New Roman"/>
          <w:b/>
          <w:bCs/>
          <w:i/>
          <w:iCs/>
          <w:sz w:val="24"/>
          <w:szCs w:val="24"/>
          <w:lang w:val="en-US"/>
        </w:rPr>
        <w:t>M</w:t>
      </w:r>
      <w:r w:rsidR="00991AA8" w:rsidRPr="007A6C79">
        <w:rPr>
          <w:rFonts w:ascii="Times New Roman" w:hAnsi="Times New Roman" w:cs="Times New Roman"/>
          <w:b/>
          <w:bCs/>
          <w:i/>
          <w:iCs/>
          <w:sz w:val="24"/>
          <w:szCs w:val="24"/>
          <w:lang w:val="en-US"/>
        </w:rPr>
        <w:t>mPTEC</w:t>
      </w:r>
      <w:r w:rsidR="0087363D" w:rsidRPr="007A6C79">
        <w:rPr>
          <w:rFonts w:ascii="Times New Roman" w:hAnsi="Times New Roman" w:cs="Times New Roman"/>
          <w:b/>
          <w:bCs/>
          <w:i/>
          <w:iCs/>
          <w:sz w:val="24"/>
          <w:szCs w:val="24"/>
          <w:lang w:val="en-US"/>
        </w:rPr>
        <w:t>s</w:t>
      </w:r>
      <w:proofErr w:type="spellEnd"/>
      <w:r w:rsidRPr="007A6C79">
        <w:rPr>
          <w:rFonts w:ascii="Times New Roman" w:hAnsi="Times New Roman" w:cs="Times New Roman"/>
          <w:b/>
          <w:bCs/>
          <w:i/>
          <w:iCs/>
          <w:sz w:val="24"/>
          <w:szCs w:val="24"/>
          <w:lang w:val="en-US"/>
        </w:rPr>
        <w:t>.</w:t>
      </w:r>
    </w:p>
    <w:p w14:paraId="65794B72" w14:textId="2FB142F2" w:rsidR="00605472" w:rsidRPr="00405F18" w:rsidRDefault="00605472"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We have shown so far that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xml:space="preserve"> inhibits the autophag</w:t>
      </w:r>
      <w:r w:rsidR="00991AA8" w:rsidRPr="00405F18">
        <w:rPr>
          <w:rFonts w:ascii="Times New Roman" w:hAnsi="Times New Roman" w:cs="Times New Roman"/>
          <w:sz w:val="24"/>
          <w:szCs w:val="24"/>
          <w:lang w:val="en-US"/>
        </w:rPr>
        <w:t>ic</w:t>
      </w:r>
      <w:r w:rsidRPr="00405F18">
        <w:rPr>
          <w:rFonts w:ascii="Times New Roman" w:hAnsi="Times New Roman" w:cs="Times New Roman"/>
          <w:sz w:val="24"/>
          <w:szCs w:val="24"/>
          <w:lang w:val="en-US"/>
        </w:rPr>
        <w:t xml:space="preserve"> flux while the initiation might be unaffected in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w:t>
      </w:r>
      <w:r w:rsidR="001A6B78" w:rsidRPr="00405F18">
        <w:rPr>
          <w:rFonts w:ascii="Times New Roman" w:hAnsi="Times New Roman" w:cs="Times New Roman"/>
          <w:sz w:val="24"/>
          <w:szCs w:val="24"/>
          <w:lang w:val="en-US"/>
        </w:rPr>
        <w:t>In this regard, i</w:t>
      </w:r>
      <w:r w:rsidR="00FA1040" w:rsidRPr="00405F18">
        <w:rPr>
          <w:rFonts w:ascii="Times New Roman" w:hAnsi="Times New Roman" w:cs="Times New Roman"/>
          <w:sz w:val="24"/>
          <w:szCs w:val="24"/>
          <w:lang w:val="en-US"/>
        </w:rPr>
        <w:t>t is possible that t</w:t>
      </w:r>
      <w:r w:rsidRPr="00405F18">
        <w:rPr>
          <w:rFonts w:ascii="Times New Roman" w:hAnsi="Times New Roman" w:cs="Times New Roman"/>
          <w:sz w:val="24"/>
          <w:szCs w:val="24"/>
          <w:lang w:val="en-US"/>
        </w:rPr>
        <w:t>he accumulation of autophagosomes in response to PA result</w:t>
      </w:r>
      <w:r w:rsidR="00B93839"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from defective fusion with lysosomes as demonstrated for other cell types</w:t>
      </w:r>
      <w:r w:rsidR="007A6C79">
        <w:rPr>
          <w:rFonts w:ascii="Times New Roman" w:hAnsi="Times New Roman" w:cs="Times New Roman"/>
          <w:sz w:val="24"/>
          <w:szCs w:val="24"/>
          <w:lang w:val="en-US"/>
        </w:rPr>
        <w:t xml:space="preserve"> [</w:t>
      </w:r>
      <w:r w:rsidRPr="007A6C79">
        <w:rPr>
          <w:rFonts w:ascii="Times New Roman" w:hAnsi="Times New Roman" w:cs="Times New Roman"/>
          <w:sz w:val="24"/>
          <w:szCs w:val="24"/>
          <w:lang w:val="en-US"/>
        </w:rPr>
        <w:fldChar w:fldCharType="begin" w:fldLock="1"/>
      </w:r>
      <w:r w:rsidR="00BC4F67" w:rsidRPr="007A6C79">
        <w:rPr>
          <w:rFonts w:ascii="Times New Roman" w:hAnsi="Times New Roman" w:cs="Times New Roman"/>
          <w:sz w:val="24"/>
          <w:szCs w:val="24"/>
          <w:lang w:val="en-US"/>
        </w:rPr>
        <w:instrText>ADDIN CSL_CITATION {"citationItems":[{"id":"ITEM-1","itemData":{"DOI":"10.1080/23723556.2020.1789418","ISSN":"23723556","abstract":"High-fat diet (HFD)-induced obesity is associated with increased cancer risk. Long-term feeding with HFD increases the concentration of the saturated fatty acid palmitic acid (PA) in the hypothalamus. We previously showed that, in hypothalamic neuronal cells, exposure to PA inhibits the autophagic flux, which is the whole autophagic process from the synthesis of the autophagosomes, up to their lysosomal fusion and degradation. However, the mechanism by which PA impairs autophagy in hypothalamic neurons remains unknown. Here, we show that PA-mediated reduction of the autophagic flux is not caused by lysosomal dysfunction, as PA treatment does not impair lysosomal pH or the activity of cathepsin B.Instead, PA dysregulates autophagy by reducing autophagosome-lysosome fusion, which correlates with the swelling of endolysosomal compartments that show areduction in their dynamics. Finally, because lysosomes undergo constant dynamic regulation by the small Rab7 GTPase, we investigated the effect of PA treatment on its activity. Interestingly, we found PA treatment altered the activity of Rab7. Altogether, these results unveil the cellular process by which PA exposure impairs the autophagic flux. As impaired autophagy in hypothalamic neurons promotes obesity, and balanced autophagy is required to inhibit malignant transformation, this could affect tumor initiation, progression, and/or response to therapy of obesity-related cancers.","author":[{"dropping-particle":"","family":"Hernández-Cáceres","given":"María Paz","non-dropping-particle":"","parse-names":false,"suffix":""},{"dropping-particle":"","family":"Cereceda","given":"Karina","non-dropping-particle":"","parse-names":false,"suffix":""},{"dropping-particle":"","family":"Hernández","given":"Sergio","non-dropping-particle":"","parse-names":false,"suffix":""},{"dropping-particle":"","family":"Li","given":"Ying","non-dropping-particle":"","parse-names":false,"suffix":""},{"dropping-particle":"","family":"Narro","given":"Carla","non-dropping-particle":"","parse-names":false,"suffix":""},{"dropping-particle":"","family":"Rivera","given":"Patricia","non-dropping-particle":"","parse-names":false,"suffix":""},{"dropping-particle":"","family":"Silva","given":"Patricio","non-dropping-particle":"","parse-names":false,"suffix":""},{"dropping-particle":"","family":"Ávalos","given":"Yenniffer","non-dropping-particle":"","parse-names":false,"suffix":""},{"dropping-particle":"","family":"Jara","given":"Claudia","non-dropping-particle":"","parse-names":false,"suffix":""},{"dropping-particle":"","family":"Burgos","given":"Paulina","non-dropping-particle":"","parse-names":false,"suffix":""},{"dropping-particle":"","family":"Toledo-Valenzuela","given":"Lilian","non-dropping-particle":"","parse-names":false,"suffix":""},{"dropping-particle":"","family":"Lagos","given":"Pablo","non-dropping-particle":"","parse-names":false,"suffix":""},{"dropping-particle":"","family":"Cifuentes Araneda","given":"Flavia","non-dropping-particle":"","parse-names":false,"suffix":""},{"dropping-particle":"","family":"Perez-Leighton","given":"Claudio","non-dropping-particle":"","parse-names":false,"suffix":""},{"dropping-particle":"","family":"Bertocchi","given":"Cristina","non-dropping-particle":"","parse-names":false,"suffix":""},{"dropping-particle":"","family":"Clegg","given":"Deborah J.","non-dropping-particle":"","parse-names":false,"suffix":""},{"dropping-particle":"","family":"Criollo","given":"Alfredo","non-dropping-particle":"","parse-names":false,"suffix":""},{"dropping-particle":"","family":"Tapia-Rojas","given":"Cheril","non-dropping-particle":"","parse-names":false,"suffix":""},{"dropping-particle":"V.","family":"Burgos","given":"Patricia","non-dropping-particle":"","parse-names":false,"suffix":""},{"dropping-particle":"","family":"Morselli","given":"Eugenia","non-dropping-particle":"","parse-names":false,"suffix":""}],"container-title":"Molecular and Cellular Oncology","id":"ITEM-1","issue":"5","issued":{"date-parts":[["2020"]]},"publisher":"Taylor &amp; Francis","title":"Palmitic acid reduces the autophagic flux in hypothalamic neurons by impairing autophagosome-lysosome fusion and endolysosomal dynamics","type":"article-journal","volume":"7"},"uris":["http://www.mendeley.com/documents/?uuid=151584dc-30b6-47df-ae2f-0028c223d2bf"]},{"id":"ITEM-2","itemData":{"DOI":"10.1016/j.ajpath.2016.03.003","ISSN":"15252191","PMID":"27157992","abstract":"Blockage of hepatic autophagic degradation system occurs in obesity and is associated with the development of nonalcoholic fatty liver disease. However, the mechanism of this blockage remains unclear. We found a high-fat diet induced accumulation of autophagosomes in the mice livers. However, autophagy substrates such as p62 and ubiquitinated proteins also accumulated in the livers in this model. These findings indicate the possibility that a high-fat diet impairs autophagic flux in the liver. Then, to assess the autophagic flux in more detail, we performed analyses of autophagic flux in cultured hepatocytes exposed to monounsaturated fatty acids (FAs) or saturated FAs (SFAs). SFAs but not monounsaturated FAs suppressed degradation of contents in the autophagosomes. We analyzed each stage of the autophagy pathway (ie, autophagosome formation, autophagosome-lysosome fusion, lysosomal degradation) in cultured hepatocytes treated with monounsaturated FAs or SFAs and found that SFAs impaired autophagosome-lysosome fusion. This impairment occurred in an endoplasmic reticulum stress-dependent manner. Moreover, ubiquitin and p62-positive inclusions observed in high-fat diet–fed mice livers and SFA-treated cells were sequestered within autophagosomes. We also found that SFA-induced accumulation of Ser351-phosphorylated p62, which is indispensable for selective autophagy, further increased on administration of a lysosomal proteinase inhibitor. Although lipid-induced endoplasmic reticulum stress interferes with the autophagosome-lysosome fusion, selective autophagic sequestration of aggregated proteins is not inhibited.","author":[{"dropping-particle":"","family":"Miyagawa","given":"Koichiro","non-dropping-particle":"","parse-names":false,"suffix":""},{"dropping-particle":"","family":"Oe","given":"Shinji","non-dropping-particle":"","parse-names":false,"suffix":""},{"dropping-particle":"","family":"Honma","given":"Yuichi","non-dropping-particle":"","parse-names":false,"suffix":""},{"dropping-particle":"","family":"Izumi","given":"Hiroto","non-dropping-particle":"","parse-names":false,"suffix":""},{"dropping-particle":"","family":"Baba","given":"Ryoko","non-dropping-particle":"","parse-names":false,"suffix":""},{"dropping-particle":"","family":"Harada","given":"Masaru","non-dropping-particle":"","parse-names":false,"suffix":""}],"container-title":"American Journal of Pathology","id":"ITEM-2","issue":"7","issued":{"date-parts":[["2016"]]},"page":"1861-1873","publisher":"American Society for Investigative Pathology","title":"Lipid-Induced Endoplasmic Reticulum Stress Impairs Selective Autophagy at the Step of Autophagosome-Lysosome Fusion in Hepatocytes","type":"article-journal","volume":"186"},"uris":["http://www.mendeley.com/documents/?uuid=6e74a865-7689-4c09-8db9-607b7375169b"]},{"id":"ITEM-3","itemData":{"DOI":"10.1038/ncomms5834","ISSN":"20411723","PMID":"25189398","abstract":"Autophagy deregulation during obesity contributes to the pathogenesis of diverse metabolic disorders. However, without understanding the molecular mechanism of obesity interference in autophagy, development of therapeutic strategies for correcting such defects in obese individuals is challenging. Here we show that a chronic increase of the cytosolic calcium concentration in hepatocytes during obesity and lipotoxicity attenuates autophagic flux by preventing the fusion between autophagosomes and lysosomes. As a pharmacological approach to restore cytosolic calcium homeostasis in vivo, we administered the clinically approved calcium channel blocker verapamil to obese mice. Such treatment successfully increases autophagosome-lysosome fusion in liver, preventing accumulation of protein inclusions and lipid droplets and suppressing inflammation and insulin resistance. As calcium channel blockers have been safely used in clinics for the treatment of hypertension for more than 30 years, our results suggest they may be a safe therapeutic option for restoring autophagic flux and treating metabolic pathologies in obese patients.","author":[{"dropping-particle":"","family":"Park","given":"Hwan Woo","non-dropping-particle":"","parse-names":false,"suffix":""},{"dropping-particle":"","family":"Park","given":"Haeli","non-dropping-particle":"","parse-names":false,"suffix":""},{"dropping-particle":"","family":"Semple","given":"Ian A.","non-dropping-particle":"","parse-names":false,"suffix":""},{"dropping-particle":"","family":"Jang","given":"Insook","non-dropping-particle":"","parse-names":false,"suffix":""},{"dropping-particle":"","family":"Ro","given":"Seung Hyun","non-dropping-particle":"","parse-names":false,"suffix":""},{"dropping-particle":"","family":"Kim","given":"Myungjin","non-dropping-particle":"","parse-names":false,"suffix":""},{"dropping-particle":"","family":"Cazares","given":"Victor A.","non-dropping-particle":"","parse-names":false,"suffix":""},{"dropping-particle":"","family":"Stuenkel","given":"Edward L.","non-dropping-particle":"","parse-names":false,"suffix":""},{"dropping-particle":"","family":"Kim","given":"Jung Jae","non-dropping-particle":"","parse-names":false,"suffix":""},{"dropping-particle":"","family":"Kim","given":"Jeong Sig","non-dropping-particle":"","parse-names":false,"suffix":""},{"dropping-particle":"","family":"Lee","given":"Jun Hee","non-dropping-particle":"","parse-names":false,"suffix":""}],"container-title":"Nature Communications","id":"ITEM-3","issued":{"date-parts":[["2014"]]},"page":"1-12","publisher":"Nature Publishing Group","title":"Pharmacological correction of obesity-induced autophagy arrest using calcium channel blockers","type":"article-journal","volume":"5"},"uris":["http://www.mendeley.com/documents/?uuid=8cb6b306-b0f7-4b08-9c89-90238075cd74"]}],"mendeley":{"formattedCitation":"&lt;sup&gt;23,44,45&lt;/sup&gt;","plainTextFormattedCitation":"23,44,45","previouslyFormattedCitation":"&lt;sup&gt;23,44,45&lt;/sup&gt;"},"properties":{"noteIndex":0},"schema":"https://github.com/citation-style-language/schema/raw/master/csl-citation.json"}</w:instrText>
      </w:r>
      <w:r w:rsidRPr="007A6C79">
        <w:rPr>
          <w:rFonts w:ascii="Times New Roman" w:hAnsi="Times New Roman" w:cs="Times New Roman"/>
          <w:sz w:val="24"/>
          <w:szCs w:val="24"/>
          <w:lang w:val="en-US"/>
        </w:rPr>
        <w:fldChar w:fldCharType="separate"/>
      </w:r>
      <w:r w:rsidR="00D27D77" w:rsidRPr="007A6C79">
        <w:rPr>
          <w:rFonts w:ascii="Times New Roman" w:hAnsi="Times New Roman" w:cs="Times New Roman"/>
          <w:noProof/>
          <w:sz w:val="24"/>
          <w:szCs w:val="24"/>
          <w:lang w:val="en-US"/>
        </w:rPr>
        <w:t>23,44,45</w:t>
      </w:r>
      <w:r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To test this hypothesis, fusion events were evaluated by the colocalization percentages between LC3 and lysosomes through </w:t>
      </w:r>
      <w:r w:rsidR="00F95C44">
        <w:rPr>
          <w:rFonts w:ascii="Times New Roman" w:hAnsi="Times New Roman" w:cs="Times New Roman"/>
          <w:sz w:val="24"/>
          <w:szCs w:val="24"/>
          <w:lang w:val="en-US"/>
        </w:rPr>
        <w:t>LAMP2 (</w:t>
      </w:r>
      <w:r w:rsidRPr="00405F18">
        <w:rPr>
          <w:rFonts w:ascii="Times New Roman" w:hAnsi="Times New Roman" w:cs="Times New Roman"/>
          <w:sz w:val="24"/>
          <w:szCs w:val="24"/>
          <w:lang w:val="en-US"/>
        </w:rPr>
        <w:t>lysosomal</w:t>
      </w:r>
      <w:r w:rsidR="00F95C44">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associated membrane protein 2) staining. After 6 and 24 h, the colocalization percentages </w:t>
      </w:r>
      <w:r w:rsidR="00FA1040" w:rsidRPr="00405F18">
        <w:rPr>
          <w:rFonts w:ascii="Times New Roman" w:hAnsi="Times New Roman" w:cs="Times New Roman"/>
          <w:sz w:val="24"/>
          <w:szCs w:val="24"/>
          <w:lang w:val="en-US"/>
        </w:rPr>
        <w:t>we</w:t>
      </w:r>
      <w:r w:rsidRPr="00405F18">
        <w:rPr>
          <w:rFonts w:ascii="Times New Roman" w:hAnsi="Times New Roman" w:cs="Times New Roman"/>
          <w:sz w:val="24"/>
          <w:szCs w:val="24"/>
          <w:lang w:val="en-US"/>
        </w:rPr>
        <w:t>re significantly higher in PA-treated cells compared with BSA-treated cells (Figure 5</w:t>
      </w:r>
      <w:proofErr w:type="gramStart"/>
      <w:r w:rsidRPr="00405F18">
        <w:rPr>
          <w:rFonts w:ascii="Times New Roman" w:hAnsi="Times New Roman" w:cs="Times New Roman"/>
          <w:sz w:val="24"/>
          <w:szCs w:val="24"/>
          <w:lang w:val="en-US"/>
        </w:rPr>
        <w:t>A,B</w:t>
      </w:r>
      <w:proofErr w:type="gramEnd"/>
      <w:r w:rsidRPr="00405F18">
        <w:rPr>
          <w:rFonts w:ascii="Times New Roman" w:hAnsi="Times New Roman" w:cs="Times New Roman"/>
          <w:sz w:val="24"/>
          <w:szCs w:val="24"/>
          <w:lang w:val="en-US"/>
        </w:rPr>
        <w:t xml:space="preserve">). </w:t>
      </w:r>
      <w:r w:rsidR="00041183" w:rsidRPr="00405F18">
        <w:rPr>
          <w:rFonts w:ascii="Times New Roman" w:hAnsi="Times New Roman" w:cs="Times New Roman"/>
          <w:sz w:val="24"/>
          <w:szCs w:val="24"/>
          <w:lang w:val="en-US"/>
        </w:rPr>
        <w:t>These r</w:t>
      </w:r>
      <w:r w:rsidRPr="00405F18">
        <w:rPr>
          <w:rFonts w:ascii="Times New Roman" w:hAnsi="Times New Roman" w:cs="Times New Roman"/>
          <w:sz w:val="24"/>
          <w:szCs w:val="24"/>
          <w:lang w:val="en-US"/>
        </w:rPr>
        <w:t>esults suggest</w:t>
      </w:r>
      <w:r w:rsidR="00FA1040"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that the</w:t>
      </w:r>
      <w:r w:rsidR="00F64894"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autophagosomes observed in PA-treated </w:t>
      </w:r>
      <w:r w:rsidR="001A6B78" w:rsidRPr="00405F18">
        <w:rPr>
          <w:rFonts w:ascii="Times New Roman" w:hAnsi="Times New Roman" w:cs="Times New Roman"/>
          <w:sz w:val="24"/>
          <w:szCs w:val="24"/>
          <w:lang w:val="en-US"/>
        </w:rPr>
        <w:t>cells</w:t>
      </w:r>
      <w:r w:rsidRPr="00405F18">
        <w:rPr>
          <w:rFonts w:ascii="Times New Roman" w:hAnsi="Times New Roman" w:cs="Times New Roman"/>
          <w:sz w:val="24"/>
          <w:szCs w:val="24"/>
          <w:lang w:val="en-US"/>
        </w:rPr>
        <w:t xml:space="preserve"> are positive for the LAMP2 marker and are thus most likely autolysosomes. </w:t>
      </w:r>
      <w:r w:rsidR="00E05745" w:rsidRPr="00405F18">
        <w:rPr>
          <w:rFonts w:ascii="Times New Roman" w:hAnsi="Times New Roman" w:cs="Times New Roman"/>
          <w:sz w:val="24"/>
          <w:szCs w:val="24"/>
          <w:lang w:val="en-US"/>
        </w:rPr>
        <w:t>It</w:t>
      </w:r>
      <w:r w:rsidRPr="00405F18">
        <w:rPr>
          <w:rFonts w:ascii="Times New Roman" w:hAnsi="Times New Roman" w:cs="Times New Roman"/>
          <w:sz w:val="24"/>
          <w:szCs w:val="24"/>
          <w:lang w:val="en-US"/>
        </w:rPr>
        <w:t xml:space="preserve"> is reinforced by the fact that </w:t>
      </w:r>
      <w:proofErr w:type="spellStart"/>
      <w:r w:rsidRPr="00405F18">
        <w:rPr>
          <w:rFonts w:ascii="Times New Roman" w:hAnsi="Times New Roman" w:cs="Times New Roman"/>
          <w:sz w:val="24"/>
          <w:szCs w:val="24"/>
          <w:lang w:val="en-US"/>
        </w:rPr>
        <w:t>Ub</w:t>
      </w:r>
      <w:proofErr w:type="spellEnd"/>
      <w:r w:rsidRPr="00405F18">
        <w:rPr>
          <w:rFonts w:ascii="Times New Roman" w:hAnsi="Times New Roman" w:cs="Times New Roman"/>
          <w:sz w:val="24"/>
          <w:szCs w:val="24"/>
          <w:lang w:val="en-US"/>
        </w:rPr>
        <w:t xml:space="preserve"> aggregates </w:t>
      </w:r>
      <w:r w:rsidR="00FA1040" w:rsidRPr="00405F18">
        <w:rPr>
          <w:rFonts w:ascii="Times New Roman" w:hAnsi="Times New Roman" w:cs="Times New Roman"/>
          <w:sz w:val="24"/>
          <w:szCs w:val="24"/>
          <w:lang w:val="en-US"/>
        </w:rPr>
        <w:t>we</w:t>
      </w:r>
      <w:r w:rsidRPr="00405F18">
        <w:rPr>
          <w:rFonts w:ascii="Times New Roman" w:hAnsi="Times New Roman" w:cs="Times New Roman"/>
          <w:sz w:val="24"/>
          <w:szCs w:val="24"/>
          <w:lang w:val="en-US"/>
        </w:rPr>
        <w:t>re engulfed in LAMP1</w:t>
      </w:r>
      <w:r w:rsidR="0006729B" w:rsidRPr="00405F18">
        <w:rPr>
          <w:rFonts w:ascii="Times New Roman" w:hAnsi="Times New Roman" w:cs="Times New Roman"/>
          <w:sz w:val="24"/>
          <w:szCs w:val="24"/>
          <w:lang w:val="en-US"/>
        </w:rPr>
        <w:t>-positive</w:t>
      </w:r>
      <w:r w:rsidRPr="00405F18">
        <w:rPr>
          <w:rFonts w:ascii="Times New Roman" w:hAnsi="Times New Roman" w:cs="Times New Roman"/>
          <w:sz w:val="24"/>
          <w:szCs w:val="24"/>
          <w:lang w:val="en-US"/>
        </w:rPr>
        <w:t xml:space="preserve"> structures indicative of lysosomes (Figure 5</w:t>
      </w:r>
      <w:proofErr w:type="gramStart"/>
      <w:r w:rsidRPr="00405F18">
        <w:rPr>
          <w:rFonts w:ascii="Times New Roman" w:hAnsi="Times New Roman" w:cs="Times New Roman"/>
          <w:sz w:val="24"/>
          <w:szCs w:val="24"/>
          <w:lang w:val="en-US"/>
        </w:rPr>
        <w:t>C</w:t>
      </w:r>
      <w:r w:rsidR="00554A88" w:rsidRPr="00405F18">
        <w:rPr>
          <w:rFonts w:ascii="Times New Roman" w:hAnsi="Times New Roman" w:cs="Times New Roman"/>
          <w:sz w:val="24"/>
          <w:szCs w:val="24"/>
          <w:lang w:val="en-US"/>
        </w:rPr>
        <w:t>,D</w:t>
      </w:r>
      <w:proofErr w:type="gramEnd"/>
      <w:r w:rsidRPr="00405F18">
        <w:rPr>
          <w:rFonts w:ascii="Times New Roman" w:hAnsi="Times New Roman" w:cs="Times New Roman"/>
          <w:sz w:val="24"/>
          <w:szCs w:val="24"/>
          <w:lang w:val="en-US"/>
        </w:rPr>
        <w:t>). Notably, lysosomes appeared</w:t>
      </w:r>
      <w:r w:rsidR="00F71ACB"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enlarged in PA-treated cells</w:t>
      </w:r>
      <w:r w:rsidR="00DF3E18" w:rsidRPr="00405F18">
        <w:rPr>
          <w:rFonts w:ascii="Times New Roman" w:hAnsi="Times New Roman" w:cs="Times New Roman"/>
          <w:sz w:val="24"/>
          <w:szCs w:val="24"/>
          <w:lang w:val="en-US"/>
        </w:rPr>
        <w:t xml:space="preserve"> after 24 h</w:t>
      </w:r>
      <w:r w:rsidRPr="00405F18">
        <w:rPr>
          <w:rFonts w:ascii="Times New Roman" w:hAnsi="Times New Roman" w:cs="Times New Roman"/>
          <w:sz w:val="24"/>
          <w:szCs w:val="24"/>
          <w:lang w:val="en-US"/>
        </w:rPr>
        <w:t xml:space="preserve"> (Figure 5C). Because</w:t>
      </w:r>
      <w:r w:rsidR="00D81FCD" w:rsidRPr="00405F18">
        <w:rPr>
          <w:rFonts w:ascii="Times New Roman" w:hAnsi="Times New Roman" w:cs="Times New Roman"/>
          <w:sz w:val="24"/>
          <w:szCs w:val="24"/>
          <w:lang w:val="en-US"/>
        </w:rPr>
        <w:t xml:space="preserve"> </w:t>
      </w:r>
      <w:r w:rsidR="00000E2B" w:rsidRPr="00405F18">
        <w:rPr>
          <w:rFonts w:ascii="Times New Roman" w:hAnsi="Times New Roman" w:cs="Times New Roman"/>
          <w:sz w:val="24"/>
          <w:szCs w:val="24"/>
          <w:lang w:val="en-US"/>
        </w:rPr>
        <w:t xml:space="preserve">the number and the size of </w:t>
      </w:r>
      <w:r w:rsidR="00D81FCD" w:rsidRPr="00405F18">
        <w:rPr>
          <w:rFonts w:ascii="Times New Roman" w:hAnsi="Times New Roman" w:cs="Times New Roman"/>
          <w:sz w:val="24"/>
          <w:szCs w:val="24"/>
          <w:lang w:val="en-US"/>
        </w:rPr>
        <w:t>autophagosome</w:t>
      </w:r>
      <w:r w:rsidR="00000E2B" w:rsidRPr="00405F18">
        <w:rPr>
          <w:rFonts w:ascii="Times New Roman" w:hAnsi="Times New Roman" w:cs="Times New Roman"/>
          <w:sz w:val="24"/>
          <w:szCs w:val="24"/>
          <w:lang w:val="en-US"/>
        </w:rPr>
        <w:t>s</w:t>
      </w:r>
      <w:r w:rsidR="00D81FCD" w:rsidRPr="00405F18">
        <w:rPr>
          <w:rFonts w:ascii="Times New Roman" w:hAnsi="Times New Roman" w:cs="Times New Roman"/>
          <w:sz w:val="24"/>
          <w:szCs w:val="24"/>
          <w:lang w:val="en-US"/>
        </w:rPr>
        <w:t xml:space="preserve"> (Figure</w:t>
      </w:r>
      <w:r w:rsidR="00EB10B5" w:rsidRPr="00405F18">
        <w:rPr>
          <w:rFonts w:ascii="Times New Roman" w:hAnsi="Times New Roman" w:cs="Times New Roman"/>
          <w:sz w:val="24"/>
          <w:szCs w:val="24"/>
          <w:lang w:val="en-US"/>
        </w:rPr>
        <w:t xml:space="preserve"> 1</w:t>
      </w:r>
      <w:proofErr w:type="gramStart"/>
      <w:r w:rsidR="00EB10B5" w:rsidRPr="00405F18">
        <w:rPr>
          <w:rFonts w:ascii="Times New Roman" w:hAnsi="Times New Roman" w:cs="Times New Roman"/>
          <w:sz w:val="24"/>
          <w:szCs w:val="24"/>
          <w:lang w:val="en-US"/>
        </w:rPr>
        <w:t>G,H</w:t>
      </w:r>
      <w:proofErr w:type="gramEnd"/>
      <w:r w:rsidR="00D81FCD" w:rsidRPr="00405F18">
        <w:rPr>
          <w:rFonts w:ascii="Times New Roman" w:hAnsi="Times New Roman" w:cs="Times New Roman"/>
          <w:sz w:val="24"/>
          <w:szCs w:val="24"/>
          <w:lang w:val="en-US"/>
        </w:rPr>
        <w:t>)</w:t>
      </w:r>
      <w:r w:rsidR="00000E2B" w:rsidRPr="00405F18">
        <w:rPr>
          <w:rFonts w:ascii="Times New Roman" w:hAnsi="Times New Roman" w:cs="Times New Roman"/>
          <w:sz w:val="24"/>
          <w:szCs w:val="24"/>
          <w:lang w:val="en-US"/>
        </w:rPr>
        <w:t xml:space="preserve"> </w:t>
      </w:r>
      <w:r w:rsidR="004A1501" w:rsidRPr="00405F18">
        <w:rPr>
          <w:rFonts w:ascii="Times New Roman" w:hAnsi="Times New Roman" w:cs="Times New Roman"/>
          <w:sz w:val="24"/>
          <w:szCs w:val="24"/>
          <w:lang w:val="en-US"/>
        </w:rPr>
        <w:t>and</w:t>
      </w:r>
      <w:r w:rsidR="00000E2B" w:rsidRPr="00405F18">
        <w:rPr>
          <w:rFonts w:ascii="Times New Roman" w:hAnsi="Times New Roman" w:cs="Times New Roman"/>
          <w:sz w:val="24"/>
          <w:szCs w:val="24"/>
          <w:lang w:val="en-US"/>
        </w:rPr>
        <w:t xml:space="preserve"> their</w:t>
      </w:r>
      <w:r w:rsidR="008A1295"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colocalization </w:t>
      </w:r>
      <w:r w:rsidR="00000E2B" w:rsidRPr="00405F18">
        <w:rPr>
          <w:rFonts w:ascii="Times New Roman" w:hAnsi="Times New Roman" w:cs="Times New Roman"/>
          <w:sz w:val="24"/>
          <w:szCs w:val="24"/>
          <w:lang w:val="en-US"/>
        </w:rPr>
        <w:t>with lysosomes</w:t>
      </w:r>
      <w:r w:rsidRPr="00405F18">
        <w:rPr>
          <w:rFonts w:ascii="Times New Roman" w:hAnsi="Times New Roman" w:cs="Times New Roman"/>
          <w:sz w:val="24"/>
          <w:szCs w:val="24"/>
          <w:lang w:val="en-US"/>
        </w:rPr>
        <w:t xml:space="preserve"> </w:t>
      </w:r>
      <w:r w:rsidR="008A1295" w:rsidRPr="00405F18">
        <w:rPr>
          <w:rFonts w:ascii="Times New Roman" w:hAnsi="Times New Roman" w:cs="Times New Roman"/>
          <w:sz w:val="24"/>
          <w:szCs w:val="24"/>
          <w:lang w:val="en-US"/>
        </w:rPr>
        <w:t xml:space="preserve">(Figure 5A,B) </w:t>
      </w:r>
      <w:r w:rsidR="00D81FCD" w:rsidRPr="00405F18">
        <w:rPr>
          <w:rFonts w:ascii="Times New Roman" w:hAnsi="Times New Roman" w:cs="Times New Roman"/>
          <w:sz w:val="24"/>
          <w:szCs w:val="24"/>
          <w:lang w:val="en-US"/>
        </w:rPr>
        <w:t>were similar between</w:t>
      </w:r>
      <w:r w:rsidR="00EB10B5" w:rsidRPr="00405F18">
        <w:rPr>
          <w:rFonts w:ascii="Times New Roman" w:hAnsi="Times New Roman" w:cs="Times New Roman"/>
          <w:sz w:val="24"/>
          <w:szCs w:val="24"/>
          <w:lang w:val="en-US"/>
        </w:rPr>
        <w:t xml:space="preserve"> </w:t>
      </w:r>
      <w:r w:rsidR="00063D30" w:rsidRPr="00405F18">
        <w:rPr>
          <w:rFonts w:ascii="Times New Roman" w:hAnsi="Times New Roman" w:cs="Times New Roman"/>
          <w:sz w:val="24"/>
          <w:szCs w:val="24"/>
          <w:lang w:val="en-US"/>
        </w:rPr>
        <w:t xml:space="preserve">PA-treated </w:t>
      </w:r>
      <w:r w:rsidRPr="00405F18">
        <w:rPr>
          <w:rFonts w:ascii="Times New Roman" w:hAnsi="Times New Roman" w:cs="Times New Roman"/>
          <w:sz w:val="24"/>
          <w:szCs w:val="24"/>
          <w:lang w:val="en-US"/>
        </w:rPr>
        <w:t>cells</w:t>
      </w:r>
      <w:r w:rsidR="00441F7B" w:rsidRPr="00405F18">
        <w:rPr>
          <w:rFonts w:ascii="Times New Roman" w:hAnsi="Times New Roman" w:cs="Times New Roman"/>
          <w:sz w:val="24"/>
          <w:szCs w:val="24"/>
          <w:lang w:val="en-US"/>
        </w:rPr>
        <w:t xml:space="preserve"> </w:t>
      </w:r>
      <w:r w:rsidR="00D81FCD" w:rsidRPr="00405F18">
        <w:rPr>
          <w:rFonts w:ascii="Times New Roman" w:hAnsi="Times New Roman" w:cs="Times New Roman"/>
          <w:sz w:val="24"/>
          <w:szCs w:val="24"/>
          <w:lang w:val="en-US"/>
        </w:rPr>
        <w:t xml:space="preserve">and </w:t>
      </w:r>
      <w:r w:rsidR="008A1295" w:rsidRPr="00405F18">
        <w:rPr>
          <w:rFonts w:ascii="Times New Roman" w:hAnsi="Times New Roman" w:cs="Times New Roman"/>
          <w:sz w:val="24"/>
          <w:szCs w:val="24"/>
          <w:lang w:val="en-US"/>
        </w:rPr>
        <w:t>those</w:t>
      </w:r>
      <w:r w:rsidR="00063D30" w:rsidRPr="00405F18">
        <w:rPr>
          <w:rFonts w:ascii="Times New Roman" w:hAnsi="Times New Roman" w:cs="Times New Roman"/>
          <w:sz w:val="24"/>
          <w:szCs w:val="24"/>
          <w:lang w:val="en-US"/>
        </w:rPr>
        <w:t xml:space="preserve"> treated</w:t>
      </w:r>
      <w:r w:rsidR="008A1295" w:rsidRPr="00405F18">
        <w:rPr>
          <w:rFonts w:ascii="Times New Roman" w:hAnsi="Times New Roman" w:cs="Times New Roman"/>
          <w:sz w:val="24"/>
          <w:szCs w:val="24"/>
          <w:lang w:val="en-US"/>
        </w:rPr>
        <w:t xml:space="preserve"> </w:t>
      </w:r>
      <w:r w:rsidR="00D21FB1" w:rsidRPr="00405F18">
        <w:rPr>
          <w:rFonts w:ascii="Times New Roman" w:hAnsi="Times New Roman" w:cs="Times New Roman"/>
          <w:sz w:val="24"/>
          <w:szCs w:val="24"/>
          <w:lang w:val="en-US"/>
        </w:rPr>
        <w:t xml:space="preserve">with </w:t>
      </w:r>
      <w:r w:rsidR="00441F7B" w:rsidRPr="00405F18">
        <w:rPr>
          <w:rFonts w:ascii="Times New Roman" w:hAnsi="Times New Roman" w:cs="Times New Roman"/>
          <w:sz w:val="24"/>
          <w:szCs w:val="24"/>
          <w:lang w:val="en-US"/>
        </w:rPr>
        <w:t xml:space="preserve">BSA and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FF7085">
        <w:rPr>
          <w:rFonts w:ascii="Times New Roman" w:hAnsi="Times New Roman" w:cs="Times New Roman"/>
          <w:sz w:val="24"/>
          <w:szCs w:val="24"/>
          <w:vertAlign w:val="subscript"/>
          <w:lang w:val="en-US"/>
        </w:rPr>
        <w:t>1</w:t>
      </w:r>
      <w:r w:rsidRPr="00405F18">
        <w:rPr>
          <w:rFonts w:ascii="Times New Roman" w:hAnsi="Times New Roman" w:cs="Times New Roman"/>
          <w:sz w:val="24"/>
          <w:szCs w:val="24"/>
          <w:lang w:val="en-US"/>
        </w:rPr>
        <w:t>,</w:t>
      </w:r>
      <w:r w:rsidR="00AA083C" w:rsidRPr="00405F18">
        <w:rPr>
          <w:rFonts w:ascii="Times New Roman" w:hAnsi="Times New Roman" w:cs="Times New Roman"/>
          <w:sz w:val="24"/>
          <w:szCs w:val="24"/>
          <w:lang w:val="en-US"/>
        </w:rPr>
        <w:t xml:space="preserve"> </w:t>
      </w:r>
      <w:r w:rsidR="00C26AE4" w:rsidRPr="00405F18">
        <w:rPr>
          <w:rFonts w:ascii="Times New Roman" w:hAnsi="Times New Roman" w:cs="Times New Roman"/>
          <w:sz w:val="24"/>
          <w:szCs w:val="24"/>
          <w:lang w:val="en-US"/>
        </w:rPr>
        <w:t xml:space="preserve">we postulated that </w:t>
      </w:r>
      <w:r w:rsidRPr="00405F18">
        <w:rPr>
          <w:rFonts w:ascii="Times New Roman" w:hAnsi="Times New Roman" w:cs="Times New Roman"/>
          <w:sz w:val="24"/>
          <w:szCs w:val="24"/>
          <w:lang w:val="en-US"/>
        </w:rPr>
        <w:t>PA m</w:t>
      </w:r>
      <w:r w:rsidR="00B43D93" w:rsidRPr="00405F18">
        <w:rPr>
          <w:rFonts w:ascii="Times New Roman" w:hAnsi="Times New Roman" w:cs="Times New Roman"/>
          <w:sz w:val="24"/>
          <w:szCs w:val="24"/>
          <w:lang w:val="en-US"/>
        </w:rPr>
        <w:t>ight</w:t>
      </w:r>
      <w:r w:rsidR="00D21FB1" w:rsidRPr="00405F18">
        <w:rPr>
          <w:rFonts w:ascii="Times New Roman" w:hAnsi="Times New Roman" w:cs="Times New Roman"/>
          <w:sz w:val="24"/>
          <w:szCs w:val="24"/>
          <w:lang w:val="en-US"/>
        </w:rPr>
        <w:t xml:space="preserve"> act similarly to bafilomycin A</w:t>
      </w:r>
      <w:r w:rsidR="00D21FB1" w:rsidRPr="00FF7085">
        <w:rPr>
          <w:rFonts w:ascii="Times New Roman" w:hAnsi="Times New Roman" w:cs="Times New Roman"/>
          <w:sz w:val="24"/>
          <w:szCs w:val="24"/>
          <w:vertAlign w:val="subscript"/>
          <w:lang w:val="en-US"/>
        </w:rPr>
        <w:t>1</w:t>
      </w:r>
      <w:r w:rsidR="00D21FB1" w:rsidRPr="00405F18">
        <w:rPr>
          <w:rFonts w:ascii="Times New Roman" w:hAnsi="Times New Roman" w:cs="Times New Roman"/>
          <w:sz w:val="24"/>
          <w:szCs w:val="24"/>
          <w:lang w:val="en-US"/>
        </w:rPr>
        <w:t xml:space="preserve"> and</w:t>
      </w:r>
      <w:r w:rsidRPr="00405F18">
        <w:rPr>
          <w:rFonts w:ascii="Times New Roman" w:hAnsi="Times New Roman" w:cs="Times New Roman"/>
          <w:sz w:val="24"/>
          <w:szCs w:val="24"/>
          <w:lang w:val="en-US"/>
        </w:rPr>
        <w:t xml:space="preserve"> inhibit lysosomal function. In this regard, autophagosome accumulation might be a consequence of defective lysosomal degradation secondary to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xml:space="preserve"> in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w:t>
      </w:r>
    </w:p>
    <w:p w14:paraId="3F50F9E6" w14:textId="5E0AB82A" w:rsidR="003A1EF9" w:rsidRPr="00405F18" w:rsidRDefault="00605472" w:rsidP="007A6C79">
      <w:pPr>
        <w:spacing w:after="100" w:afterAutospacing="1" w:line="480" w:lineRule="auto"/>
        <w:ind w:firstLine="708"/>
        <w:jc w:val="both"/>
        <w:rPr>
          <w:rFonts w:ascii="Times New Roman" w:hAnsi="Times New Roman" w:cs="Times New Roman"/>
          <w:b/>
          <w:bCs/>
          <w:sz w:val="24"/>
          <w:szCs w:val="24"/>
          <w:lang w:val="en-US"/>
        </w:rPr>
      </w:pPr>
      <w:r w:rsidRPr="00405F18">
        <w:rPr>
          <w:rFonts w:ascii="Times New Roman" w:hAnsi="Times New Roman" w:cs="Times New Roman"/>
          <w:sz w:val="24"/>
          <w:szCs w:val="24"/>
          <w:lang w:val="en-US"/>
        </w:rPr>
        <w:t xml:space="preserve">As acidic pH is crucial for lysosomal enzyme activity, this parameter was next monitored as a marker of organelle function. The </w:t>
      </w:r>
      <w:proofErr w:type="spellStart"/>
      <w:r w:rsidRPr="00405F18">
        <w:rPr>
          <w:rFonts w:ascii="Times New Roman" w:hAnsi="Times New Roman" w:cs="Times New Roman"/>
          <w:sz w:val="24"/>
          <w:szCs w:val="24"/>
          <w:lang w:val="en-US"/>
        </w:rPr>
        <w:t>LysoSensor</w:t>
      </w:r>
      <w:r w:rsidRPr="00226661">
        <w:rPr>
          <w:rFonts w:ascii="Times New Roman" w:hAnsi="Times New Roman" w:cs="Times New Roman"/>
          <w:sz w:val="24"/>
          <w:szCs w:val="24"/>
          <w:vertAlign w:val="superscript"/>
          <w:lang w:val="en-US"/>
        </w:rPr>
        <w:t>TM</w:t>
      </w:r>
      <w:proofErr w:type="spellEnd"/>
      <w:r w:rsidRPr="00405F18">
        <w:rPr>
          <w:rFonts w:ascii="Times New Roman" w:hAnsi="Times New Roman" w:cs="Times New Roman"/>
          <w:sz w:val="24"/>
          <w:szCs w:val="24"/>
          <w:lang w:val="en-US"/>
        </w:rPr>
        <w:t xml:space="preserve"> Yellow/Blue DND-160 dye was used in this purpose. It stains lysosomes and emits yellow fluorescence in acidic condition (pH:</w:t>
      </w:r>
      <w:r w:rsidR="001A4CB1"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3-5) and blue fluorescence at neutral pH (6-8)</w:t>
      </w:r>
      <w:r w:rsidR="007A6C79">
        <w:rPr>
          <w:rFonts w:ascii="Times New Roman" w:hAnsi="Times New Roman" w:cs="Times New Roman"/>
          <w:sz w:val="24"/>
          <w:szCs w:val="24"/>
          <w:lang w:val="en-US"/>
        </w:rPr>
        <w:t xml:space="preserve"> [</w:t>
      </w:r>
      <w:r w:rsidRPr="007A6C79">
        <w:rPr>
          <w:rFonts w:ascii="Times New Roman" w:hAnsi="Times New Roman" w:cs="Times New Roman"/>
          <w:sz w:val="24"/>
          <w:szCs w:val="24"/>
          <w:lang w:val="en-US"/>
        </w:rPr>
        <w:fldChar w:fldCharType="begin" w:fldLock="1"/>
      </w:r>
      <w:r w:rsidR="00BC4F67" w:rsidRPr="007A6C79">
        <w:rPr>
          <w:rFonts w:ascii="Times New Roman" w:hAnsi="Times New Roman" w:cs="Times New Roman"/>
          <w:sz w:val="24"/>
          <w:szCs w:val="24"/>
          <w:lang w:val="en-US"/>
        </w:rPr>
        <w:instrText>ADDIN CSL_CITATION {"citationItems":[{"id":"ITEM-1","itemData":{"DOI":"10.15252/embj.2020105268","ISBN":"2020105268","ISSN":"0261-4189","PMID":"33528041","abstract":"© 2021 The Authors. Published under the terms of the CC BY 4.0 license Mitochondrial translation dysfunction is associated with neurodegenerative and cardiovascular diseases. Cells eliminate defective mitochondria by the lysosomal machinery via autophagy. The relationship between mitochondrial translation and lysosomal function is unknown. In this study, mitochondrial translation-deficient hearts from p32-knockout mice were found to exhibit enlarged lysosomes containing lipofuscin, suggesting impaired lysosome and autolysosome function. These mice also displayed autophagic abnormalities, such as p62 accumulation and LC3 localization around broken mitochondria. The expression of genes encoding for nicotinamide adenine dinucleotide (NAD+) biosynthetic enzymes—Nmnat3 and Nampt—and NAD+ levels were decreased, suggesting that NAD+ is essential for maintaining lysosomal acidification. Conversely, nicotinamide mononucleotide (NMN) administration or Nmnat3 overexpression rescued lysosomal acidification. Nmnat3 gene expression is suppressed by HIF1α, a transcription factor that is stabilized by mitochondrial translation dysfunction, suggesting that HIF1α-Nmnat3-mediated NAD+ production is important for lysosomal function. The glycolytic enzymes GAPDH and PGK1 were found associated with lysosomal vesicles, and NAD+ was required for ATP production around lysosomal vesicles. Thus, we conclude that NAD+ content affected by mitochondrial dysfunction is essential for lysosomal maintenance.","author":[{"dropping-particle":"","family":"Yagi","given":"Mikako","non-dropping-particle":"","parse-names":false,"suffix":""},{"dropping-particle":"","family":"Toshima","given":"Takahiro","non-dropping-particle":"","parse-names":false,"suffix":""},{"dropping-particle":"","family":"Amamoto","given":"Rie","non-dropping-particle":"","parse-names":false,"suffix":""},{"dropping-particle":"","family":"Do","given":"Yura","non-dropping-particle":"","parse-names":false,"suffix":""},{"dropping-particle":"","family":"Hirai","given":"Haruka","non-dropping-particle":"","parse-names":false,"suffix":""},{"dropping-particle":"","family":"Setoyama","given":"Daiki","non-dropping-particle":"","parse-names":false,"suffix":""},{"dropping-particle":"","family":"Kang","given":"Dongchon","non-dropping-particle":"","parse-names":false,"suffix":""},{"dropping-particle":"","family":"Uchiumi","given":"Takeshi","non-dropping-particle":"","parse-names":false,"suffix":""}],"container-title":"The EMBO Journal","id":"ITEM-1","issue":"8","issued":{"date-parts":[["2021"]]},"page":"1-17","title":" Mitochondrial translation deficiency impairs NAD + ‐mediated lysosomal acidification ","type":"article-journal","volume":"40"},"uris":["http://www.mendeley.com/documents/?uuid=e16a62f4-dc2f-45db-9426-a511692db3ae"]}],"mendeley":{"formattedCitation":"&lt;sup&gt;46&lt;/sup&gt;","plainTextFormattedCitation":"46","previouslyFormattedCitation":"&lt;sup&gt;46&lt;/sup&gt;"},"properties":{"noteIndex":0},"schema":"https://github.com/citation-style-language/schema/raw/master/csl-citation.json"}</w:instrText>
      </w:r>
      <w:r w:rsidRPr="007A6C79">
        <w:rPr>
          <w:rFonts w:ascii="Times New Roman" w:hAnsi="Times New Roman" w:cs="Times New Roman"/>
          <w:sz w:val="24"/>
          <w:szCs w:val="24"/>
          <w:lang w:val="en-US"/>
        </w:rPr>
        <w:fldChar w:fldCharType="separate"/>
      </w:r>
      <w:r w:rsidR="00D27D77" w:rsidRPr="007A6C79">
        <w:rPr>
          <w:rFonts w:ascii="Times New Roman" w:hAnsi="Times New Roman" w:cs="Times New Roman"/>
          <w:noProof/>
          <w:sz w:val="24"/>
          <w:szCs w:val="24"/>
          <w:lang w:val="en-US"/>
        </w:rPr>
        <w:t>46</w:t>
      </w:r>
      <w:r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After 6 and 24h, the </w:t>
      </w:r>
      <w:proofErr w:type="spellStart"/>
      <w:r w:rsidRPr="00405F18">
        <w:rPr>
          <w:rFonts w:ascii="Times New Roman" w:hAnsi="Times New Roman" w:cs="Times New Roman"/>
          <w:sz w:val="24"/>
          <w:szCs w:val="24"/>
          <w:lang w:val="en-US"/>
        </w:rPr>
        <w:t>blue:yellow</w:t>
      </w:r>
      <w:proofErr w:type="spellEnd"/>
      <w:r w:rsidRPr="00405F18">
        <w:rPr>
          <w:rFonts w:ascii="Times New Roman" w:hAnsi="Times New Roman" w:cs="Times New Roman"/>
          <w:sz w:val="24"/>
          <w:szCs w:val="24"/>
          <w:lang w:val="en-US"/>
        </w:rPr>
        <w:t xml:space="preserve"> ratio </w:t>
      </w:r>
      <w:r w:rsidR="00E6656F"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 xml:space="preserve">s significantly elevated in PA-treated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compared to BSA-treated cells</w:t>
      </w:r>
      <w:r w:rsidR="00CE281A" w:rsidRPr="00405F18">
        <w:rPr>
          <w:rFonts w:ascii="Times New Roman" w:hAnsi="Times New Roman" w:cs="Times New Roman"/>
          <w:sz w:val="24"/>
          <w:szCs w:val="24"/>
          <w:lang w:val="en-US"/>
        </w:rPr>
        <w:t xml:space="preserve"> (Figure 6A)</w:t>
      </w:r>
      <w:r w:rsidRPr="00405F18">
        <w:rPr>
          <w:rFonts w:ascii="Times New Roman" w:hAnsi="Times New Roman" w:cs="Times New Roman"/>
          <w:sz w:val="24"/>
          <w:szCs w:val="24"/>
          <w:lang w:val="en-US"/>
        </w:rPr>
        <w:t xml:space="preserve">. In PA-treated cells, this parameter </w:t>
      </w:r>
      <w:r w:rsidR="00000F1E"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s not</w:t>
      </w:r>
      <w:r w:rsidR="0013051C" w:rsidRPr="00405F18">
        <w:rPr>
          <w:rFonts w:ascii="Times New Roman" w:hAnsi="Times New Roman" w:cs="Times New Roman"/>
          <w:sz w:val="24"/>
          <w:szCs w:val="24"/>
          <w:lang w:val="en-US"/>
        </w:rPr>
        <w:t xml:space="preserve"> further</w:t>
      </w:r>
      <w:r w:rsidRPr="00405F18">
        <w:rPr>
          <w:rFonts w:ascii="Times New Roman" w:hAnsi="Times New Roman" w:cs="Times New Roman"/>
          <w:sz w:val="24"/>
          <w:szCs w:val="24"/>
          <w:lang w:val="en-US"/>
        </w:rPr>
        <w:t xml:space="preserve"> affected by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FF7085">
        <w:rPr>
          <w:rFonts w:ascii="Times New Roman" w:hAnsi="Times New Roman" w:cs="Times New Roman"/>
          <w:sz w:val="24"/>
          <w:szCs w:val="24"/>
          <w:vertAlign w:val="subscript"/>
          <w:lang w:val="en-US"/>
        </w:rPr>
        <w:t>1</w:t>
      </w:r>
      <w:r w:rsidR="00000F1E" w:rsidRPr="00405F18">
        <w:rPr>
          <w:rFonts w:ascii="Times New Roman" w:hAnsi="Times New Roman" w:cs="Times New Roman"/>
          <w:sz w:val="24"/>
          <w:szCs w:val="24"/>
          <w:lang w:val="en-US"/>
        </w:rPr>
        <w:t>.</w:t>
      </w:r>
      <w:r w:rsidR="00BD6E0B" w:rsidRPr="00405F18">
        <w:rPr>
          <w:rFonts w:ascii="Times New Roman" w:hAnsi="Times New Roman" w:cs="Times New Roman"/>
          <w:sz w:val="24"/>
          <w:szCs w:val="24"/>
          <w:lang w:val="en-US"/>
        </w:rPr>
        <w:t xml:space="preserve"> </w:t>
      </w:r>
      <w:r w:rsidR="00400832" w:rsidRPr="00405F18">
        <w:rPr>
          <w:rFonts w:ascii="Times New Roman" w:hAnsi="Times New Roman" w:cs="Times New Roman"/>
          <w:sz w:val="24"/>
          <w:szCs w:val="24"/>
          <w:lang w:val="en-US"/>
        </w:rPr>
        <w:t>In add</w:t>
      </w:r>
      <w:r w:rsidR="00FA08BB" w:rsidRPr="00405F18">
        <w:rPr>
          <w:rFonts w:ascii="Times New Roman" w:hAnsi="Times New Roman" w:cs="Times New Roman"/>
          <w:sz w:val="24"/>
          <w:szCs w:val="24"/>
          <w:lang w:val="en-US"/>
        </w:rPr>
        <w:t>i</w:t>
      </w:r>
      <w:r w:rsidR="00400832" w:rsidRPr="00405F18">
        <w:rPr>
          <w:rFonts w:ascii="Times New Roman" w:hAnsi="Times New Roman" w:cs="Times New Roman"/>
          <w:sz w:val="24"/>
          <w:szCs w:val="24"/>
          <w:lang w:val="en-US"/>
        </w:rPr>
        <w:t>tion</w:t>
      </w:r>
      <w:r w:rsidR="00E95667" w:rsidRPr="00405F18">
        <w:rPr>
          <w:rFonts w:ascii="Times New Roman" w:hAnsi="Times New Roman" w:cs="Times New Roman"/>
          <w:sz w:val="24"/>
          <w:szCs w:val="24"/>
          <w:lang w:val="en-US"/>
        </w:rPr>
        <w:t xml:space="preserve">, </w:t>
      </w:r>
      <w:r w:rsidR="00A80A6B" w:rsidRPr="00405F18">
        <w:rPr>
          <w:rFonts w:ascii="Times New Roman" w:hAnsi="Times New Roman" w:cs="Times New Roman"/>
          <w:sz w:val="24"/>
          <w:szCs w:val="24"/>
          <w:lang w:val="en-US"/>
        </w:rPr>
        <w:lastRenderedPageBreak/>
        <w:t xml:space="preserve">PA-treated cells </w:t>
      </w:r>
      <w:r w:rsidR="00397322" w:rsidRPr="00405F18">
        <w:rPr>
          <w:rFonts w:ascii="Times New Roman" w:hAnsi="Times New Roman" w:cs="Times New Roman"/>
          <w:sz w:val="24"/>
          <w:szCs w:val="24"/>
          <w:lang w:val="en-US"/>
        </w:rPr>
        <w:t>stained with acridine orange</w:t>
      </w:r>
      <w:r w:rsidR="00EE7C96" w:rsidRPr="00405F18">
        <w:rPr>
          <w:rFonts w:ascii="Times New Roman" w:hAnsi="Times New Roman" w:cs="Times New Roman"/>
          <w:sz w:val="24"/>
          <w:szCs w:val="24"/>
          <w:lang w:val="en-US"/>
        </w:rPr>
        <w:t xml:space="preserve"> dye, </w:t>
      </w:r>
      <w:r w:rsidR="006324F2" w:rsidRPr="00405F18">
        <w:rPr>
          <w:rFonts w:ascii="Times New Roman" w:hAnsi="Times New Roman" w:cs="Times New Roman"/>
          <w:sz w:val="24"/>
          <w:szCs w:val="24"/>
          <w:lang w:val="en-US"/>
        </w:rPr>
        <w:t xml:space="preserve">which accumulates in lysosomes </w:t>
      </w:r>
      <w:r w:rsidR="00400832" w:rsidRPr="00405F18">
        <w:rPr>
          <w:rFonts w:ascii="Times New Roman" w:hAnsi="Times New Roman" w:cs="Times New Roman"/>
          <w:sz w:val="24"/>
          <w:szCs w:val="24"/>
          <w:lang w:val="en-US"/>
        </w:rPr>
        <w:t>after</w:t>
      </w:r>
      <w:r w:rsidR="00E40C9D" w:rsidRPr="00405F18">
        <w:rPr>
          <w:rFonts w:ascii="Times New Roman" w:hAnsi="Times New Roman" w:cs="Times New Roman"/>
          <w:sz w:val="24"/>
          <w:szCs w:val="24"/>
          <w:lang w:val="en-US"/>
        </w:rPr>
        <w:t xml:space="preserve"> protonation in this compartment</w:t>
      </w:r>
      <w:r w:rsidR="007A6C79">
        <w:rPr>
          <w:rFonts w:ascii="Times New Roman" w:hAnsi="Times New Roman" w:cs="Times New Roman"/>
          <w:sz w:val="24"/>
          <w:szCs w:val="24"/>
          <w:lang w:val="en-US"/>
        </w:rPr>
        <w:t xml:space="preserve"> [</w:t>
      </w:r>
      <w:r w:rsidR="006324F2" w:rsidRPr="007A6C79">
        <w:rPr>
          <w:rFonts w:ascii="Times New Roman" w:hAnsi="Times New Roman" w:cs="Times New Roman"/>
          <w:sz w:val="24"/>
          <w:szCs w:val="24"/>
          <w:lang w:val="en-US"/>
        </w:rPr>
        <w:fldChar w:fldCharType="begin" w:fldLock="1"/>
      </w:r>
      <w:r w:rsidR="006324F2" w:rsidRPr="007A6C79">
        <w:rPr>
          <w:rFonts w:ascii="Times New Roman" w:hAnsi="Times New Roman" w:cs="Times New Roman"/>
          <w:sz w:val="24"/>
          <w:szCs w:val="24"/>
          <w:lang w:val="en-US"/>
        </w:rPr>
        <w:instrText>ADDIN CSL_CITATION {"citationItems":[{"id":"ITEM-1","itemData":{"DOI":"10.1038/s41598-020-66292-3","ISSN":"20452322","PMID":"32514052","abstract":"Cilostazol, a phosphodiesterase 3 inhibitor, reduces the amyloid-beta (Aβ) burden in mouse models of Alzheimer disease by as yet unidentified mechanisms. In the present study, we examined the possibility that cilostazol ameliorates lysosomal dysfunction. Astrocytes treated with bafilomycin A1 (BafA1) exhibited markedly reduced DND-189 and acridine orange (AO) fluorescence, indicating reduced lysosomal acidity. In both cases, BafA1-induced alkalization was reversed by addition of cilostazol, dibutyryl cAMP or forskolin. All three agents significantly increased free zinc levels in lysosomes, and addition of the zinc chelator TPEN abrogated lysosomal reacidification. These treatments did not raise free zinc levels or reverse BafA1-mediated lysosomal alkalization in metallothionein 3 (Mt3)-null astrocytes, indicating that the increases in zinc in astrocytes were derived mainly from Mt3. Lastly, in FITC-Aβ-treated astrocytes, cilostazol reversed lysosomal alkalization, increased cathepsin D activity, and reduced Aβ accumulation in astrocytes. Cilostazol also reduced mHtt aggregate formation in GFP-mHttQ74–expressing astrocytes. Collectively, our results present the novel finding that cAMP/PKA can overcome the v-ATPase blocking effect of BafA1 in a zinc- and Mt3-dependent manner.","author":[{"dropping-particle":"","family":"Kim","given":"Ha Na","non-dropping-particle":"","parse-names":false,"suffix":""},{"dropping-particle":"","family":"Seo","given":"Bo Ra","non-dropping-particle":"","parse-names":false,"suffix":""},{"dropping-particle":"","family":"Kim","given":"Hyunjin","non-dropping-particle":"","parse-names":false,"suffix":""},{"dropping-particle":"","family":"Koh","given":"Jae Young","non-dropping-particle":"","parse-names":false,"suffix":""}],"container-title":"Scientific Reports","id":"ITEM-1","issue":"1","issued":{"date-parts":[["2020"]]},"page":"1-12","title":"Cilostazol restores autophagy flux in bafilomycin A1-treated, cultured cortical astrocytes through lysosomal reacidification: roles of PKA, zinc and metallothionein 3","type":"article-journal","volume":"10"},"uris":["http://www.mendeley.com/documents/?uuid=c902b398-333d-4bd5-b69d-6f4b08d4a72e"]}],"mendeley":{"formattedCitation":"&lt;sup&gt;47&lt;/sup&gt;","plainTextFormattedCitation":"47","previouslyFormattedCitation":"&lt;sup&gt;47&lt;/sup&gt;"},"properties":{"noteIndex":0},"schema":"https://github.com/citation-style-language/schema/raw/master/csl-citation.json"}</w:instrText>
      </w:r>
      <w:r w:rsidR="006324F2" w:rsidRPr="007A6C79">
        <w:rPr>
          <w:rFonts w:ascii="Times New Roman" w:hAnsi="Times New Roman" w:cs="Times New Roman"/>
          <w:sz w:val="24"/>
          <w:szCs w:val="24"/>
          <w:lang w:val="en-US"/>
        </w:rPr>
        <w:fldChar w:fldCharType="separate"/>
      </w:r>
      <w:r w:rsidR="006324F2" w:rsidRPr="007A6C79">
        <w:rPr>
          <w:rFonts w:ascii="Times New Roman" w:hAnsi="Times New Roman" w:cs="Times New Roman"/>
          <w:noProof/>
          <w:sz w:val="24"/>
          <w:szCs w:val="24"/>
          <w:lang w:val="en-US"/>
        </w:rPr>
        <w:t>47</w:t>
      </w:r>
      <w:r w:rsidR="006324F2"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006324F2" w:rsidRPr="00405F18">
        <w:rPr>
          <w:rFonts w:ascii="Times New Roman" w:hAnsi="Times New Roman" w:cs="Times New Roman"/>
          <w:sz w:val="24"/>
          <w:szCs w:val="24"/>
          <w:lang w:val="en-US"/>
        </w:rPr>
        <w:t>,</w:t>
      </w:r>
      <w:r w:rsidR="00397322" w:rsidRPr="00405F18">
        <w:rPr>
          <w:rFonts w:ascii="Times New Roman" w:hAnsi="Times New Roman" w:cs="Times New Roman"/>
          <w:sz w:val="24"/>
          <w:szCs w:val="24"/>
          <w:lang w:val="en-US"/>
        </w:rPr>
        <w:t xml:space="preserve"> </w:t>
      </w:r>
      <w:r w:rsidR="00400832" w:rsidRPr="00405F18">
        <w:rPr>
          <w:rFonts w:ascii="Times New Roman" w:hAnsi="Times New Roman" w:cs="Times New Roman"/>
          <w:sz w:val="24"/>
          <w:szCs w:val="24"/>
          <w:lang w:val="en-US"/>
        </w:rPr>
        <w:t xml:space="preserve">showed </w:t>
      </w:r>
      <w:r w:rsidR="00984DE2" w:rsidRPr="00405F18">
        <w:rPr>
          <w:rFonts w:ascii="Times New Roman" w:hAnsi="Times New Roman" w:cs="Times New Roman"/>
          <w:sz w:val="24"/>
          <w:szCs w:val="24"/>
          <w:lang w:val="en-US"/>
        </w:rPr>
        <w:t xml:space="preserve">significantly </w:t>
      </w:r>
      <w:r w:rsidR="00AD2E15" w:rsidRPr="00405F18">
        <w:rPr>
          <w:rFonts w:ascii="Times New Roman" w:hAnsi="Times New Roman" w:cs="Times New Roman"/>
          <w:sz w:val="24"/>
          <w:szCs w:val="24"/>
          <w:lang w:val="en-US"/>
        </w:rPr>
        <w:t>less</w:t>
      </w:r>
      <w:r w:rsidR="00984DE2" w:rsidRPr="00405F18">
        <w:rPr>
          <w:rFonts w:ascii="Times New Roman" w:hAnsi="Times New Roman" w:cs="Times New Roman"/>
          <w:sz w:val="24"/>
          <w:szCs w:val="24"/>
          <w:lang w:val="en-US"/>
        </w:rPr>
        <w:t xml:space="preserve"> </w:t>
      </w:r>
      <w:r w:rsidR="008D1E3F" w:rsidRPr="00405F18">
        <w:rPr>
          <w:rFonts w:ascii="Times New Roman" w:hAnsi="Times New Roman" w:cs="Times New Roman"/>
          <w:sz w:val="24"/>
          <w:szCs w:val="24"/>
          <w:lang w:val="en-US"/>
        </w:rPr>
        <w:t>red fluorescence</w:t>
      </w:r>
      <w:r w:rsidR="00565E01" w:rsidRPr="00405F18">
        <w:rPr>
          <w:rFonts w:ascii="Times New Roman" w:hAnsi="Times New Roman" w:cs="Times New Roman"/>
          <w:sz w:val="24"/>
          <w:szCs w:val="24"/>
          <w:lang w:val="en-US"/>
        </w:rPr>
        <w:t xml:space="preserve"> after 6 h. It is</w:t>
      </w:r>
      <w:r w:rsidR="00F55F40" w:rsidRPr="00405F18">
        <w:rPr>
          <w:rFonts w:ascii="Times New Roman" w:hAnsi="Times New Roman" w:cs="Times New Roman"/>
          <w:sz w:val="24"/>
          <w:szCs w:val="24"/>
          <w:lang w:val="en-US"/>
        </w:rPr>
        <w:t xml:space="preserve"> </w:t>
      </w:r>
      <w:r w:rsidR="007646ED" w:rsidRPr="00405F18">
        <w:rPr>
          <w:rFonts w:ascii="Times New Roman" w:hAnsi="Times New Roman" w:cs="Times New Roman"/>
          <w:sz w:val="24"/>
          <w:szCs w:val="24"/>
          <w:lang w:val="en-US"/>
        </w:rPr>
        <w:t xml:space="preserve">consistent with </w:t>
      </w:r>
      <w:r w:rsidR="00400832" w:rsidRPr="00405F18">
        <w:rPr>
          <w:rFonts w:ascii="Times New Roman" w:hAnsi="Times New Roman" w:cs="Times New Roman"/>
          <w:sz w:val="24"/>
          <w:szCs w:val="24"/>
          <w:lang w:val="en-US"/>
        </w:rPr>
        <w:t>elevated</w:t>
      </w:r>
      <w:r w:rsidR="007646ED" w:rsidRPr="00405F18">
        <w:rPr>
          <w:rFonts w:ascii="Times New Roman" w:hAnsi="Times New Roman" w:cs="Times New Roman"/>
          <w:sz w:val="24"/>
          <w:szCs w:val="24"/>
          <w:lang w:val="en-US"/>
        </w:rPr>
        <w:t xml:space="preserve"> lysosomal pH in these</w:t>
      </w:r>
      <w:r w:rsidR="00FA08BB" w:rsidRPr="00405F18">
        <w:rPr>
          <w:rFonts w:ascii="Times New Roman" w:hAnsi="Times New Roman" w:cs="Times New Roman"/>
          <w:sz w:val="24"/>
          <w:szCs w:val="24"/>
          <w:lang w:val="en-US"/>
        </w:rPr>
        <w:t xml:space="preserve"> </w:t>
      </w:r>
      <w:r w:rsidR="007646ED" w:rsidRPr="00405F18">
        <w:rPr>
          <w:rFonts w:ascii="Times New Roman" w:hAnsi="Times New Roman" w:cs="Times New Roman"/>
          <w:sz w:val="24"/>
          <w:szCs w:val="24"/>
          <w:lang w:val="en-US"/>
        </w:rPr>
        <w:t xml:space="preserve">cells </w:t>
      </w:r>
      <w:r w:rsidR="00CE281A" w:rsidRPr="00405F18">
        <w:rPr>
          <w:rFonts w:ascii="Times New Roman" w:hAnsi="Times New Roman" w:cs="Times New Roman"/>
          <w:sz w:val="24"/>
          <w:szCs w:val="24"/>
          <w:lang w:val="en-US"/>
        </w:rPr>
        <w:t>(Figure 6</w:t>
      </w:r>
      <w:proofErr w:type="gramStart"/>
      <w:r w:rsidR="00CE281A" w:rsidRPr="00405F18">
        <w:rPr>
          <w:rFonts w:ascii="Times New Roman" w:hAnsi="Times New Roman" w:cs="Times New Roman"/>
          <w:sz w:val="24"/>
          <w:szCs w:val="24"/>
          <w:lang w:val="en-US"/>
        </w:rPr>
        <w:t>B,C</w:t>
      </w:r>
      <w:proofErr w:type="gramEnd"/>
      <w:r w:rsidR="00CE281A" w:rsidRPr="00405F18">
        <w:rPr>
          <w:rFonts w:ascii="Times New Roman" w:hAnsi="Times New Roman" w:cs="Times New Roman"/>
          <w:sz w:val="24"/>
          <w:szCs w:val="24"/>
          <w:lang w:val="en-US"/>
        </w:rPr>
        <w:t>). These</w:t>
      </w:r>
      <w:r w:rsidR="00000F1E" w:rsidRPr="00405F18">
        <w:rPr>
          <w:rFonts w:ascii="Times New Roman" w:hAnsi="Times New Roman" w:cs="Times New Roman"/>
          <w:sz w:val="24"/>
          <w:szCs w:val="24"/>
          <w:lang w:val="en-US"/>
        </w:rPr>
        <w:t xml:space="preserve"> observation</w:t>
      </w:r>
      <w:r w:rsidR="00CE281A"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indicate</w:t>
      </w:r>
      <w:r w:rsidR="00000F1E"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xml:space="preserve"> that PA impairs the lysosomal acidification from 6 h and thus likely the lysosomal function in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Because AMPK activators protect</w:t>
      </w:r>
      <w:r w:rsidR="00000F1E"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against the inhibition of the autophagic flux in PA-treated cells, their effect on lysosomal pH was assessed. After 6 (Figure 6</w:t>
      </w:r>
      <w:r w:rsidR="000E7B61"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or 24 h (Figure 6</w:t>
      </w:r>
      <w:r w:rsidR="000E7B61" w:rsidRPr="00405F18">
        <w:rPr>
          <w:rFonts w:ascii="Times New Roman" w:hAnsi="Times New Roman" w:cs="Times New Roman"/>
          <w:sz w:val="24"/>
          <w:szCs w:val="24"/>
          <w:lang w:val="en-US"/>
        </w:rPr>
        <w:t>E</w:t>
      </w:r>
      <w:r w:rsidRPr="00405F18">
        <w:rPr>
          <w:rFonts w:ascii="Times New Roman" w:hAnsi="Times New Roman" w:cs="Times New Roman"/>
          <w:sz w:val="24"/>
          <w:szCs w:val="24"/>
          <w:lang w:val="en-US"/>
        </w:rPr>
        <w:t xml:space="preserve">), the </w:t>
      </w:r>
      <w:r w:rsidR="00493822" w:rsidRPr="00405F18">
        <w:rPr>
          <w:rFonts w:ascii="Times New Roman" w:hAnsi="Times New Roman" w:cs="Times New Roman"/>
          <w:sz w:val="24"/>
          <w:szCs w:val="24"/>
          <w:lang w:val="en-US"/>
        </w:rPr>
        <w:t xml:space="preserve">pharmacological </w:t>
      </w:r>
      <w:r w:rsidR="002B6EE0" w:rsidRPr="00405F18">
        <w:rPr>
          <w:rFonts w:ascii="Times New Roman" w:hAnsi="Times New Roman" w:cs="Times New Roman"/>
          <w:sz w:val="24"/>
          <w:szCs w:val="24"/>
          <w:lang w:val="en-US"/>
        </w:rPr>
        <w:t>activation</w:t>
      </w:r>
      <w:r w:rsidRPr="00405F18">
        <w:rPr>
          <w:rFonts w:ascii="Times New Roman" w:hAnsi="Times New Roman" w:cs="Times New Roman"/>
          <w:sz w:val="24"/>
          <w:szCs w:val="24"/>
          <w:lang w:val="en-US"/>
        </w:rPr>
        <w:t xml:space="preserve"> of AMPK in PA-treated cells </w:t>
      </w:r>
      <w:r w:rsidR="00000F1E" w:rsidRPr="00405F18">
        <w:rPr>
          <w:rFonts w:ascii="Times New Roman" w:hAnsi="Times New Roman" w:cs="Times New Roman"/>
          <w:sz w:val="24"/>
          <w:szCs w:val="24"/>
          <w:lang w:val="en-US"/>
        </w:rPr>
        <w:t>was</w:t>
      </w:r>
      <w:r w:rsidRPr="00405F18">
        <w:rPr>
          <w:rFonts w:ascii="Times New Roman" w:hAnsi="Times New Roman" w:cs="Times New Roman"/>
          <w:sz w:val="24"/>
          <w:szCs w:val="24"/>
          <w:lang w:val="en-US"/>
        </w:rPr>
        <w:t xml:space="preserve"> associated with a normalization of the</w:t>
      </w:r>
      <w:r w:rsidR="004F6796" w:rsidRPr="00405F18">
        <w:rPr>
          <w:rFonts w:ascii="Times New Roman" w:hAnsi="Times New Roman" w:cs="Times New Roman"/>
          <w:sz w:val="24"/>
          <w:szCs w:val="24"/>
          <w:lang w:val="en-US"/>
        </w:rPr>
        <w:t xml:space="preserve"> </w:t>
      </w:r>
      <w:proofErr w:type="spellStart"/>
      <w:r w:rsidR="004F6796" w:rsidRPr="00405F18">
        <w:rPr>
          <w:rFonts w:ascii="Times New Roman" w:hAnsi="Times New Roman" w:cs="Times New Roman"/>
          <w:sz w:val="24"/>
          <w:szCs w:val="24"/>
          <w:lang w:val="en-US"/>
        </w:rPr>
        <w:t>LysoSensor</w:t>
      </w:r>
      <w:r w:rsidR="004F6796" w:rsidRPr="00405F18">
        <w:rPr>
          <w:rFonts w:ascii="Times New Roman" w:hAnsi="Times New Roman" w:cs="Times New Roman"/>
          <w:sz w:val="24"/>
          <w:szCs w:val="24"/>
          <w:vertAlign w:val="superscript"/>
          <w:lang w:val="en-US"/>
        </w:rPr>
        <w:t>TM</w:t>
      </w:r>
      <w:proofErr w:type="spellEnd"/>
      <w:r w:rsidRPr="00405F18">
        <w:rPr>
          <w:rFonts w:ascii="Times New Roman" w:hAnsi="Times New Roman" w:cs="Times New Roman"/>
          <w:sz w:val="24"/>
          <w:szCs w:val="24"/>
          <w:lang w:val="en-US"/>
        </w:rPr>
        <w:t xml:space="preserve"> </w:t>
      </w:r>
      <w:proofErr w:type="spellStart"/>
      <w:r w:rsidRPr="00405F18">
        <w:rPr>
          <w:rFonts w:ascii="Times New Roman" w:hAnsi="Times New Roman" w:cs="Times New Roman"/>
          <w:sz w:val="24"/>
          <w:szCs w:val="24"/>
          <w:lang w:val="en-US"/>
        </w:rPr>
        <w:t>blue:yellow</w:t>
      </w:r>
      <w:proofErr w:type="spellEnd"/>
      <w:r w:rsidRPr="00405F18">
        <w:rPr>
          <w:rFonts w:ascii="Times New Roman" w:hAnsi="Times New Roman" w:cs="Times New Roman"/>
          <w:sz w:val="24"/>
          <w:szCs w:val="24"/>
          <w:lang w:val="en-US"/>
        </w:rPr>
        <w:t xml:space="preserve"> ratio. Bafilomycin A</w:t>
      </w:r>
      <w:r w:rsidRPr="00FF7085">
        <w:rPr>
          <w:rFonts w:ascii="Times New Roman" w:hAnsi="Times New Roman" w:cs="Times New Roman"/>
          <w:sz w:val="24"/>
          <w:szCs w:val="24"/>
          <w:vertAlign w:val="subscript"/>
          <w:lang w:val="en-US"/>
        </w:rPr>
        <w:t xml:space="preserve">1 </w:t>
      </w:r>
      <w:r w:rsidRPr="00405F18">
        <w:rPr>
          <w:rFonts w:ascii="Times New Roman" w:hAnsi="Times New Roman" w:cs="Times New Roman"/>
          <w:sz w:val="24"/>
          <w:szCs w:val="24"/>
          <w:lang w:val="en-US"/>
        </w:rPr>
        <w:t>significantly increase</w:t>
      </w:r>
      <w:r w:rsidR="00000F1E"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xml:space="preserve"> this fluorescence ratio in these conditions (Figure 6</w:t>
      </w:r>
      <w:proofErr w:type="gramStart"/>
      <w:r w:rsidR="000E7B61" w:rsidRPr="00405F18">
        <w:rPr>
          <w:rFonts w:ascii="Times New Roman" w:hAnsi="Times New Roman" w:cs="Times New Roman"/>
          <w:sz w:val="24"/>
          <w:szCs w:val="24"/>
          <w:lang w:val="en-US"/>
        </w:rPr>
        <w:t>D</w:t>
      </w:r>
      <w:r w:rsidR="00BF566C" w:rsidRPr="00405F18">
        <w:rPr>
          <w:rFonts w:ascii="Times New Roman" w:hAnsi="Times New Roman" w:cs="Times New Roman"/>
          <w:sz w:val="24"/>
          <w:szCs w:val="24"/>
          <w:lang w:val="en-US"/>
        </w:rPr>
        <w:t>,</w:t>
      </w:r>
      <w:r w:rsidR="000E7B61" w:rsidRPr="00405F18">
        <w:rPr>
          <w:rFonts w:ascii="Times New Roman" w:hAnsi="Times New Roman" w:cs="Times New Roman"/>
          <w:sz w:val="24"/>
          <w:szCs w:val="24"/>
          <w:lang w:val="en-US"/>
        </w:rPr>
        <w:t>E</w:t>
      </w:r>
      <w:proofErr w:type="gramEnd"/>
      <w:r w:rsidRPr="00405F18">
        <w:rPr>
          <w:rFonts w:ascii="Times New Roman" w:hAnsi="Times New Roman" w:cs="Times New Roman"/>
          <w:sz w:val="24"/>
          <w:szCs w:val="24"/>
          <w:lang w:val="en-US"/>
        </w:rPr>
        <w:t>). Overall, AMPK activation protects</w:t>
      </w:r>
      <w:r w:rsidR="000231CB" w:rsidRPr="00405F18">
        <w:rPr>
          <w:rFonts w:ascii="Times New Roman" w:hAnsi="Times New Roman" w:cs="Times New Roman"/>
          <w:sz w:val="24"/>
          <w:szCs w:val="24"/>
          <w:lang w:val="en-US"/>
        </w:rPr>
        <w:t xml:space="preserve"> PA-treated</w:t>
      </w:r>
      <w:r w:rsidRPr="00405F18">
        <w:rPr>
          <w:rFonts w:ascii="Times New Roman" w:hAnsi="Times New Roman" w:cs="Times New Roman"/>
          <w:sz w:val="24"/>
          <w:szCs w:val="24"/>
          <w:lang w:val="en-US"/>
        </w:rPr>
        <w:t xml:space="preserve">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w:t>
      </w:r>
      <w:r w:rsidR="000231CB" w:rsidRPr="00405F18">
        <w:rPr>
          <w:rFonts w:ascii="Times New Roman" w:hAnsi="Times New Roman" w:cs="Times New Roman"/>
          <w:sz w:val="24"/>
          <w:szCs w:val="24"/>
          <w:lang w:val="en-US"/>
        </w:rPr>
        <w:t xml:space="preserve">from </w:t>
      </w:r>
      <w:r w:rsidRPr="00405F18">
        <w:rPr>
          <w:rFonts w:ascii="Times New Roman" w:hAnsi="Times New Roman" w:cs="Times New Roman"/>
          <w:sz w:val="24"/>
          <w:szCs w:val="24"/>
          <w:lang w:val="en-US"/>
        </w:rPr>
        <w:t xml:space="preserve">autophagosome accumulation by preventing defective lysosomal acidification </w:t>
      </w:r>
      <w:r w:rsidR="00000F1E" w:rsidRPr="00405F18">
        <w:rPr>
          <w:rFonts w:ascii="Times New Roman" w:hAnsi="Times New Roman" w:cs="Times New Roman"/>
          <w:sz w:val="24"/>
          <w:szCs w:val="24"/>
          <w:lang w:val="en-US"/>
        </w:rPr>
        <w:t xml:space="preserve">which </w:t>
      </w:r>
      <w:r w:rsidR="00CC5768" w:rsidRPr="00405F18">
        <w:rPr>
          <w:rFonts w:ascii="Times New Roman" w:hAnsi="Times New Roman" w:cs="Times New Roman"/>
          <w:sz w:val="24"/>
          <w:szCs w:val="24"/>
          <w:lang w:val="en-US"/>
        </w:rPr>
        <w:t>maintains</w:t>
      </w:r>
      <w:r w:rsidR="000231CB"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their degradation.</w:t>
      </w:r>
      <w:r w:rsidRPr="00405F18">
        <w:rPr>
          <w:rFonts w:ascii="Times New Roman" w:hAnsi="Times New Roman" w:cs="Times New Roman"/>
          <w:b/>
          <w:bCs/>
          <w:sz w:val="24"/>
          <w:szCs w:val="24"/>
          <w:lang w:val="en-US"/>
        </w:rPr>
        <w:t xml:space="preserve"> </w:t>
      </w:r>
    </w:p>
    <w:p w14:paraId="2F90B070" w14:textId="75F06AD6" w:rsidR="00593C38" w:rsidRPr="007A6C79" w:rsidRDefault="008A3E45" w:rsidP="00270044">
      <w:pPr>
        <w:spacing w:after="100" w:afterAutospacing="1" w:line="480" w:lineRule="auto"/>
        <w:jc w:val="both"/>
        <w:rPr>
          <w:rFonts w:ascii="Times New Roman" w:hAnsi="Times New Roman" w:cs="Times New Roman"/>
          <w:i/>
          <w:iCs/>
          <w:sz w:val="24"/>
          <w:szCs w:val="24"/>
          <w:lang w:val="en-US"/>
        </w:rPr>
      </w:pPr>
      <w:r w:rsidRPr="007A6C79">
        <w:rPr>
          <w:rFonts w:ascii="Times New Roman" w:hAnsi="Times New Roman" w:cs="Times New Roman"/>
          <w:b/>
          <w:bCs/>
          <w:i/>
          <w:iCs/>
          <w:sz w:val="24"/>
          <w:szCs w:val="24"/>
          <w:lang w:val="en-US"/>
        </w:rPr>
        <w:t xml:space="preserve">PA alters </w:t>
      </w:r>
      <w:r w:rsidR="00F617F2" w:rsidRPr="007A6C79">
        <w:rPr>
          <w:rFonts w:ascii="Times New Roman" w:hAnsi="Times New Roman" w:cs="Times New Roman"/>
          <w:b/>
          <w:bCs/>
          <w:i/>
          <w:iCs/>
          <w:sz w:val="24"/>
          <w:szCs w:val="24"/>
          <w:lang w:val="en-US"/>
        </w:rPr>
        <w:t>lysosomal membrane permeability in</w:t>
      </w:r>
      <w:r w:rsidR="00A339E0" w:rsidRPr="007A6C79">
        <w:rPr>
          <w:rFonts w:ascii="Times New Roman" w:hAnsi="Times New Roman" w:cs="Times New Roman"/>
          <w:b/>
          <w:bCs/>
          <w:i/>
          <w:iCs/>
          <w:sz w:val="24"/>
          <w:szCs w:val="24"/>
          <w:lang w:val="en-US"/>
        </w:rPr>
        <w:t xml:space="preserve"> </w:t>
      </w:r>
      <w:proofErr w:type="spellStart"/>
      <w:r w:rsidR="00CC5768">
        <w:rPr>
          <w:rFonts w:ascii="Times New Roman" w:hAnsi="Times New Roman" w:cs="Times New Roman"/>
          <w:b/>
          <w:bCs/>
          <w:i/>
          <w:iCs/>
          <w:sz w:val="24"/>
          <w:szCs w:val="24"/>
          <w:lang w:val="en-US"/>
        </w:rPr>
        <w:t>M</w:t>
      </w:r>
      <w:r w:rsidR="00A339E0" w:rsidRPr="007A6C79">
        <w:rPr>
          <w:rFonts w:ascii="Times New Roman" w:hAnsi="Times New Roman" w:cs="Times New Roman"/>
          <w:b/>
          <w:bCs/>
          <w:i/>
          <w:iCs/>
          <w:sz w:val="24"/>
          <w:szCs w:val="24"/>
          <w:lang w:val="en-US"/>
        </w:rPr>
        <w:t>mPTECs</w:t>
      </w:r>
      <w:proofErr w:type="spellEnd"/>
      <w:r w:rsidR="00A339E0" w:rsidRPr="007A6C79">
        <w:rPr>
          <w:rFonts w:ascii="Times New Roman" w:hAnsi="Times New Roman" w:cs="Times New Roman"/>
          <w:b/>
          <w:bCs/>
          <w:i/>
          <w:iCs/>
          <w:sz w:val="24"/>
          <w:szCs w:val="24"/>
          <w:lang w:val="en-US"/>
        </w:rPr>
        <w:t xml:space="preserve"> </w:t>
      </w:r>
      <w:r w:rsidRPr="007A6C79">
        <w:rPr>
          <w:rFonts w:ascii="Times New Roman" w:hAnsi="Times New Roman" w:cs="Times New Roman"/>
          <w:b/>
          <w:bCs/>
          <w:i/>
          <w:iCs/>
          <w:sz w:val="24"/>
          <w:szCs w:val="24"/>
          <w:lang w:val="en-US"/>
        </w:rPr>
        <w:t>which is</w:t>
      </w:r>
      <w:r w:rsidR="00F617F2" w:rsidRPr="007A6C79">
        <w:rPr>
          <w:rFonts w:ascii="Times New Roman" w:hAnsi="Times New Roman" w:cs="Times New Roman"/>
          <w:b/>
          <w:bCs/>
          <w:i/>
          <w:iCs/>
          <w:sz w:val="24"/>
          <w:szCs w:val="24"/>
          <w:lang w:val="en-US"/>
        </w:rPr>
        <w:t xml:space="preserve"> prevented by AMPK activation. </w:t>
      </w:r>
    </w:p>
    <w:p w14:paraId="69B96D6D" w14:textId="262D4607" w:rsidR="0075169F" w:rsidRPr="00405F18" w:rsidRDefault="00DB4E7D"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As we previously showed</w:t>
      </w:r>
      <w:r w:rsidR="008A3E45" w:rsidRPr="00405F18">
        <w:rPr>
          <w:rFonts w:ascii="Times New Roman" w:hAnsi="Times New Roman" w:cs="Times New Roman"/>
          <w:sz w:val="24"/>
          <w:szCs w:val="24"/>
          <w:lang w:val="en-US"/>
        </w:rPr>
        <w:t xml:space="preserve"> that</w:t>
      </w:r>
      <w:r w:rsidRPr="00405F18">
        <w:rPr>
          <w:rFonts w:ascii="Times New Roman" w:hAnsi="Times New Roman" w:cs="Times New Roman"/>
          <w:sz w:val="24"/>
          <w:szCs w:val="24"/>
          <w:lang w:val="en-US"/>
        </w:rPr>
        <w:t xml:space="preserve"> </w:t>
      </w:r>
      <w:r w:rsidR="00B718C7" w:rsidRPr="00405F18">
        <w:rPr>
          <w:rFonts w:ascii="Times New Roman" w:hAnsi="Times New Roman" w:cs="Times New Roman"/>
          <w:sz w:val="24"/>
          <w:szCs w:val="24"/>
          <w:lang w:val="en-US"/>
        </w:rPr>
        <w:t>lysosomal alkalinization occurs</w:t>
      </w:r>
      <w:r w:rsidRPr="00405F18">
        <w:rPr>
          <w:rFonts w:ascii="Times New Roman" w:hAnsi="Times New Roman" w:cs="Times New Roman"/>
          <w:sz w:val="24"/>
          <w:szCs w:val="24"/>
          <w:lang w:val="en-US"/>
        </w:rPr>
        <w:t xml:space="preserve"> upon PA treatment, we next investigated </w:t>
      </w:r>
      <w:r w:rsidR="00C94092" w:rsidRPr="00405F18">
        <w:rPr>
          <w:rFonts w:ascii="Times New Roman" w:hAnsi="Times New Roman" w:cs="Times New Roman"/>
          <w:sz w:val="24"/>
          <w:szCs w:val="24"/>
          <w:lang w:val="en-US"/>
        </w:rPr>
        <w:t>lysosomal</w:t>
      </w:r>
      <w:r w:rsidR="00342B35" w:rsidRPr="00405F18">
        <w:rPr>
          <w:rFonts w:ascii="Times New Roman" w:hAnsi="Times New Roman" w:cs="Times New Roman"/>
          <w:sz w:val="24"/>
          <w:szCs w:val="24"/>
          <w:lang w:val="en-US"/>
        </w:rPr>
        <w:t xml:space="preserve"> membrane</w:t>
      </w:r>
      <w:r w:rsidR="00C94092" w:rsidRPr="00405F18">
        <w:rPr>
          <w:rFonts w:ascii="Times New Roman" w:hAnsi="Times New Roman" w:cs="Times New Roman"/>
          <w:sz w:val="24"/>
          <w:szCs w:val="24"/>
          <w:lang w:val="en-US"/>
        </w:rPr>
        <w:t xml:space="preserve"> permeabilization </w:t>
      </w:r>
      <w:r w:rsidR="00342B35" w:rsidRPr="00405F18">
        <w:rPr>
          <w:rFonts w:ascii="Times New Roman" w:hAnsi="Times New Roman" w:cs="Times New Roman"/>
          <w:sz w:val="24"/>
          <w:szCs w:val="24"/>
          <w:lang w:val="en-US"/>
        </w:rPr>
        <w:t>(LMP)</w:t>
      </w:r>
      <w:r w:rsidR="00C94092" w:rsidRPr="00405F18">
        <w:rPr>
          <w:rFonts w:ascii="Times New Roman" w:hAnsi="Times New Roman" w:cs="Times New Roman"/>
          <w:sz w:val="24"/>
          <w:szCs w:val="24"/>
          <w:lang w:val="en-US"/>
        </w:rPr>
        <w:t xml:space="preserve"> in PA-treated cells</w:t>
      </w:r>
      <w:r w:rsidR="00704144" w:rsidRPr="00405F18">
        <w:rPr>
          <w:rFonts w:ascii="Times New Roman" w:hAnsi="Times New Roman" w:cs="Times New Roman"/>
          <w:sz w:val="24"/>
          <w:szCs w:val="24"/>
          <w:lang w:val="en-US"/>
        </w:rPr>
        <w:t>, as well as</w:t>
      </w:r>
      <w:r w:rsidR="00C94092"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pathways of lysosomal quality control. Depending on the intensity and the duration of the stress, different pathways might </w:t>
      </w:r>
      <w:r w:rsidR="00D44464" w:rsidRPr="00405F18">
        <w:rPr>
          <w:rFonts w:ascii="Times New Roman" w:hAnsi="Times New Roman" w:cs="Times New Roman"/>
          <w:sz w:val="24"/>
          <w:szCs w:val="24"/>
          <w:lang w:val="en-US"/>
        </w:rPr>
        <w:t>be initiated</w:t>
      </w:r>
      <w:r w:rsidR="007A6C79">
        <w:rPr>
          <w:rFonts w:ascii="Times New Roman" w:hAnsi="Times New Roman" w:cs="Times New Roman"/>
          <w:sz w:val="24"/>
          <w:szCs w:val="24"/>
          <w:lang w:val="en-US"/>
        </w:rPr>
        <w:t xml:space="preserve"> [</w:t>
      </w:r>
      <w:r w:rsidR="00D44464" w:rsidRPr="007A6C79">
        <w:rPr>
          <w:rFonts w:ascii="Times New Roman" w:hAnsi="Times New Roman" w:cs="Times New Roman"/>
          <w:sz w:val="24"/>
          <w:szCs w:val="24"/>
          <w:lang w:val="en-US"/>
        </w:rPr>
        <w:fldChar w:fldCharType="begin" w:fldLock="1"/>
      </w:r>
      <w:r w:rsidR="00D44464" w:rsidRPr="007A6C79">
        <w:rPr>
          <w:rFonts w:ascii="Times New Roman" w:hAnsi="Times New Roman" w:cs="Times New Roman"/>
          <w:sz w:val="24"/>
          <w:szCs w:val="24"/>
          <w:lang w:val="en-US"/>
        </w:rPr>
        <w:instrText>ADDIN CSL_CITATION {"citationItems":[{"id":"ITEM-1","itemData":{"DOI":"10.1016/j.jmb.2019.08.010","ISSN":"10898638","PMID":"31449799","abstract":"Lysosomal membrane permeabilization or full rupture of lysosomes is a common and severe stress condition that is relevant for degenerative disease, infection and cancer. If damage is limited, cells can repair lysosomes by means of the endosomal sorting complex required for transport (ESCRT) machinery. Presumably, if repair fails, lysosomes are tagged with ubiquitin to initiate clearance by selective macroautophagy, termed lysophagy. Accumulating evidence suggests damage-induced exposure of luminal glycans to the cytosol as the key trigger for ubiquitination. In this review, we discuss recent data on cellular damage sensing, the underlying ubiquitination and autophagy machinery as well as additional layers of regulation such as processing of ubiquitinated proteins by the AAA-ATPase VCP/p97. We conclude with thoughts on how these mechanisms may regulate decision making between lysosome repair and lysophagy.","author":[{"dropping-particle":"","family":"Papadopoulos","given":"Chrisovalantis","non-dropping-particle":"","parse-names":false,"suffix":""},{"dropping-particle":"","family":"Kravic","given":"Bojana","non-dropping-particle":"","parse-names":false,"suffix":""},{"dropping-particle":"","family":"Meyer","given":"Hemmo","non-dropping-particle":"","parse-names":false,"suffix":""}],"container-title":"Journal of Molecular Biology","id":"ITEM-1","issue":"1","issued":{"date-parts":[["2020"]]},"page":"231-239","publisher":"Elsevier Ltd","title":"Repair or Lysophagy: Dealing with Damaged Lysosomes","type":"article-journal","volume":"432"},"uris":["http://www.mendeley.com/documents/?uuid=d689da78-a3ab-417b-bdef-6844089edf21"]}],"mendeley":{"formattedCitation":"&lt;sup&gt;30&lt;/sup&gt;","plainTextFormattedCitation":"30","previouslyFormattedCitation":"&lt;sup&gt;30&lt;/sup&gt;"},"properties":{"noteIndex":0},"schema":"https://github.com/citation-style-language/schema/raw/master/csl-citation.json"}</w:instrText>
      </w:r>
      <w:r w:rsidR="00D44464" w:rsidRPr="007A6C79">
        <w:rPr>
          <w:rFonts w:ascii="Times New Roman" w:hAnsi="Times New Roman" w:cs="Times New Roman"/>
          <w:sz w:val="24"/>
          <w:szCs w:val="24"/>
          <w:lang w:val="en-US"/>
        </w:rPr>
        <w:fldChar w:fldCharType="separate"/>
      </w:r>
      <w:r w:rsidR="00D44464" w:rsidRPr="007A6C79">
        <w:rPr>
          <w:rFonts w:ascii="Times New Roman" w:hAnsi="Times New Roman" w:cs="Times New Roman"/>
          <w:noProof/>
          <w:sz w:val="24"/>
          <w:szCs w:val="24"/>
          <w:lang w:val="en-US"/>
        </w:rPr>
        <w:t>30</w:t>
      </w:r>
      <w:r w:rsidR="00D44464"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8C7A29" w:rsidRPr="00405F18">
        <w:rPr>
          <w:rFonts w:ascii="Times New Roman" w:hAnsi="Times New Roman" w:cs="Times New Roman"/>
          <w:sz w:val="24"/>
          <w:szCs w:val="24"/>
          <w:lang w:val="en-US"/>
        </w:rPr>
        <w:t>For instance, u</w:t>
      </w:r>
      <w:r w:rsidR="00925764" w:rsidRPr="00405F18">
        <w:rPr>
          <w:rFonts w:ascii="Times New Roman" w:hAnsi="Times New Roman" w:cs="Times New Roman"/>
          <w:sz w:val="24"/>
          <w:szCs w:val="24"/>
          <w:lang w:val="en-US"/>
        </w:rPr>
        <w:t>pon</w:t>
      </w:r>
      <w:r w:rsidR="006C733B" w:rsidRPr="00405F18">
        <w:rPr>
          <w:rFonts w:ascii="Times New Roman" w:hAnsi="Times New Roman" w:cs="Times New Roman"/>
          <w:sz w:val="24"/>
          <w:szCs w:val="24"/>
          <w:lang w:val="en-US"/>
        </w:rPr>
        <w:t xml:space="preserve"> a stress that induces</w:t>
      </w:r>
      <w:r w:rsidR="00925764" w:rsidRPr="00405F18">
        <w:rPr>
          <w:rFonts w:ascii="Times New Roman" w:hAnsi="Times New Roman" w:cs="Times New Roman"/>
          <w:sz w:val="24"/>
          <w:szCs w:val="24"/>
          <w:lang w:val="en-US"/>
        </w:rPr>
        <w:t xml:space="preserve"> LMP</w:t>
      </w:r>
      <w:r w:rsidR="00403930" w:rsidRPr="00405F18">
        <w:rPr>
          <w:rFonts w:ascii="Times New Roman" w:hAnsi="Times New Roman" w:cs="Times New Roman"/>
          <w:sz w:val="24"/>
          <w:szCs w:val="24"/>
          <w:lang w:val="en-US"/>
        </w:rPr>
        <w:t xml:space="preserve">, </w:t>
      </w:r>
      <w:r w:rsidR="00925764" w:rsidRPr="00405F18">
        <w:rPr>
          <w:rFonts w:ascii="Times New Roman" w:hAnsi="Times New Roman" w:cs="Times New Roman"/>
          <w:sz w:val="24"/>
          <w:szCs w:val="24"/>
          <w:lang w:val="en-US"/>
        </w:rPr>
        <w:t>intraluminal glycans</w:t>
      </w:r>
      <w:r w:rsidR="00403930" w:rsidRPr="00405F18">
        <w:rPr>
          <w:rFonts w:ascii="Times New Roman" w:hAnsi="Times New Roman" w:cs="Times New Roman"/>
          <w:sz w:val="24"/>
          <w:szCs w:val="24"/>
          <w:lang w:val="en-US"/>
        </w:rPr>
        <w:t xml:space="preserve"> </w:t>
      </w:r>
      <w:r w:rsidR="006C733B" w:rsidRPr="00405F18">
        <w:rPr>
          <w:rFonts w:ascii="Times New Roman" w:hAnsi="Times New Roman" w:cs="Times New Roman"/>
          <w:sz w:val="24"/>
          <w:szCs w:val="24"/>
          <w:lang w:val="en-US"/>
        </w:rPr>
        <w:t xml:space="preserve">become accessible </w:t>
      </w:r>
      <w:r w:rsidR="00403930" w:rsidRPr="00405F18">
        <w:rPr>
          <w:rFonts w:ascii="Times New Roman" w:hAnsi="Times New Roman" w:cs="Times New Roman"/>
          <w:sz w:val="24"/>
          <w:szCs w:val="24"/>
          <w:lang w:val="en-US"/>
        </w:rPr>
        <w:t>and</w:t>
      </w:r>
      <w:r w:rsidR="00C2473A" w:rsidRPr="00405F18">
        <w:rPr>
          <w:rFonts w:ascii="Times New Roman" w:hAnsi="Times New Roman" w:cs="Times New Roman"/>
          <w:sz w:val="24"/>
          <w:szCs w:val="24"/>
          <w:lang w:val="en-US"/>
        </w:rPr>
        <w:t xml:space="preserve"> are</w:t>
      </w:r>
      <w:r w:rsidR="00403930" w:rsidRPr="00405F18">
        <w:rPr>
          <w:rFonts w:ascii="Times New Roman" w:hAnsi="Times New Roman" w:cs="Times New Roman"/>
          <w:sz w:val="24"/>
          <w:szCs w:val="24"/>
          <w:lang w:val="en-US"/>
        </w:rPr>
        <w:t xml:space="preserve"> detected by </w:t>
      </w:r>
      <w:r w:rsidR="00F60A2D">
        <w:rPr>
          <w:rFonts w:ascii="Times New Roman" w:hAnsi="Times New Roman" w:cs="Times New Roman"/>
          <w:sz w:val="24"/>
          <w:szCs w:val="24"/>
          <w:lang w:val="en-US"/>
        </w:rPr>
        <w:t>LGALS3 (</w:t>
      </w:r>
      <w:r w:rsidR="00403930" w:rsidRPr="00405F18">
        <w:rPr>
          <w:rFonts w:ascii="Times New Roman" w:hAnsi="Times New Roman" w:cs="Times New Roman"/>
          <w:sz w:val="24"/>
          <w:szCs w:val="24"/>
          <w:lang w:val="en-US"/>
        </w:rPr>
        <w:t>galectin</w:t>
      </w:r>
      <w:r w:rsidR="00F60A2D">
        <w:rPr>
          <w:rFonts w:ascii="Times New Roman" w:hAnsi="Times New Roman" w:cs="Times New Roman"/>
          <w:sz w:val="24"/>
          <w:szCs w:val="24"/>
          <w:lang w:val="en-US"/>
        </w:rPr>
        <w:t xml:space="preserve"> </w:t>
      </w:r>
      <w:r w:rsidR="00403930" w:rsidRPr="00405F18">
        <w:rPr>
          <w:rFonts w:ascii="Times New Roman" w:hAnsi="Times New Roman" w:cs="Times New Roman"/>
          <w:sz w:val="24"/>
          <w:szCs w:val="24"/>
          <w:lang w:val="en-US"/>
        </w:rPr>
        <w:t>3)</w:t>
      </w:r>
      <w:r w:rsidR="00A05A40" w:rsidRPr="00405F18">
        <w:rPr>
          <w:rFonts w:ascii="Times New Roman" w:hAnsi="Times New Roman" w:cs="Times New Roman"/>
          <w:sz w:val="24"/>
          <w:szCs w:val="24"/>
          <w:lang w:val="en-US"/>
        </w:rPr>
        <w:t>,</w:t>
      </w:r>
      <w:r w:rsidR="00403930" w:rsidRPr="00405F18">
        <w:rPr>
          <w:rFonts w:ascii="Times New Roman" w:hAnsi="Times New Roman" w:cs="Times New Roman"/>
          <w:sz w:val="24"/>
          <w:szCs w:val="24"/>
          <w:lang w:val="en-US"/>
        </w:rPr>
        <w:t xml:space="preserve"> which recruit</w:t>
      </w:r>
      <w:r w:rsidR="00A05A40" w:rsidRPr="00405F18">
        <w:rPr>
          <w:rFonts w:ascii="Times New Roman" w:hAnsi="Times New Roman" w:cs="Times New Roman"/>
          <w:sz w:val="24"/>
          <w:szCs w:val="24"/>
          <w:lang w:val="en-US"/>
        </w:rPr>
        <w:t>s</w:t>
      </w:r>
      <w:r w:rsidR="00403930" w:rsidRPr="00405F18">
        <w:rPr>
          <w:rFonts w:ascii="Times New Roman" w:hAnsi="Times New Roman" w:cs="Times New Roman"/>
          <w:sz w:val="24"/>
          <w:szCs w:val="24"/>
          <w:lang w:val="en-US"/>
        </w:rPr>
        <w:t xml:space="preserve"> components of </w:t>
      </w:r>
      <w:r w:rsidR="00C94092" w:rsidRPr="00405F18">
        <w:rPr>
          <w:rFonts w:ascii="Times New Roman" w:hAnsi="Times New Roman" w:cs="Times New Roman"/>
          <w:sz w:val="24"/>
          <w:szCs w:val="24"/>
          <w:lang w:val="en-US"/>
        </w:rPr>
        <w:t xml:space="preserve">an </w:t>
      </w:r>
      <w:r w:rsidR="00403930" w:rsidRPr="00405F18">
        <w:rPr>
          <w:rFonts w:ascii="Times New Roman" w:hAnsi="Times New Roman" w:cs="Times New Roman"/>
          <w:sz w:val="24"/>
          <w:szCs w:val="24"/>
          <w:lang w:val="en-US"/>
        </w:rPr>
        <w:t xml:space="preserve">autophagy initiation machinery to </w:t>
      </w:r>
      <w:r w:rsidR="00B718C7" w:rsidRPr="00405F18">
        <w:rPr>
          <w:rFonts w:ascii="Times New Roman" w:hAnsi="Times New Roman" w:cs="Times New Roman"/>
          <w:sz w:val="24"/>
          <w:szCs w:val="24"/>
          <w:lang w:val="en-US"/>
        </w:rPr>
        <w:t xml:space="preserve">mediate </w:t>
      </w:r>
      <w:proofErr w:type="spellStart"/>
      <w:r w:rsidR="00B718C7" w:rsidRPr="00405F18">
        <w:rPr>
          <w:rFonts w:ascii="Times New Roman" w:hAnsi="Times New Roman" w:cs="Times New Roman"/>
          <w:sz w:val="24"/>
          <w:szCs w:val="24"/>
          <w:lang w:val="en-US"/>
        </w:rPr>
        <w:t>lysophagy</w:t>
      </w:r>
      <w:proofErr w:type="spellEnd"/>
      <w:r w:rsidR="007A6C79">
        <w:rPr>
          <w:rFonts w:ascii="Times New Roman" w:hAnsi="Times New Roman" w:cs="Times New Roman"/>
          <w:sz w:val="24"/>
          <w:szCs w:val="24"/>
          <w:lang w:val="en-US"/>
        </w:rPr>
        <w:t xml:space="preserve"> [</w:t>
      </w:r>
      <w:r w:rsidR="00403930" w:rsidRPr="007A6C79">
        <w:rPr>
          <w:rFonts w:ascii="Times New Roman" w:hAnsi="Times New Roman" w:cs="Times New Roman"/>
          <w:sz w:val="24"/>
          <w:szCs w:val="24"/>
          <w:lang w:val="en-US"/>
        </w:rPr>
        <w:fldChar w:fldCharType="begin" w:fldLock="1"/>
      </w:r>
      <w:r w:rsidR="00CE6742" w:rsidRPr="007A6C79">
        <w:rPr>
          <w:rFonts w:ascii="Times New Roman" w:hAnsi="Times New Roman" w:cs="Times New Roman"/>
          <w:sz w:val="24"/>
          <w:szCs w:val="24"/>
          <w:lang w:val="en-US"/>
        </w:rPr>
        <w:instrText>ADDIN CSL_CITATION {"citationItems":[{"id":"ITEM-1","itemData":{"DOI":"10.1016/j.devcel.2016.08.003","ISSN":"18781551","PMID":"27693506","abstract":"Selective autophagy performs an array of tasks to maintain intracellular homeostasis, sterility, and organellar and cellular functionality. The fidelity of these processes depends on precise target recognition and limited activation of the autophagy apparatus in a localized fashion. Here we describe cooperation in such processes between the TRIM family and Galectin family of proteins. TRIMs, which are E3 ubiquitin ligases, displayed propensity to associate with Galectins. One specific TRIM, TRIM16, interacted with Galectin-3 in a ULK1-dependent manner. TRIM16, through integration of Galectin- and ubiquitin-based processes, coordinated recognition of membrane damage with mobilization of the core autophagy regulators ATG16L1, ULK1, and Beclin 1 in response to damaged endomembranes. TRIM16 affected mTOR, interacted with TFEB, and influenced TFEB's nuclear translocation. The cooperation between TRIM16 and Galectin-3 in targeting and activation of selective autophagy protects cells from lysosomal damage and Mycobacterium tuberculosis invasion.","author":[{"dropping-particle":"","family":"Chauhan","given":"Santosh","non-dropping-particle":"","parse-names":false,"suffix":""},{"dropping-particle":"","family":"Kumar","given":"Suresh","non-dropping-particle":"","parse-names":false,"suffix":""},{"dropping-particle":"","family":"Jain","given":"Ashish","non-dropping-particle":"","parse-names":false,"suffix":""},{"dropping-particle":"","family":"Ponpuak","given":"Marisa","non-dropping-particle":"","parse-names":false,"suffix":""},{"dropping-particle":"","family":"Mudd","given":"Michal H.","non-dropping-particle":"","parse-names":false,"suffix":""},{"dropping-particle":"","family":"Kimura","given":"Tomonori","non-dropping-particle":"","parse-names":false,"suffix":""},{"dropping-particle":"","family":"Choi","given":"Seong Won","non-dropping-particle":"","parse-names":false,"suffix":""},{"dropping-particle":"","family":"Peters","given":"Ryan","non-dropping-particle":"","parse-names":false,"suffix":""},{"dropping-particle":"","family":"Mandell","given":"Michael","non-dropping-particle":"","parse-names":false,"suffix":""},{"dropping-particle":"","family":"Bruun","given":"Jack Ansgar","non-dropping-particle":"","parse-names":false,"suffix":""},{"dropping-particle":"","family":"Johansen","given":"Terje","non-dropping-particle":"","parse-names":false,"suffix":""},{"dropping-particle":"","family":"Deretic","given":"Vojo","non-dropping-particle":"","parse-names":false,"suffix":""}],"container-title":"Developmental Cell","id":"ITEM-1","issue":"1","issued":{"date-parts":[["2016"]]},"page":"13-27","publisher":"Elsevier Inc.","title":"TRIMs and Galectins Globally Cooperate and TRIM16 and Galectin-3 Co-direct Autophagy in Endomembrane Damage Homeostasis","type":"article-journal","volume":"39"},"uris":["http://www.mendeley.com/documents/?uuid=bddd3e60-daa3-40ff-b5b4-e575d1109d80"]}],"mendeley":{"formattedCitation":"&lt;sup&gt;48&lt;/sup&gt;","plainTextFormattedCitation":"48","previouslyFormattedCitation":"&lt;sup&gt;48&lt;/sup&gt;"},"properties":{"noteIndex":0},"schema":"https://github.com/citation-style-language/schema/raw/master/csl-citation.json"}</w:instrText>
      </w:r>
      <w:r w:rsidR="00403930" w:rsidRPr="007A6C79">
        <w:rPr>
          <w:rFonts w:ascii="Times New Roman" w:hAnsi="Times New Roman" w:cs="Times New Roman"/>
          <w:sz w:val="24"/>
          <w:szCs w:val="24"/>
          <w:lang w:val="en-US"/>
        </w:rPr>
        <w:fldChar w:fldCharType="separate"/>
      </w:r>
      <w:r w:rsidR="00AD5D76" w:rsidRPr="007A6C79">
        <w:rPr>
          <w:rFonts w:ascii="Times New Roman" w:hAnsi="Times New Roman" w:cs="Times New Roman"/>
          <w:noProof/>
          <w:sz w:val="24"/>
          <w:szCs w:val="24"/>
          <w:lang w:val="en-US"/>
        </w:rPr>
        <w:t>48</w:t>
      </w:r>
      <w:r w:rsidR="00403930"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00403930" w:rsidRPr="00405F18">
        <w:rPr>
          <w:rFonts w:ascii="Times New Roman" w:hAnsi="Times New Roman" w:cs="Times New Roman"/>
          <w:sz w:val="24"/>
          <w:szCs w:val="24"/>
          <w:lang w:val="en-US"/>
        </w:rPr>
        <w:t xml:space="preserve">. </w:t>
      </w:r>
      <w:r w:rsidR="00785722" w:rsidRPr="00405F18">
        <w:rPr>
          <w:rFonts w:ascii="Times New Roman" w:hAnsi="Times New Roman" w:cs="Times New Roman"/>
          <w:sz w:val="24"/>
          <w:szCs w:val="24"/>
          <w:lang w:val="en-US"/>
        </w:rPr>
        <w:t xml:space="preserve">LMP is of particular interest to </w:t>
      </w:r>
      <w:r w:rsidR="00C2473A" w:rsidRPr="00405F18">
        <w:rPr>
          <w:rFonts w:ascii="Times New Roman" w:hAnsi="Times New Roman" w:cs="Times New Roman"/>
          <w:sz w:val="24"/>
          <w:szCs w:val="24"/>
          <w:lang w:val="en-US"/>
        </w:rPr>
        <w:t xml:space="preserve">our </w:t>
      </w:r>
      <w:r w:rsidR="00785722" w:rsidRPr="00405F18">
        <w:rPr>
          <w:rFonts w:ascii="Times New Roman" w:hAnsi="Times New Roman" w:cs="Times New Roman"/>
          <w:sz w:val="24"/>
          <w:szCs w:val="24"/>
          <w:lang w:val="en-US"/>
        </w:rPr>
        <w:t xml:space="preserve">study </w:t>
      </w:r>
      <w:r w:rsidR="004203C2" w:rsidRPr="00405F18">
        <w:rPr>
          <w:rFonts w:ascii="Times New Roman" w:hAnsi="Times New Roman" w:cs="Times New Roman"/>
          <w:sz w:val="24"/>
          <w:szCs w:val="24"/>
          <w:lang w:val="en-US"/>
        </w:rPr>
        <w:t xml:space="preserve">as this event is associated with </w:t>
      </w:r>
      <w:r w:rsidR="00EF3110" w:rsidRPr="00405F18">
        <w:rPr>
          <w:rFonts w:ascii="Times New Roman" w:hAnsi="Times New Roman" w:cs="Times New Roman"/>
          <w:sz w:val="24"/>
          <w:szCs w:val="24"/>
          <w:lang w:val="en-US"/>
        </w:rPr>
        <w:t xml:space="preserve">disruption of the </w:t>
      </w:r>
      <w:r w:rsidR="00A0152C" w:rsidRPr="00405F18">
        <w:rPr>
          <w:rFonts w:ascii="Times New Roman" w:hAnsi="Times New Roman" w:cs="Times New Roman"/>
          <w:sz w:val="24"/>
          <w:szCs w:val="24"/>
          <w:lang w:val="en-US"/>
        </w:rPr>
        <w:t>lysosomal proton gradient.</w:t>
      </w:r>
      <w:r w:rsidR="00A31177" w:rsidRPr="00405F18">
        <w:rPr>
          <w:rFonts w:ascii="Times New Roman" w:hAnsi="Times New Roman" w:cs="Times New Roman"/>
          <w:sz w:val="24"/>
          <w:szCs w:val="24"/>
          <w:lang w:val="en-US"/>
        </w:rPr>
        <w:t xml:space="preserve"> </w:t>
      </w:r>
      <w:r w:rsidR="00BF3E0D" w:rsidRPr="00405F18">
        <w:rPr>
          <w:rFonts w:ascii="Times New Roman" w:hAnsi="Times New Roman" w:cs="Times New Roman"/>
          <w:sz w:val="24"/>
          <w:szCs w:val="24"/>
          <w:lang w:val="en-US"/>
        </w:rPr>
        <w:t>After 6 and 24 h</w:t>
      </w:r>
      <w:r w:rsidR="00605472" w:rsidRPr="00405F18">
        <w:rPr>
          <w:rFonts w:ascii="Times New Roman" w:hAnsi="Times New Roman" w:cs="Times New Roman"/>
          <w:sz w:val="24"/>
          <w:szCs w:val="24"/>
          <w:lang w:val="en-US"/>
        </w:rPr>
        <w:t>, PA-treated cells display</w:t>
      </w:r>
      <w:r w:rsidR="00BF3E0D" w:rsidRPr="00405F18">
        <w:rPr>
          <w:rFonts w:ascii="Times New Roman" w:hAnsi="Times New Roman" w:cs="Times New Roman"/>
          <w:sz w:val="24"/>
          <w:szCs w:val="24"/>
          <w:lang w:val="en-US"/>
        </w:rPr>
        <w:t>ed</w:t>
      </w:r>
      <w:r w:rsidR="00605472" w:rsidRPr="00405F18">
        <w:rPr>
          <w:rFonts w:ascii="Times New Roman" w:hAnsi="Times New Roman" w:cs="Times New Roman"/>
          <w:sz w:val="24"/>
          <w:szCs w:val="24"/>
          <w:lang w:val="en-US"/>
        </w:rPr>
        <w:t xml:space="preserve"> significant higher number of </w:t>
      </w:r>
      <w:r w:rsidR="00946F1F">
        <w:rPr>
          <w:rFonts w:ascii="Times New Roman" w:hAnsi="Times New Roman" w:cs="Times New Roman"/>
          <w:sz w:val="24"/>
          <w:szCs w:val="24"/>
          <w:lang w:val="en-US"/>
        </w:rPr>
        <w:t>LGALS3</w:t>
      </w:r>
      <w:r w:rsidR="0006729B" w:rsidRPr="00405F18">
        <w:rPr>
          <w:rFonts w:ascii="Times New Roman" w:hAnsi="Times New Roman" w:cs="Times New Roman"/>
          <w:sz w:val="24"/>
          <w:szCs w:val="24"/>
          <w:lang w:val="en-US"/>
        </w:rPr>
        <w:t>-positive</w:t>
      </w:r>
      <w:r w:rsidR="00605472" w:rsidRPr="00405F18">
        <w:rPr>
          <w:rFonts w:ascii="Times New Roman" w:hAnsi="Times New Roman" w:cs="Times New Roman"/>
          <w:sz w:val="24"/>
          <w:szCs w:val="24"/>
          <w:lang w:val="en-US"/>
        </w:rPr>
        <w:t xml:space="preserve"> puncta compared to BSA-treated cells but to lesser exten</w:t>
      </w:r>
      <w:r w:rsidR="00023EDE" w:rsidRPr="00405F18">
        <w:rPr>
          <w:rFonts w:ascii="Times New Roman" w:hAnsi="Times New Roman" w:cs="Times New Roman"/>
          <w:sz w:val="24"/>
          <w:szCs w:val="24"/>
          <w:lang w:val="en-US"/>
        </w:rPr>
        <w:t>t</w:t>
      </w:r>
      <w:r w:rsidR="00605472" w:rsidRPr="00405F18">
        <w:rPr>
          <w:rFonts w:ascii="Times New Roman" w:hAnsi="Times New Roman" w:cs="Times New Roman"/>
          <w:sz w:val="24"/>
          <w:szCs w:val="24"/>
          <w:lang w:val="en-US"/>
        </w:rPr>
        <w:t xml:space="preserve"> tha</w:t>
      </w:r>
      <w:r w:rsidR="00023EDE" w:rsidRPr="00405F18">
        <w:rPr>
          <w:rFonts w:ascii="Times New Roman" w:hAnsi="Times New Roman" w:cs="Times New Roman"/>
          <w:sz w:val="24"/>
          <w:szCs w:val="24"/>
          <w:lang w:val="en-US"/>
        </w:rPr>
        <w:t>n</w:t>
      </w:r>
      <w:r w:rsidR="00605472" w:rsidRPr="00405F18">
        <w:rPr>
          <w:rFonts w:ascii="Times New Roman" w:hAnsi="Times New Roman" w:cs="Times New Roman"/>
          <w:sz w:val="24"/>
          <w:szCs w:val="24"/>
          <w:lang w:val="en-US"/>
        </w:rPr>
        <w:t xml:space="preserve"> cells treated </w:t>
      </w:r>
      <w:r w:rsidR="00F754B0" w:rsidRPr="00405F18">
        <w:rPr>
          <w:rFonts w:ascii="Times New Roman" w:hAnsi="Times New Roman" w:cs="Times New Roman"/>
          <w:sz w:val="24"/>
          <w:szCs w:val="24"/>
          <w:lang w:val="en-US"/>
        </w:rPr>
        <w:t xml:space="preserve">for 1 h </w:t>
      </w:r>
      <w:r w:rsidR="00605472" w:rsidRPr="00405F18">
        <w:rPr>
          <w:rFonts w:ascii="Times New Roman" w:hAnsi="Times New Roman" w:cs="Times New Roman"/>
          <w:sz w:val="24"/>
          <w:szCs w:val="24"/>
          <w:lang w:val="en-US"/>
        </w:rPr>
        <w:t>with 1 mM of the lysosomal-membrane damaging agent L-leucyl-L-leucine methyl ester hydrobromide (</w:t>
      </w:r>
      <w:proofErr w:type="spellStart"/>
      <w:r w:rsidR="00605472" w:rsidRPr="00405F18">
        <w:rPr>
          <w:rFonts w:ascii="Times New Roman" w:hAnsi="Times New Roman" w:cs="Times New Roman"/>
          <w:sz w:val="24"/>
          <w:szCs w:val="24"/>
          <w:lang w:val="en-US"/>
        </w:rPr>
        <w:t>LLOMe</w:t>
      </w:r>
      <w:proofErr w:type="spellEnd"/>
      <w:r w:rsidR="00605472" w:rsidRPr="00405F18">
        <w:rPr>
          <w:rFonts w:ascii="Times New Roman" w:hAnsi="Times New Roman" w:cs="Times New Roman"/>
          <w:sz w:val="24"/>
          <w:szCs w:val="24"/>
          <w:lang w:val="en-US"/>
        </w:rPr>
        <w:t>)</w:t>
      </w:r>
      <w:r w:rsidR="00F754B0" w:rsidRPr="00405F18">
        <w:rPr>
          <w:rFonts w:ascii="Times New Roman" w:hAnsi="Times New Roman" w:cs="Times New Roman"/>
          <w:sz w:val="24"/>
          <w:szCs w:val="24"/>
          <w:lang w:val="en-US"/>
        </w:rPr>
        <w:t xml:space="preserve"> </w:t>
      </w:r>
      <w:r w:rsidR="00605472" w:rsidRPr="00405F18">
        <w:rPr>
          <w:rFonts w:ascii="Times New Roman" w:hAnsi="Times New Roman" w:cs="Times New Roman"/>
          <w:sz w:val="24"/>
          <w:szCs w:val="24"/>
          <w:lang w:val="en-US"/>
        </w:rPr>
        <w:t>(Figure 7</w:t>
      </w:r>
      <w:proofErr w:type="gramStart"/>
      <w:r w:rsidR="00605472" w:rsidRPr="00405F18">
        <w:rPr>
          <w:rFonts w:ascii="Times New Roman" w:hAnsi="Times New Roman" w:cs="Times New Roman"/>
          <w:sz w:val="24"/>
          <w:szCs w:val="24"/>
          <w:lang w:val="en-US"/>
        </w:rPr>
        <w:t>A,B</w:t>
      </w:r>
      <w:proofErr w:type="gramEnd"/>
      <w:r w:rsidR="00605472" w:rsidRPr="00405F18">
        <w:rPr>
          <w:rFonts w:ascii="Times New Roman" w:hAnsi="Times New Roman" w:cs="Times New Roman"/>
          <w:sz w:val="24"/>
          <w:szCs w:val="24"/>
          <w:lang w:val="en-US"/>
        </w:rPr>
        <w:t xml:space="preserve">). </w:t>
      </w:r>
      <w:r w:rsidR="009978A9" w:rsidRPr="00405F18">
        <w:rPr>
          <w:rFonts w:ascii="Times New Roman" w:hAnsi="Times New Roman" w:cs="Times New Roman"/>
          <w:sz w:val="24"/>
          <w:szCs w:val="24"/>
          <w:lang w:val="en-US"/>
        </w:rPr>
        <w:t>However, d</w:t>
      </w:r>
      <w:r w:rsidR="00A31177" w:rsidRPr="00405F18">
        <w:rPr>
          <w:rFonts w:ascii="Times New Roman" w:hAnsi="Times New Roman" w:cs="Times New Roman"/>
          <w:sz w:val="24"/>
          <w:szCs w:val="24"/>
          <w:lang w:val="en-US"/>
        </w:rPr>
        <w:t xml:space="preserve">amaged lysosomes were </w:t>
      </w:r>
      <w:r w:rsidR="009978A9" w:rsidRPr="00405F18">
        <w:rPr>
          <w:rFonts w:ascii="Times New Roman" w:hAnsi="Times New Roman" w:cs="Times New Roman"/>
          <w:sz w:val="24"/>
          <w:szCs w:val="24"/>
          <w:lang w:val="en-US"/>
        </w:rPr>
        <w:t xml:space="preserve">unlikely </w:t>
      </w:r>
      <w:r w:rsidR="00A31177" w:rsidRPr="00405F18">
        <w:rPr>
          <w:rFonts w:ascii="Times New Roman" w:hAnsi="Times New Roman" w:cs="Times New Roman"/>
          <w:sz w:val="24"/>
          <w:szCs w:val="24"/>
          <w:lang w:val="en-US"/>
        </w:rPr>
        <w:t xml:space="preserve">engaged </w:t>
      </w:r>
      <w:r w:rsidR="00A31177" w:rsidRPr="00405F18">
        <w:rPr>
          <w:rFonts w:ascii="Times New Roman" w:hAnsi="Times New Roman" w:cs="Times New Roman"/>
          <w:sz w:val="24"/>
          <w:szCs w:val="24"/>
          <w:lang w:val="en-US"/>
        </w:rPr>
        <w:lastRenderedPageBreak/>
        <w:t xml:space="preserve">in </w:t>
      </w:r>
      <w:proofErr w:type="spellStart"/>
      <w:r w:rsidR="00A31177" w:rsidRPr="00405F18">
        <w:rPr>
          <w:rFonts w:ascii="Times New Roman" w:hAnsi="Times New Roman" w:cs="Times New Roman"/>
          <w:sz w:val="24"/>
          <w:szCs w:val="24"/>
          <w:lang w:val="en-US"/>
        </w:rPr>
        <w:t>lysophagy</w:t>
      </w:r>
      <w:proofErr w:type="spellEnd"/>
      <w:r w:rsidR="00A31177" w:rsidRPr="00405F18">
        <w:rPr>
          <w:rFonts w:ascii="Times New Roman" w:hAnsi="Times New Roman" w:cs="Times New Roman"/>
          <w:sz w:val="24"/>
          <w:szCs w:val="24"/>
          <w:lang w:val="en-US"/>
        </w:rPr>
        <w:t xml:space="preserve"> </w:t>
      </w:r>
      <w:r w:rsidR="00F16C5F" w:rsidRPr="00405F18">
        <w:rPr>
          <w:rFonts w:ascii="Times New Roman" w:hAnsi="Times New Roman" w:cs="Times New Roman"/>
          <w:sz w:val="24"/>
          <w:szCs w:val="24"/>
          <w:lang w:val="en-US"/>
        </w:rPr>
        <w:t xml:space="preserve">in PA-treated cells </w:t>
      </w:r>
      <w:r w:rsidR="00A307E2" w:rsidRPr="00405F18">
        <w:rPr>
          <w:rFonts w:ascii="Times New Roman" w:hAnsi="Times New Roman" w:cs="Times New Roman"/>
          <w:sz w:val="24"/>
          <w:szCs w:val="24"/>
          <w:lang w:val="en-US"/>
        </w:rPr>
        <w:t>because</w:t>
      </w:r>
      <w:r w:rsidR="0093267F" w:rsidRPr="00405F18">
        <w:rPr>
          <w:rFonts w:ascii="Times New Roman" w:hAnsi="Times New Roman" w:cs="Times New Roman"/>
          <w:sz w:val="24"/>
          <w:szCs w:val="24"/>
          <w:lang w:val="en-US"/>
        </w:rPr>
        <w:t xml:space="preserve"> </w:t>
      </w:r>
      <w:r w:rsidR="00A307E2" w:rsidRPr="00405F18">
        <w:rPr>
          <w:rFonts w:ascii="Times New Roman" w:hAnsi="Times New Roman" w:cs="Times New Roman"/>
          <w:sz w:val="24"/>
          <w:szCs w:val="24"/>
          <w:lang w:val="en-US"/>
        </w:rPr>
        <w:t>the</w:t>
      </w:r>
      <w:r w:rsidR="0093267F" w:rsidRPr="00405F18">
        <w:rPr>
          <w:rFonts w:ascii="Times New Roman" w:hAnsi="Times New Roman" w:cs="Times New Roman"/>
          <w:sz w:val="24"/>
          <w:szCs w:val="24"/>
          <w:lang w:val="en-US"/>
        </w:rPr>
        <w:t xml:space="preserve"> colocalization percentages </w:t>
      </w:r>
      <w:r w:rsidR="00A31177" w:rsidRPr="00405F18">
        <w:rPr>
          <w:rFonts w:ascii="Times New Roman" w:hAnsi="Times New Roman" w:cs="Times New Roman"/>
          <w:sz w:val="24"/>
          <w:szCs w:val="24"/>
          <w:lang w:val="en-US"/>
        </w:rPr>
        <w:t xml:space="preserve">of </w:t>
      </w:r>
      <w:r w:rsidR="00946F1F">
        <w:rPr>
          <w:rFonts w:ascii="Times New Roman" w:hAnsi="Times New Roman" w:cs="Times New Roman"/>
          <w:sz w:val="24"/>
          <w:szCs w:val="24"/>
          <w:lang w:val="en-US"/>
        </w:rPr>
        <w:t>LGALS</w:t>
      </w:r>
      <w:r w:rsidR="00A31177" w:rsidRPr="00405F18">
        <w:rPr>
          <w:rFonts w:ascii="Times New Roman" w:hAnsi="Times New Roman" w:cs="Times New Roman"/>
          <w:sz w:val="24"/>
          <w:szCs w:val="24"/>
          <w:lang w:val="en-US"/>
        </w:rPr>
        <w:t>3 with LC3</w:t>
      </w:r>
      <w:r w:rsidR="008A48CE" w:rsidRPr="00405F18">
        <w:rPr>
          <w:rFonts w:ascii="Times New Roman" w:hAnsi="Times New Roman" w:cs="Times New Roman"/>
          <w:sz w:val="24"/>
          <w:szCs w:val="24"/>
          <w:lang w:val="en-US"/>
        </w:rPr>
        <w:t xml:space="preserve"> </w:t>
      </w:r>
      <w:r w:rsidR="00A31177" w:rsidRPr="00405F18">
        <w:rPr>
          <w:rFonts w:ascii="Times New Roman" w:hAnsi="Times New Roman" w:cs="Times New Roman"/>
          <w:sz w:val="24"/>
          <w:szCs w:val="24"/>
          <w:lang w:val="en-US"/>
        </w:rPr>
        <w:t>w</w:t>
      </w:r>
      <w:r w:rsidR="00A307E2" w:rsidRPr="00405F18">
        <w:rPr>
          <w:rFonts w:ascii="Times New Roman" w:hAnsi="Times New Roman" w:cs="Times New Roman"/>
          <w:sz w:val="24"/>
          <w:szCs w:val="24"/>
          <w:lang w:val="en-US"/>
        </w:rPr>
        <w:t>ere similar</w:t>
      </w:r>
      <w:r w:rsidR="00A31177" w:rsidRPr="00405F18">
        <w:rPr>
          <w:rFonts w:ascii="Times New Roman" w:hAnsi="Times New Roman" w:cs="Times New Roman"/>
          <w:sz w:val="24"/>
          <w:szCs w:val="24"/>
          <w:lang w:val="en-US"/>
        </w:rPr>
        <w:t xml:space="preserve"> between BSA- and PA-treated cells after 6 or 24 h (Figure 7</w:t>
      </w:r>
      <w:proofErr w:type="gramStart"/>
      <w:r w:rsidR="00A31177" w:rsidRPr="00405F18">
        <w:rPr>
          <w:rFonts w:ascii="Times New Roman" w:hAnsi="Times New Roman" w:cs="Times New Roman"/>
          <w:sz w:val="24"/>
          <w:szCs w:val="24"/>
          <w:lang w:val="en-US"/>
        </w:rPr>
        <w:t>A,C</w:t>
      </w:r>
      <w:proofErr w:type="gramEnd"/>
      <w:r w:rsidR="00A31177" w:rsidRPr="00405F18">
        <w:rPr>
          <w:rFonts w:ascii="Times New Roman" w:hAnsi="Times New Roman" w:cs="Times New Roman"/>
          <w:sz w:val="24"/>
          <w:szCs w:val="24"/>
          <w:lang w:val="en-US"/>
        </w:rPr>
        <w:t>).</w:t>
      </w:r>
      <w:r w:rsidR="009978A9" w:rsidRPr="00405F18">
        <w:rPr>
          <w:rFonts w:ascii="Times New Roman" w:hAnsi="Times New Roman" w:cs="Times New Roman"/>
          <w:sz w:val="24"/>
          <w:szCs w:val="24"/>
          <w:lang w:val="en-US"/>
        </w:rPr>
        <w:t xml:space="preserve"> </w:t>
      </w:r>
      <w:r w:rsidR="00301E02" w:rsidRPr="00405F18">
        <w:rPr>
          <w:rFonts w:ascii="Times New Roman" w:hAnsi="Times New Roman" w:cs="Times New Roman"/>
          <w:sz w:val="24"/>
          <w:szCs w:val="24"/>
          <w:lang w:val="en-US"/>
        </w:rPr>
        <w:t xml:space="preserve">Besides, there was a significant increase in the colocalization percentage </w:t>
      </w:r>
      <w:r w:rsidR="00CA766E" w:rsidRPr="00405F18">
        <w:rPr>
          <w:rFonts w:ascii="Times New Roman" w:hAnsi="Times New Roman" w:cs="Times New Roman"/>
          <w:sz w:val="24"/>
          <w:szCs w:val="24"/>
          <w:lang w:val="en-US"/>
        </w:rPr>
        <w:t>in</w:t>
      </w:r>
      <w:r w:rsidR="00301E02" w:rsidRPr="00405F18">
        <w:rPr>
          <w:rFonts w:ascii="Times New Roman" w:hAnsi="Times New Roman" w:cs="Times New Roman"/>
          <w:sz w:val="24"/>
          <w:szCs w:val="24"/>
          <w:lang w:val="en-US"/>
        </w:rPr>
        <w:t xml:space="preserve"> cells treated with </w:t>
      </w:r>
      <w:proofErr w:type="spellStart"/>
      <w:r w:rsidR="00301E02" w:rsidRPr="00405F18">
        <w:rPr>
          <w:rFonts w:ascii="Times New Roman" w:hAnsi="Times New Roman" w:cs="Times New Roman"/>
          <w:sz w:val="24"/>
          <w:szCs w:val="24"/>
          <w:lang w:val="en-US"/>
        </w:rPr>
        <w:t>LLOMe</w:t>
      </w:r>
      <w:proofErr w:type="spellEnd"/>
      <w:r w:rsidR="00301E02" w:rsidRPr="00405F18">
        <w:rPr>
          <w:rFonts w:ascii="Times New Roman" w:hAnsi="Times New Roman" w:cs="Times New Roman"/>
          <w:sz w:val="24"/>
          <w:szCs w:val="24"/>
          <w:lang w:val="en-US"/>
        </w:rPr>
        <w:t xml:space="preserve"> as expected</w:t>
      </w:r>
      <w:r w:rsidR="007A6C79">
        <w:rPr>
          <w:rFonts w:ascii="Times New Roman" w:hAnsi="Times New Roman" w:cs="Times New Roman"/>
          <w:sz w:val="24"/>
          <w:szCs w:val="24"/>
          <w:lang w:val="en-US"/>
        </w:rPr>
        <w:t xml:space="preserve"> [</w:t>
      </w:r>
      <w:r w:rsidR="00301E02" w:rsidRPr="007A6C79">
        <w:rPr>
          <w:rFonts w:ascii="Times New Roman" w:hAnsi="Times New Roman" w:cs="Times New Roman"/>
          <w:sz w:val="24"/>
          <w:szCs w:val="24"/>
          <w:lang w:val="en-US"/>
        </w:rPr>
        <w:fldChar w:fldCharType="begin" w:fldLock="1"/>
      </w:r>
      <w:r w:rsidR="00CE6742" w:rsidRPr="007A6C79">
        <w:rPr>
          <w:rFonts w:ascii="Times New Roman" w:hAnsi="Times New Roman" w:cs="Times New Roman"/>
          <w:sz w:val="24"/>
          <w:szCs w:val="24"/>
          <w:lang w:val="en-US"/>
        </w:rPr>
        <w:instrText>ADDIN CSL_CITATION {"citationItems":[{"id":"ITEM-1","itemData":{"DOI":"10.1016/j.devcel.2019.10.025","ISSN":"18781551","PMID":"31813797","abstract":"Jia et al. show that Galectin-3 recruits ESCRT components to damaged lysosomes for repair and restoration of their function. During sustained lysosomal injury, galectins induce autophagy and lysosomal biogenesis for a staged repair, removal, and replacement program. This response is deployed during damage with neurotoxic tau or Mycobacterium tuberculosis infection.","author":[{"dropping-particle":"","family":"Jia","given":"Jingyue","non-dropping-particle":"","parse-names":false,"suffix":""},{"dropping-particle":"","family":"Claude-Taupin","given":"Aurore","non-dropping-particle":"","parse-names":false,"suffix":""},{"dropping-particle":"","family":"Gu","given":"Yuexi","non-dropping-particle":"","parse-names":false,"suffix":""},{"dropping-particle":"","family":"Choi","given":"Seong Won","non-dropping-particle":"","parse-names":false,"suffix":""},{"dropping-particle":"","family":"Peters","given":"Ryan","non-dropping-particle":"","parse-names":false,"suffix":""},{"dropping-particle":"","family":"Bissa","given":"Bhawana","non-dropping-particle":"","parse-names":false,"suffix":""},{"dropping-particle":"","family":"Mudd","given":"Michal H.","non-dropping-particle":"","parse-names":false,"suffix":""},{"dropping-particle":"","family":"Allers","given":"Lee","non-dropping-particle":"","parse-names":false,"suffix":""},{"dropping-particle":"","family":"Pallikkuth","given":"Sandeep","non-dropping-particle":"","parse-names":false,"suffix":""},{"dropping-particle":"","family":"Lidke","given":"Keith A.","non-dropping-particle":"","parse-names":false,"suffix":""},{"dropping-particle":"","family":"Salemi","given":"Michelle","non-dropping-particle":"","parse-names":false,"suffix":""},{"dropping-particle":"","family":"Phinney","given":"Brett","non-dropping-particle":"","parse-names":false,"suffix":""},{"dropping-particle":"","family":"Mari","given":"Muriel","non-dropping-particle":"","parse-names":false,"suffix":""},{"dropping-particle":"","family":"Reggiori","given":"Fulvio","non-dropping-particle":"","parse-names":false,"suffix":""},{"dropping-particle":"","family":"Deretic","given":"Vojo","non-dropping-particle":"","parse-names":false,"suffix":""}],"container-title":"Developmental Cell","id":"ITEM-1","issue":"1","issued":{"date-parts":[["2020"]]},"page":"69-87.e8","publisher":"Elsevier Inc.","title":"Galectin-3 Coordinates a Cellular System for Lysosomal Repair and Removal","type":"article-journal","volume":"52"},"uris":["http://www.mendeley.com/documents/?uuid=b7cddaf0-036c-4a73-9bce-d2f444f81736"]}],"mendeley":{"formattedCitation":"&lt;sup&gt;49&lt;/sup&gt;","plainTextFormattedCitation":"49","previouslyFormattedCitation":"&lt;sup&gt;49&lt;/sup&gt;"},"properties":{"noteIndex":0},"schema":"https://github.com/citation-style-language/schema/raw/master/csl-citation.json"}</w:instrText>
      </w:r>
      <w:r w:rsidR="00301E02" w:rsidRPr="007A6C79">
        <w:rPr>
          <w:rFonts w:ascii="Times New Roman" w:hAnsi="Times New Roman" w:cs="Times New Roman"/>
          <w:sz w:val="24"/>
          <w:szCs w:val="24"/>
          <w:lang w:val="en-US"/>
        </w:rPr>
        <w:fldChar w:fldCharType="separate"/>
      </w:r>
      <w:r w:rsidR="00301E02" w:rsidRPr="007A6C79">
        <w:rPr>
          <w:rFonts w:ascii="Times New Roman" w:hAnsi="Times New Roman" w:cs="Times New Roman"/>
          <w:noProof/>
          <w:sz w:val="24"/>
          <w:szCs w:val="24"/>
          <w:lang w:val="en-US"/>
        </w:rPr>
        <w:t>49</w:t>
      </w:r>
      <w:r w:rsidR="00301E02"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00301E02" w:rsidRPr="00405F18">
        <w:rPr>
          <w:rFonts w:ascii="Times New Roman" w:hAnsi="Times New Roman" w:cs="Times New Roman"/>
          <w:sz w:val="24"/>
          <w:szCs w:val="24"/>
          <w:lang w:val="en-US"/>
        </w:rPr>
        <w:t xml:space="preserve">. </w:t>
      </w:r>
      <w:r w:rsidR="00B65DFC" w:rsidRPr="00405F18">
        <w:rPr>
          <w:rFonts w:ascii="Times New Roman" w:hAnsi="Times New Roman" w:cs="Times New Roman"/>
          <w:sz w:val="24"/>
          <w:szCs w:val="24"/>
          <w:lang w:val="en-US"/>
        </w:rPr>
        <w:t>A</w:t>
      </w:r>
      <w:r w:rsidR="00670854" w:rsidRPr="00405F18">
        <w:rPr>
          <w:rFonts w:ascii="Times New Roman" w:hAnsi="Times New Roman" w:cs="Times New Roman"/>
          <w:sz w:val="24"/>
          <w:szCs w:val="24"/>
          <w:lang w:val="en-US"/>
        </w:rPr>
        <w:t xml:space="preserve"> consequence of LMP is the leak</w:t>
      </w:r>
      <w:r w:rsidR="00E26FAF" w:rsidRPr="00405F18">
        <w:rPr>
          <w:rFonts w:ascii="Times New Roman" w:hAnsi="Times New Roman" w:cs="Times New Roman"/>
          <w:sz w:val="24"/>
          <w:szCs w:val="24"/>
          <w:lang w:val="en-US"/>
        </w:rPr>
        <w:t>age</w:t>
      </w:r>
      <w:r w:rsidR="00670854" w:rsidRPr="00405F18">
        <w:rPr>
          <w:rFonts w:ascii="Times New Roman" w:hAnsi="Times New Roman" w:cs="Times New Roman"/>
          <w:sz w:val="24"/>
          <w:szCs w:val="24"/>
          <w:lang w:val="en-US"/>
        </w:rPr>
        <w:t xml:space="preserve"> of </w:t>
      </w:r>
      <w:r w:rsidR="008A62EF" w:rsidRPr="00405F18">
        <w:rPr>
          <w:rFonts w:ascii="Times New Roman" w:hAnsi="Times New Roman" w:cs="Times New Roman"/>
          <w:sz w:val="24"/>
          <w:szCs w:val="24"/>
          <w:lang w:val="en-US"/>
        </w:rPr>
        <w:t xml:space="preserve">lysosomal enzymes </w:t>
      </w:r>
      <w:r w:rsidR="00C06996" w:rsidRPr="00405F18">
        <w:rPr>
          <w:rFonts w:ascii="Times New Roman" w:hAnsi="Times New Roman" w:cs="Times New Roman"/>
          <w:sz w:val="24"/>
          <w:szCs w:val="24"/>
          <w:lang w:val="en-US"/>
        </w:rPr>
        <w:t>in</w:t>
      </w:r>
      <w:r w:rsidR="008A62EF" w:rsidRPr="00405F18">
        <w:rPr>
          <w:rFonts w:ascii="Times New Roman" w:hAnsi="Times New Roman" w:cs="Times New Roman"/>
          <w:sz w:val="24"/>
          <w:szCs w:val="24"/>
          <w:lang w:val="en-US"/>
        </w:rPr>
        <w:t xml:space="preserve">to </w:t>
      </w:r>
      <w:r w:rsidR="00C06996" w:rsidRPr="00405F18">
        <w:rPr>
          <w:rFonts w:ascii="Times New Roman" w:hAnsi="Times New Roman" w:cs="Times New Roman"/>
          <w:sz w:val="24"/>
          <w:szCs w:val="24"/>
          <w:lang w:val="en-US"/>
        </w:rPr>
        <w:t xml:space="preserve">the </w:t>
      </w:r>
      <w:r w:rsidR="008A62EF" w:rsidRPr="00405F18">
        <w:rPr>
          <w:rFonts w:ascii="Times New Roman" w:hAnsi="Times New Roman" w:cs="Times New Roman"/>
          <w:sz w:val="24"/>
          <w:szCs w:val="24"/>
          <w:lang w:val="en-US"/>
        </w:rPr>
        <w:t>cytosol</w:t>
      </w:r>
      <w:r w:rsidR="00115DC0" w:rsidRPr="00405F18">
        <w:rPr>
          <w:rFonts w:ascii="Times New Roman" w:hAnsi="Times New Roman" w:cs="Times New Roman"/>
          <w:sz w:val="24"/>
          <w:szCs w:val="24"/>
          <w:lang w:val="en-US"/>
        </w:rPr>
        <w:t>,</w:t>
      </w:r>
      <w:r w:rsidR="001D5B55" w:rsidRPr="00405F18">
        <w:rPr>
          <w:rFonts w:ascii="Times New Roman" w:hAnsi="Times New Roman" w:cs="Times New Roman"/>
          <w:sz w:val="24"/>
          <w:szCs w:val="24"/>
          <w:lang w:val="en-US"/>
        </w:rPr>
        <w:t xml:space="preserve"> </w:t>
      </w:r>
      <w:r w:rsidR="009E2039" w:rsidRPr="00405F18">
        <w:rPr>
          <w:rFonts w:ascii="Times New Roman" w:hAnsi="Times New Roman" w:cs="Times New Roman"/>
          <w:sz w:val="24"/>
          <w:szCs w:val="24"/>
          <w:lang w:val="en-US"/>
        </w:rPr>
        <w:t>where the</w:t>
      </w:r>
      <w:r w:rsidR="00115AD9" w:rsidRPr="00405F18">
        <w:rPr>
          <w:rFonts w:ascii="Times New Roman" w:hAnsi="Times New Roman" w:cs="Times New Roman"/>
          <w:sz w:val="24"/>
          <w:szCs w:val="24"/>
          <w:lang w:val="en-US"/>
        </w:rPr>
        <w:t>y</w:t>
      </w:r>
      <w:r w:rsidR="009E2039" w:rsidRPr="00405F18">
        <w:rPr>
          <w:rFonts w:ascii="Times New Roman" w:hAnsi="Times New Roman" w:cs="Times New Roman"/>
          <w:sz w:val="24"/>
          <w:szCs w:val="24"/>
          <w:lang w:val="en-US"/>
        </w:rPr>
        <w:t xml:space="preserve"> may </w:t>
      </w:r>
      <w:r w:rsidR="00FF69AB" w:rsidRPr="00405F18">
        <w:rPr>
          <w:rFonts w:ascii="Times New Roman" w:hAnsi="Times New Roman" w:cs="Times New Roman"/>
          <w:sz w:val="24"/>
          <w:szCs w:val="24"/>
          <w:lang w:val="en-US"/>
        </w:rPr>
        <w:t xml:space="preserve">trigger </w:t>
      </w:r>
      <w:r w:rsidR="00115AD9" w:rsidRPr="00405F18">
        <w:rPr>
          <w:rFonts w:ascii="Times New Roman" w:hAnsi="Times New Roman" w:cs="Times New Roman"/>
          <w:sz w:val="24"/>
          <w:szCs w:val="24"/>
          <w:lang w:val="en-US"/>
        </w:rPr>
        <w:t>apoptosis and other</w:t>
      </w:r>
      <w:r w:rsidR="009E2039" w:rsidRPr="00405F18">
        <w:rPr>
          <w:rFonts w:ascii="Times New Roman" w:hAnsi="Times New Roman" w:cs="Times New Roman"/>
          <w:sz w:val="24"/>
          <w:szCs w:val="24"/>
          <w:lang w:val="en-US"/>
        </w:rPr>
        <w:t xml:space="preserve"> cell death pathways</w:t>
      </w:r>
      <w:r w:rsidR="007A6C79">
        <w:rPr>
          <w:rFonts w:ascii="Times New Roman" w:hAnsi="Times New Roman" w:cs="Times New Roman"/>
          <w:sz w:val="24"/>
          <w:szCs w:val="24"/>
          <w:lang w:val="en-US"/>
        </w:rPr>
        <w:t xml:space="preserve"> [</w:t>
      </w:r>
      <w:r w:rsidR="00A307E2" w:rsidRPr="007A6C79">
        <w:rPr>
          <w:rFonts w:ascii="Times New Roman" w:hAnsi="Times New Roman" w:cs="Times New Roman"/>
          <w:sz w:val="24"/>
          <w:szCs w:val="24"/>
          <w:lang w:val="en-US"/>
        </w:rPr>
        <w:fldChar w:fldCharType="begin" w:fldLock="1"/>
      </w:r>
      <w:r w:rsidR="00A307E2" w:rsidRPr="007A6C79">
        <w:rPr>
          <w:rFonts w:ascii="Times New Roman" w:hAnsi="Times New Roman" w:cs="Times New Roman"/>
          <w:sz w:val="24"/>
          <w:szCs w:val="24"/>
          <w:lang w:val="en-US"/>
        </w:rPr>
        <w:instrText>ADDIN CSL_CITATION {"citationItems":[{"id":"ITEM-1","itemData":{"DOI":"10.1016/j.jmb.2019.08.010","ISSN":"10898638","PMID":"31449799","abstract":"Lysosomal membrane permeabilization or full rupture of lysosomes is a common and severe stress condition that is relevant for degenerative disease, infection and cancer. If damage is limited, cells can repair lysosomes by means of the endosomal sorting complex required for transport (ESCRT) machinery. Presumably, if repair fails, lysosomes are tagged with ubiquitin to initiate clearance by selective macroautophagy, termed lysophagy. Accumulating evidence suggests damage-induced exposure of luminal glycans to the cytosol as the key trigger for ubiquitination. In this review, we discuss recent data on cellular damage sensing, the underlying ubiquitination and autophagy machinery as well as additional layers of regulation such as processing of ubiquitinated proteins by the AAA-ATPase VCP/p97. We conclude with thoughts on how these mechanisms may regulate decision making between lysosome repair and lysophagy.","author":[{"dropping-particle":"","family":"Papadopoulos","given":"Chrisovalantis","non-dropping-particle":"","parse-names":false,"suffix":""},{"dropping-particle":"","family":"Kravic","given":"Bojana","non-dropping-particle":"","parse-names":false,"suffix":""},{"dropping-particle":"","family":"Meyer","given":"Hemmo","non-dropping-particle":"","parse-names":false,"suffix":""}],"container-title":"Journal of Molecular Biology","id":"ITEM-1","issue":"1","issued":{"date-parts":[["2020"]]},"page":"231-239","publisher":"Elsevier Ltd","title":"Repair or Lysophagy: Dealing with Damaged Lysosomes","type":"article-journal","volume":"432"},"uris":["http://www.mendeley.com/documents/?uuid=d689da78-a3ab-417b-bdef-6844089edf21"]}],"mendeley":{"formattedCitation":"&lt;sup&gt;30&lt;/sup&gt;","plainTextFormattedCitation":"30","previouslyFormattedCitation":"&lt;sup&gt;30&lt;/sup&gt;"},"properties":{"noteIndex":0},"schema":"https://github.com/citation-style-language/schema/raw/master/csl-citation.json"}</w:instrText>
      </w:r>
      <w:r w:rsidR="00A307E2" w:rsidRPr="007A6C79">
        <w:rPr>
          <w:rFonts w:ascii="Times New Roman" w:hAnsi="Times New Roman" w:cs="Times New Roman"/>
          <w:sz w:val="24"/>
          <w:szCs w:val="24"/>
          <w:lang w:val="en-US"/>
        </w:rPr>
        <w:fldChar w:fldCharType="separate"/>
      </w:r>
      <w:r w:rsidR="00A307E2" w:rsidRPr="007A6C79">
        <w:rPr>
          <w:rFonts w:ascii="Times New Roman" w:hAnsi="Times New Roman" w:cs="Times New Roman"/>
          <w:noProof/>
          <w:sz w:val="24"/>
          <w:szCs w:val="24"/>
          <w:lang w:val="en-US"/>
        </w:rPr>
        <w:t>30</w:t>
      </w:r>
      <w:r w:rsidR="00A307E2"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008E2B6B" w:rsidRPr="00405F18">
        <w:rPr>
          <w:rFonts w:ascii="Times New Roman" w:hAnsi="Times New Roman" w:cs="Times New Roman"/>
          <w:sz w:val="24"/>
          <w:szCs w:val="24"/>
          <w:lang w:val="en-US"/>
        </w:rPr>
        <w:t xml:space="preserve">. </w:t>
      </w:r>
      <w:r w:rsidR="00115DC0" w:rsidRPr="00405F18">
        <w:rPr>
          <w:rFonts w:ascii="Times New Roman" w:hAnsi="Times New Roman" w:cs="Times New Roman"/>
          <w:sz w:val="24"/>
          <w:szCs w:val="24"/>
          <w:lang w:val="en-US"/>
        </w:rPr>
        <w:t>Consistent</w:t>
      </w:r>
      <w:r w:rsidR="00F71632" w:rsidRPr="00405F18">
        <w:rPr>
          <w:rFonts w:ascii="Times New Roman" w:hAnsi="Times New Roman" w:cs="Times New Roman"/>
          <w:sz w:val="24"/>
          <w:szCs w:val="24"/>
          <w:lang w:val="en-US"/>
        </w:rPr>
        <w:t xml:space="preserve"> </w:t>
      </w:r>
      <w:r w:rsidR="005046D8" w:rsidRPr="00405F18">
        <w:rPr>
          <w:rFonts w:ascii="Times New Roman" w:hAnsi="Times New Roman" w:cs="Times New Roman"/>
          <w:sz w:val="24"/>
          <w:szCs w:val="24"/>
          <w:lang w:val="en-US"/>
        </w:rPr>
        <w:t xml:space="preserve">with </w:t>
      </w:r>
      <w:r w:rsidR="00084F72" w:rsidRPr="00405F18">
        <w:rPr>
          <w:rFonts w:ascii="Times New Roman" w:hAnsi="Times New Roman" w:cs="Times New Roman"/>
          <w:sz w:val="24"/>
          <w:szCs w:val="24"/>
          <w:lang w:val="en-US"/>
        </w:rPr>
        <w:t xml:space="preserve">the </w:t>
      </w:r>
      <w:r w:rsidR="003A0F5C" w:rsidRPr="00405F18">
        <w:rPr>
          <w:rFonts w:ascii="Times New Roman" w:hAnsi="Times New Roman" w:cs="Times New Roman"/>
          <w:sz w:val="24"/>
          <w:szCs w:val="24"/>
          <w:lang w:val="en-US"/>
        </w:rPr>
        <w:t xml:space="preserve">elevated </w:t>
      </w:r>
      <w:r w:rsidR="000F3A6B" w:rsidRPr="00405F18">
        <w:rPr>
          <w:rFonts w:ascii="Times New Roman" w:hAnsi="Times New Roman" w:cs="Times New Roman"/>
          <w:sz w:val="24"/>
          <w:szCs w:val="24"/>
          <w:lang w:val="en-US"/>
        </w:rPr>
        <w:t xml:space="preserve">number of </w:t>
      </w:r>
      <w:r w:rsidR="00946F1F">
        <w:rPr>
          <w:rFonts w:ascii="Times New Roman" w:hAnsi="Times New Roman" w:cs="Times New Roman"/>
          <w:sz w:val="24"/>
          <w:szCs w:val="24"/>
          <w:lang w:val="en-US"/>
        </w:rPr>
        <w:t>LGALS</w:t>
      </w:r>
      <w:r w:rsidR="005046D8" w:rsidRPr="00405F18">
        <w:rPr>
          <w:rFonts w:ascii="Times New Roman" w:hAnsi="Times New Roman" w:cs="Times New Roman"/>
          <w:sz w:val="24"/>
          <w:szCs w:val="24"/>
          <w:lang w:val="en-US"/>
        </w:rPr>
        <w:t>3</w:t>
      </w:r>
      <w:r w:rsidR="00F71632" w:rsidRPr="00405F18">
        <w:rPr>
          <w:rFonts w:ascii="Times New Roman" w:hAnsi="Times New Roman" w:cs="Times New Roman"/>
          <w:sz w:val="24"/>
          <w:szCs w:val="24"/>
          <w:lang w:val="en-US"/>
        </w:rPr>
        <w:t xml:space="preserve"> </w:t>
      </w:r>
      <w:r w:rsidR="00084F72" w:rsidRPr="00405F18">
        <w:rPr>
          <w:rFonts w:ascii="Times New Roman" w:hAnsi="Times New Roman" w:cs="Times New Roman"/>
          <w:sz w:val="24"/>
          <w:szCs w:val="24"/>
          <w:lang w:val="en-US"/>
        </w:rPr>
        <w:t xml:space="preserve">puncta </w:t>
      </w:r>
      <w:r w:rsidR="00B65DFC" w:rsidRPr="00405F18">
        <w:rPr>
          <w:rFonts w:ascii="Times New Roman" w:hAnsi="Times New Roman" w:cs="Times New Roman"/>
          <w:sz w:val="24"/>
          <w:szCs w:val="24"/>
          <w:lang w:val="en-US"/>
        </w:rPr>
        <w:t>in PA-treated cells</w:t>
      </w:r>
      <w:r w:rsidR="005046D8" w:rsidRPr="00405F18">
        <w:rPr>
          <w:rFonts w:ascii="Times New Roman" w:hAnsi="Times New Roman" w:cs="Times New Roman"/>
          <w:sz w:val="24"/>
          <w:szCs w:val="24"/>
          <w:lang w:val="en-US"/>
        </w:rPr>
        <w:t xml:space="preserve">, </w:t>
      </w:r>
      <w:r w:rsidR="00502A0C" w:rsidRPr="00405F18">
        <w:rPr>
          <w:rFonts w:ascii="Times New Roman" w:hAnsi="Times New Roman" w:cs="Times New Roman"/>
          <w:sz w:val="24"/>
          <w:szCs w:val="24"/>
          <w:lang w:val="en-US"/>
        </w:rPr>
        <w:t>incubation of</w:t>
      </w:r>
      <w:r w:rsidR="008344A5" w:rsidRPr="00405F18">
        <w:rPr>
          <w:rFonts w:ascii="Times New Roman" w:hAnsi="Times New Roman" w:cs="Times New Roman"/>
          <w:sz w:val="24"/>
          <w:szCs w:val="24"/>
          <w:lang w:val="en-US"/>
        </w:rPr>
        <w:t xml:space="preserve"> homogenate</w:t>
      </w:r>
      <w:r w:rsidR="003A0F5C" w:rsidRPr="00405F18">
        <w:rPr>
          <w:rFonts w:ascii="Times New Roman" w:hAnsi="Times New Roman" w:cs="Times New Roman"/>
          <w:sz w:val="24"/>
          <w:szCs w:val="24"/>
          <w:lang w:val="en-US"/>
        </w:rPr>
        <w:t>s</w:t>
      </w:r>
      <w:r w:rsidR="008344A5" w:rsidRPr="00405F18">
        <w:rPr>
          <w:rFonts w:ascii="Times New Roman" w:hAnsi="Times New Roman" w:cs="Times New Roman"/>
          <w:sz w:val="24"/>
          <w:szCs w:val="24"/>
          <w:lang w:val="en-US"/>
        </w:rPr>
        <w:t xml:space="preserve"> with the fluorogenic substrates of either </w:t>
      </w:r>
      <w:r w:rsidR="00F95C44">
        <w:rPr>
          <w:rFonts w:ascii="Times New Roman" w:hAnsi="Times New Roman" w:cs="Times New Roman"/>
          <w:sz w:val="24"/>
          <w:szCs w:val="24"/>
          <w:lang w:val="en-US"/>
        </w:rPr>
        <w:t>GUSB (</w:t>
      </w:r>
      <w:r w:rsidR="00F71632" w:rsidRPr="00405F18">
        <w:rPr>
          <w:rFonts w:ascii="Times New Roman" w:hAnsi="Times New Roman" w:cs="Times New Roman"/>
          <w:sz w:val="24"/>
          <w:szCs w:val="24"/>
          <w:lang w:val="en-US"/>
        </w:rPr>
        <w:t>gluc</w:t>
      </w:r>
      <w:r w:rsidR="00A20C07" w:rsidRPr="00405F18">
        <w:rPr>
          <w:rFonts w:ascii="Times New Roman" w:hAnsi="Times New Roman" w:cs="Times New Roman"/>
          <w:sz w:val="24"/>
          <w:szCs w:val="24"/>
          <w:lang w:val="en-US"/>
        </w:rPr>
        <w:t>u</w:t>
      </w:r>
      <w:r w:rsidR="00F71632" w:rsidRPr="00405F18">
        <w:rPr>
          <w:rFonts w:ascii="Times New Roman" w:hAnsi="Times New Roman" w:cs="Times New Roman"/>
          <w:sz w:val="24"/>
          <w:szCs w:val="24"/>
          <w:lang w:val="en-US"/>
        </w:rPr>
        <w:t xml:space="preserve">ronidase </w:t>
      </w:r>
      <w:r w:rsidR="00F95C44">
        <w:rPr>
          <w:rFonts w:ascii="Times New Roman" w:hAnsi="Times New Roman" w:cs="Times New Roman"/>
          <w:sz w:val="24"/>
          <w:szCs w:val="24"/>
          <w:lang w:val="en-US"/>
        </w:rPr>
        <w:t xml:space="preserve">beta) </w:t>
      </w:r>
      <w:r w:rsidR="008344A5" w:rsidRPr="00405F18">
        <w:rPr>
          <w:rFonts w:ascii="Times New Roman" w:hAnsi="Times New Roman" w:cs="Times New Roman"/>
          <w:sz w:val="24"/>
          <w:szCs w:val="24"/>
          <w:lang w:val="en-US"/>
        </w:rPr>
        <w:t xml:space="preserve">or </w:t>
      </w:r>
      <w:r w:rsidR="00F95C44">
        <w:rPr>
          <w:rFonts w:ascii="Times New Roman" w:hAnsi="Times New Roman" w:cs="Times New Roman"/>
          <w:sz w:val="24"/>
          <w:szCs w:val="24"/>
          <w:lang w:val="en-US"/>
        </w:rPr>
        <w:t>HEXB (</w:t>
      </w:r>
      <w:r w:rsidR="00F71632" w:rsidRPr="00405F18">
        <w:rPr>
          <w:rFonts w:ascii="Times New Roman" w:hAnsi="Times New Roman" w:cs="Times New Roman"/>
          <w:sz w:val="24"/>
          <w:szCs w:val="24"/>
          <w:lang w:val="en-US"/>
        </w:rPr>
        <w:t xml:space="preserve">hexosaminidase </w:t>
      </w:r>
      <w:r w:rsidR="00F95C44">
        <w:rPr>
          <w:rFonts w:ascii="Times New Roman" w:hAnsi="Times New Roman" w:cs="Times New Roman"/>
          <w:sz w:val="24"/>
          <w:szCs w:val="24"/>
          <w:lang w:val="en-US"/>
        </w:rPr>
        <w:t>subunit beta)</w:t>
      </w:r>
      <w:r w:rsidR="006B2C44">
        <w:rPr>
          <w:rFonts w:ascii="Times New Roman" w:hAnsi="Times New Roman" w:cs="Times New Roman"/>
          <w:sz w:val="24"/>
          <w:szCs w:val="24"/>
          <w:lang w:val="en-US"/>
        </w:rPr>
        <w:t xml:space="preserve"> –</w:t>
      </w:r>
      <w:r w:rsidR="00F60A2D">
        <w:rPr>
          <w:rFonts w:ascii="Times New Roman" w:hAnsi="Times New Roman" w:cs="Times New Roman"/>
          <w:sz w:val="24"/>
          <w:szCs w:val="24"/>
          <w:lang w:val="en-US"/>
        </w:rPr>
        <w:t xml:space="preserve"> </w:t>
      </w:r>
      <w:r w:rsidR="006B2C44">
        <w:rPr>
          <w:rFonts w:ascii="Times New Roman" w:hAnsi="Times New Roman" w:cs="Times New Roman"/>
          <w:sz w:val="24"/>
          <w:szCs w:val="24"/>
          <w:lang w:val="en-US"/>
        </w:rPr>
        <w:t>t</w:t>
      </w:r>
      <w:r w:rsidR="00CC1726" w:rsidRPr="00405F18">
        <w:rPr>
          <w:rFonts w:ascii="Times New Roman" w:hAnsi="Times New Roman" w:cs="Times New Roman"/>
          <w:sz w:val="24"/>
          <w:szCs w:val="24"/>
          <w:lang w:val="en-US"/>
        </w:rPr>
        <w:t>wo lysosomal acid hydrolases</w:t>
      </w:r>
      <w:r w:rsidR="00F60A2D">
        <w:rPr>
          <w:rFonts w:ascii="Times New Roman" w:hAnsi="Times New Roman" w:cs="Times New Roman"/>
          <w:sz w:val="24"/>
          <w:szCs w:val="24"/>
          <w:lang w:val="en-US"/>
        </w:rPr>
        <w:t xml:space="preserve"> </w:t>
      </w:r>
      <w:r w:rsidR="006B2C44">
        <w:rPr>
          <w:rFonts w:ascii="Times New Roman" w:hAnsi="Times New Roman" w:cs="Times New Roman"/>
          <w:sz w:val="24"/>
          <w:szCs w:val="24"/>
          <w:lang w:val="en-US"/>
        </w:rPr>
        <w:t xml:space="preserve">– </w:t>
      </w:r>
      <w:r w:rsidR="00A97F4A" w:rsidRPr="00405F18">
        <w:rPr>
          <w:rFonts w:ascii="Times New Roman" w:hAnsi="Times New Roman" w:cs="Times New Roman"/>
          <w:sz w:val="24"/>
          <w:szCs w:val="24"/>
          <w:lang w:val="en-US"/>
        </w:rPr>
        <w:t>revealed an increase of their free activit</w:t>
      </w:r>
      <w:r w:rsidR="00737DBD" w:rsidRPr="00405F18">
        <w:rPr>
          <w:rFonts w:ascii="Times New Roman" w:hAnsi="Times New Roman" w:cs="Times New Roman"/>
          <w:sz w:val="24"/>
          <w:szCs w:val="24"/>
          <w:lang w:val="en-US"/>
        </w:rPr>
        <w:t>ies</w:t>
      </w:r>
      <w:r w:rsidR="00A97F4A" w:rsidRPr="00405F18">
        <w:rPr>
          <w:rFonts w:ascii="Times New Roman" w:hAnsi="Times New Roman" w:cs="Times New Roman"/>
          <w:sz w:val="24"/>
          <w:szCs w:val="24"/>
          <w:lang w:val="en-US"/>
        </w:rPr>
        <w:t xml:space="preserve"> 24 h after treatment with PA</w:t>
      </w:r>
      <w:r w:rsidR="005046D8" w:rsidRPr="00405F18">
        <w:rPr>
          <w:rFonts w:ascii="Times New Roman" w:hAnsi="Times New Roman" w:cs="Times New Roman"/>
          <w:sz w:val="24"/>
          <w:szCs w:val="24"/>
          <w:lang w:val="en-US"/>
        </w:rPr>
        <w:t xml:space="preserve"> (Figure 7D).</w:t>
      </w:r>
      <w:r w:rsidR="00685B4A" w:rsidRPr="00405F18">
        <w:rPr>
          <w:rFonts w:ascii="Times New Roman" w:hAnsi="Times New Roman" w:cs="Times New Roman"/>
          <w:sz w:val="24"/>
          <w:szCs w:val="24"/>
          <w:lang w:val="en-US"/>
        </w:rPr>
        <w:t xml:space="preserve"> </w:t>
      </w:r>
      <w:r w:rsidR="00D84DF5" w:rsidRPr="00405F18">
        <w:rPr>
          <w:rFonts w:ascii="Times New Roman" w:hAnsi="Times New Roman" w:cs="Times New Roman"/>
          <w:sz w:val="24"/>
          <w:szCs w:val="24"/>
          <w:lang w:val="en-US"/>
        </w:rPr>
        <w:t>Overall,</w:t>
      </w:r>
      <w:r w:rsidR="002E6955" w:rsidRPr="00405F18">
        <w:rPr>
          <w:rFonts w:ascii="Times New Roman" w:hAnsi="Times New Roman" w:cs="Times New Roman"/>
          <w:sz w:val="24"/>
          <w:szCs w:val="24"/>
          <w:lang w:val="en-US"/>
        </w:rPr>
        <w:t xml:space="preserve"> </w:t>
      </w:r>
      <w:r w:rsidR="00704505" w:rsidRPr="00405F18">
        <w:rPr>
          <w:rFonts w:ascii="Times New Roman" w:hAnsi="Times New Roman" w:cs="Times New Roman"/>
          <w:sz w:val="24"/>
          <w:szCs w:val="24"/>
          <w:lang w:val="en-US"/>
        </w:rPr>
        <w:t xml:space="preserve">these data showed that </w:t>
      </w:r>
      <w:r w:rsidR="003F22AA" w:rsidRPr="00405F18">
        <w:rPr>
          <w:rFonts w:ascii="Times New Roman" w:hAnsi="Times New Roman" w:cs="Times New Roman"/>
          <w:sz w:val="24"/>
          <w:szCs w:val="24"/>
          <w:lang w:val="en-US"/>
        </w:rPr>
        <w:t>LMP</w:t>
      </w:r>
      <w:r w:rsidR="00F14046" w:rsidRPr="00405F18">
        <w:rPr>
          <w:rFonts w:ascii="Times New Roman" w:hAnsi="Times New Roman" w:cs="Times New Roman"/>
          <w:sz w:val="24"/>
          <w:szCs w:val="24"/>
          <w:lang w:val="en-US"/>
        </w:rPr>
        <w:t xml:space="preserve"> </w:t>
      </w:r>
      <w:r w:rsidR="003F22AA" w:rsidRPr="00405F18">
        <w:rPr>
          <w:rFonts w:ascii="Times New Roman" w:hAnsi="Times New Roman" w:cs="Times New Roman"/>
          <w:sz w:val="24"/>
          <w:szCs w:val="24"/>
          <w:lang w:val="en-US"/>
        </w:rPr>
        <w:t>occu</w:t>
      </w:r>
      <w:r w:rsidR="00F14046" w:rsidRPr="00405F18">
        <w:rPr>
          <w:rFonts w:ascii="Times New Roman" w:hAnsi="Times New Roman" w:cs="Times New Roman"/>
          <w:sz w:val="24"/>
          <w:szCs w:val="24"/>
          <w:lang w:val="en-US"/>
        </w:rPr>
        <w:t>r</w:t>
      </w:r>
      <w:r w:rsidR="00704505" w:rsidRPr="00405F18">
        <w:rPr>
          <w:rFonts w:ascii="Times New Roman" w:hAnsi="Times New Roman" w:cs="Times New Roman"/>
          <w:sz w:val="24"/>
          <w:szCs w:val="24"/>
          <w:lang w:val="en-US"/>
        </w:rPr>
        <w:t>s</w:t>
      </w:r>
      <w:r w:rsidR="003F22AA" w:rsidRPr="00405F18">
        <w:rPr>
          <w:rFonts w:ascii="Times New Roman" w:hAnsi="Times New Roman" w:cs="Times New Roman"/>
          <w:sz w:val="24"/>
          <w:szCs w:val="24"/>
          <w:lang w:val="en-US"/>
        </w:rPr>
        <w:t xml:space="preserve"> in </w:t>
      </w:r>
      <w:proofErr w:type="spellStart"/>
      <w:r w:rsidR="00CC5768">
        <w:rPr>
          <w:rFonts w:ascii="Times New Roman" w:hAnsi="Times New Roman" w:cs="Times New Roman"/>
          <w:sz w:val="24"/>
          <w:szCs w:val="24"/>
          <w:lang w:val="en-US"/>
        </w:rPr>
        <w:t>M</w:t>
      </w:r>
      <w:r w:rsidR="003F22AA" w:rsidRPr="00405F18">
        <w:rPr>
          <w:rFonts w:ascii="Times New Roman" w:hAnsi="Times New Roman" w:cs="Times New Roman"/>
          <w:sz w:val="24"/>
          <w:szCs w:val="24"/>
          <w:lang w:val="en-US"/>
        </w:rPr>
        <w:t>mPTECs</w:t>
      </w:r>
      <w:proofErr w:type="spellEnd"/>
      <w:r w:rsidR="00DF59A0" w:rsidRPr="00405F18">
        <w:rPr>
          <w:rFonts w:ascii="Times New Roman" w:hAnsi="Times New Roman" w:cs="Times New Roman"/>
          <w:sz w:val="24"/>
          <w:szCs w:val="24"/>
          <w:lang w:val="en-US"/>
        </w:rPr>
        <w:t xml:space="preserve"> upon </w:t>
      </w:r>
      <w:r w:rsidR="00DD46DF" w:rsidRPr="00405F18">
        <w:rPr>
          <w:rFonts w:ascii="Times New Roman" w:hAnsi="Times New Roman" w:cs="Times New Roman"/>
          <w:sz w:val="24"/>
          <w:szCs w:val="24"/>
          <w:lang w:val="en-US"/>
        </w:rPr>
        <w:t xml:space="preserve">PA-induced </w:t>
      </w:r>
      <w:proofErr w:type="spellStart"/>
      <w:r w:rsidR="00DF59A0" w:rsidRPr="00405F18">
        <w:rPr>
          <w:rFonts w:ascii="Times New Roman" w:hAnsi="Times New Roman" w:cs="Times New Roman"/>
          <w:sz w:val="24"/>
          <w:szCs w:val="24"/>
          <w:lang w:val="en-US"/>
        </w:rPr>
        <w:t>lipotoxicity</w:t>
      </w:r>
      <w:proofErr w:type="spellEnd"/>
      <w:r w:rsidR="00DD46DF" w:rsidRPr="00405F18">
        <w:rPr>
          <w:rFonts w:ascii="Times New Roman" w:hAnsi="Times New Roman" w:cs="Times New Roman"/>
          <w:sz w:val="24"/>
          <w:szCs w:val="24"/>
          <w:lang w:val="en-US"/>
        </w:rPr>
        <w:t>,</w:t>
      </w:r>
      <w:r w:rsidR="003F22AA" w:rsidRPr="00405F18">
        <w:rPr>
          <w:rFonts w:ascii="Times New Roman" w:hAnsi="Times New Roman" w:cs="Times New Roman"/>
          <w:sz w:val="24"/>
          <w:szCs w:val="24"/>
          <w:lang w:val="en-US"/>
        </w:rPr>
        <w:t xml:space="preserve"> </w:t>
      </w:r>
      <w:r w:rsidR="00737DBD" w:rsidRPr="00405F18">
        <w:rPr>
          <w:rFonts w:ascii="Times New Roman" w:hAnsi="Times New Roman" w:cs="Times New Roman"/>
          <w:sz w:val="24"/>
          <w:szCs w:val="24"/>
          <w:lang w:val="en-US"/>
        </w:rPr>
        <w:t>but</w:t>
      </w:r>
      <w:r w:rsidR="00FF3838" w:rsidRPr="00405F18">
        <w:rPr>
          <w:rFonts w:ascii="Times New Roman" w:hAnsi="Times New Roman" w:cs="Times New Roman"/>
          <w:sz w:val="24"/>
          <w:szCs w:val="24"/>
          <w:lang w:val="en-US"/>
        </w:rPr>
        <w:t xml:space="preserve"> it does not </w:t>
      </w:r>
      <w:r w:rsidR="005231A3" w:rsidRPr="00405F18">
        <w:rPr>
          <w:rFonts w:ascii="Times New Roman" w:hAnsi="Times New Roman" w:cs="Times New Roman"/>
          <w:sz w:val="24"/>
          <w:szCs w:val="24"/>
          <w:lang w:val="en-US"/>
        </w:rPr>
        <w:t>appear</w:t>
      </w:r>
      <w:r w:rsidR="00FF3838" w:rsidRPr="00405F18">
        <w:rPr>
          <w:rFonts w:ascii="Times New Roman" w:hAnsi="Times New Roman" w:cs="Times New Roman"/>
          <w:sz w:val="24"/>
          <w:szCs w:val="24"/>
          <w:lang w:val="en-US"/>
        </w:rPr>
        <w:t xml:space="preserve"> to </w:t>
      </w:r>
      <w:r w:rsidR="005231A3" w:rsidRPr="00405F18">
        <w:rPr>
          <w:rFonts w:ascii="Times New Roman" w:hAnsi="Times New Roman" w:cs="Times New Roman"/>
          <w:sz w:val="24"/>
          <w:szCs w:val="24"/>
          <w:lang w:val="en-US"/>
        </w:rPr>
        <w:t>induce</w:t>
      </w:r>
      <w:r w:rsidR="00D508A9" w:rsidRPr="00405F18">
        <w:rPr>
          <w:rFonts w:ascii="Times New Roman" w:hAnsi="Times New Roman" w:cs="Times New Roman"/>
          <w:sz w:val="24"/>
          <w:szCs w:val="24"/>
          <w:lang w:val="en-US"/>
        </w:rPr>
        <w:t xml:space="preserve"> </w:t>
      </w:r>
      <w:proofErr w:type="spellStart"/>
      <w:r w:rsidR="00D508A9" w:rsidRPr="00405F18">
        <w:rPr>
          <w:rFonts w:ascii="Times New Roman" w:hAnsi="Times New Roman" w:cs="Times New Roman"/>
          <w:sz w:val="24"/>
          <w:szCs w:val="24"/>
          <w:lang w:val="en-US"/>
        </w:rPr>
        <w:t>lysophagy</w:t>
      </w:r>
      <w:proofErr w:type="spellEnd"/>
      <w:r w:rsidR="00D508A9" w:rsidRPr="00405F18">
        <w:rPr>
          <w:rFonts w:ascii="Times New Roman" w:hAnsi="Times New Roman" w:cs="Times New Roman"/>
          <w:sz w:val="24"/>
          <w:szCs w:val="24"/>
          <w:lang w:val="en-US"/>
        </w:rPr>
        <w:t xml:space="preserve"> </w:t>
      </w:r>
      <w:r w:rsidR="00DC32EC" w:rsidRPr="00405F18">
        <w:rPr>
          <w:rFonts w:ascii="Times New Roman" w:hAnsi="Times New Roman" w:cs="Times New Roman"/>
          <w:sz w:val="24"/>
          <w:szCs w:val="24"/>
          <w:lang w:val="en-US"/>
        </w:rPr>
        <w:t>n</w:t>
      </w:r>
      <w:r w:rsidR="00D508A9" w:rsidRPr="00405F18">
        <w:rPr>
          <w:rFonts w:ascii="Times New Roman" w:hAnsi="Times New Roman" w:cs="Times New Roman"/>
          <w:sz w:val="24"/>
          <w:szCs w:val="24"/>
          <w:lang w:val="en-US"/>
        </w:rPr>
        <w:t>or</w:t>
      </w:r>
      <w:r w:rsidR="00DC32EC" w:rsidRPr="00405F18">
        <w:rPr>
          <w:rFonts w:ascii="Times New Roman" w:hAnsi="Times New Roman" w:cs="Times New Roman"/>
          <w:sz w:val="24"/>
          <w:szCs w:val="24"/>
          <w:lang w:val="en-US"/>
        </w:rPr>
        <w:t xml:space="preserve"> to</w:t>
      </w:r>
      <w:r w:rsidR="00D508A9" w:rsidRPr="00405F18">
        <w:rPr>
          <w:rFonts w:ascii="Times New Roman" w:hAnsi="Times New Roman" w:cs="Times New Roman"/>
          <w:sz w:val="24"/>
          <w:szCs w:val="24"/>
          <w:lang w:val="en-US"/>
        </w:rPr>
        <w:t xml:space="preserve"> </w:t>
      </w:r>
      <w:r w:rsidR="00C55A47" w:rsidRPr="00405F18">
        <w:rPr>
          <w:rFonts w:ascii="Times New Roman" w:hAnsi="Times New Roman" w:cs="Times New Roman"/>
          <w:sz w:val="24"/>
          <w:szCs w:val="24"/>
          <w:lang w:val="en-US"/>
        </w:rPr>
        <w:t>modulat</w:t>
      </w:r>
      <w:r w:rsidR="00FF3838" w:rsidRPr="00405F18">
        <w:rPr>
          <w:rFonts w:ascii="Times New Roman" w:hAnsi="Times New Roman" w:cs="Times New Roman"/>
          <w:sz w:val="24"/>
          <w:szCs w:val="24"/>
          <w:lang w:val="en-US"/>
        </w:rPr>
        <w:t>e</w:t>
      </w:r>
      <w:r w:rsidR="00C55A47" w:rsidRPr="00405F18">
        <w:rPr>
          <w:rFonts w:ascii="Times New Roman" w:hAnsi="Times New Roman" w:cs="Times New Roman"/>
          <w:sz w:val="24"/>
          <w:szCs w:val="24"/>
          <w:lang w:val="en-US"/>
        </w:rPr>
        <w:t xml:space="preserve"> </w:t>
      </w:r>
      <w:r w:rsidR="00ED1D3C" w:rsidRPr="00405F18">
        <w:rPr>
          <w:rFonts w:ascii="Times New Roman" w:hAnsi="Times New Roman" w:cs="Times New Roman"/>
          <w:sz w:val="24"/>
          <w:szCs w:val="24"/>
          <w:lang w:val="en-US"/>
        </w:rPr>
        <w:t>the</w:t>
      </w:r>
      <w:r w:rsidR="00C55A47" w:rsidRPr="00405F18">
        <w:rPr>
          <w:rFonts w:ascii="Times New Roman" w:hAnsi="Times New Roman" w:cs="Times New Roman"/>
          <w:sz w:val="24"/>
          <w:szCs w:val="24"/>
          <w:lang w:val="en-US"/>
        </w:rPr>
        <w:t xml:space="preserve"> viability</w:t>
      </w:r>
      <w:r w:rsidR="00ED1D3C" w:rsidRPr="00405F18">
        <w:rPr>
          <w:rFonts w:ascii="Times New Roman" w:hAnsi="Times New Roman" w:cs="Times New Roman"/>
          <w:sz w:val="24"/>
          <w:szCs w:val="24"/>
          <w:lang w:val="en-US"/>
        </w:rPr>
        <w:t xml:space="preserve"> of these cells</w:t>
      </w:r>
      <w:r w:rsidR="00AB36FD" w:rsidRPr="00405F18">
        <w:rPr>
          <w:rFonts w:ascii="Times New Roman" w:hAnsi="Times New Roman" w:cs="Times New Roman"/>
          <w:sz w:val="24"/>
          <w:szCs w:val="24"/>
          <w:lang w:val="en-US"/>
        </w:rPr>
        <w:t xml:space="preserve"> (</w:t>
      </w:r>
      <w:r w:rsidR="00B81C8B" w:rsidRPr="00405F18">
        <w:rPr>
          <w:rFonts w:ascii="Times New Roman" w:hAnsi="Times New Roman" w:cs="Times New Roman"/>
          <w:sz w:val="24"/>
          <w:szCs w:val="24"/>
          <w:lang w:val="en-US"/>
        </w:rPr>
        <w:t xml:space="preserve">Figure </w:t>
      </w:r>
      <w:r w:rsidR="00AB36FD" w:rsidRPr="00405F18">
        <w:rPr>
          <w:rFonts w:ascii="Times New Roman" w:hAnsi="Times New Roman" w:cs="Times New Roman"/>
          <w:sz w:val="24"/>
          <w:szCs w:val="24"/>
          <w:lang w:val="en-US"/>
        </w:rPr>
        <w:t>S1</w:t>
      </w:r>
      <w:proofErr w:type="gramStart"/>
      <w:r w:rsidR="00AB36FD" w:rsidRPr="00405F18">
        <w:rPr>
          <w:rFonts w:ascii="Times New Roman" w:hAnsi="Times New Roman" w:cs="Times New Roman"/>
          <w:sz w:val="24"/>
          <w:szCs w:val="24"/>
          <w:lang w:val="en-US"/>
        </w:rPr>
        <w:t>E,F</w:t>
      </w:r>
      <w:proofErr w:type="gramEnd"/>
      <w:r w:rsidR="00AB36FD" w:rsidRPr="00405F18">
        <w:rPr>
          <w:rFonts w:ascii="Times New Roman" w:hAnsi="Times New Roman" w:cs="Times New Roman"/>
          <w:sz w:val="24"/>
          <w:szCs w:val="24"/>
          <w:lang w:val="en-US"/>
        </w:rPr>
        <w:t>)</w:t>
      </w:r>
      <w:r w:rsidR="00C55A47" w:rsidRPr="00405F18">
        <w:rPr>
          <w:rFonts w:ascii="Times New Roman" w:hAnsi="Times New Roman" w:cs="Times New Roman"/>
          <w:sz w:val="24"/>
          <w:szCs w:val="24"/>
          <w:lang w:val="en-US"/>
        </w:rPr>
        <w:t>.</w:t>
      </w:r>
      <w:r w:rsidR="00B51B42" w:rsidRPr="00405F18">
        <w:rPr>
          <w:rFonts w:ascii="Times New Roman" w:hAnsi="Times New Roman" w:cs="Times New Roman"/>
          <w:sz w:val="24"/>
          <w:szCs w:val="24"/>
          <w:lang w:val="en-US"/>
        </w:rPr>
        <w:t xml:space="preserve"> </w:t>
      </w:r>
      <w:r w:rsidR="00B81C8B" w:rsidRPr="00405F18">
        <w:rPr>
          <w:rFonts w:ascii="Times New Roman" w:hAnsi="Times New Roman" w:cs="Times New Roman"/>
          <w:sz w:val="24"/>
          <w:szCs w:val="24"/>
          <w:lang w:val="en-US"/>
        </w:rPr>
        <w:t>G</w:t>
      </w:r>
      <w:r w:rsidR="00A00A5E" w:rsidRPr="00405F18">
        <w:rPr>
          <w:rFonts w:ascii="Times New Roman" w:hAnsi="Times New Roman" w:cs="Times New Roman"/>
          <w:sz w:val="24"/>
          <w:szCs w:val="24"/>
          <w:lang w:val="en-US"/>
        </w:rPr>
        <w:t>iven that AMPK activators protect</w:t>
      </w:r>
      <w:r w:rsidR="00A572AA" w:rsidRPr="00405F18">
        <w:rPr>
          <w:rFonts w:ascii="Times New Roman" w:hAnsi="Times New Roman" w:cs="Times New Roman"/>
          <w:sz w:val="24"/>
          <w:szCs w:val="24"/>
          <w:lang w:val="en-US"/>
        </w:rPr>
        <w:t xml:space="preserve"> </w:t>
      </w:r>
      <w:r w:rsidR="00A00A5E" w:rsidRPr="00405F18">
        <w:rPr>
          <w:rFonts w:ascii="Times New Roman" w:hAnsi="Times New Roman" w:cs="Times New Roman"/>
          <w:sz w:val="24"/>
          <w:szCs w:val="24"/>
          <w:lang w:val="en-US"/>
        </w:rPr>
        <w:t xml:space="preserve">PA-treated cells from lysosomal alkalinization, we </w:t>
      </w:r>
      <w:r w:rsidR="00B81C8B" w:rsidRPr="00405F18">
        <w:rPr>
          <w:rFonts w:ascii="Times New Roman" w:hAnsi="Times New Roman" w:cs="Times New Roman"/>
          <w:sz w:val="24"/>
          <w:szCs w:val="24"/>
          <w:lang w:val="en-US"/>
        </w:rPr>
        <w:t xml:space="preserve">next </w:t>
      </w:r>
      <w:r w:rsidR="00A00A5E" w:rsidRPr="00405F18">
        <w:rPr>
          <w:rFonts w:ascii="Times New Roman" w:hAnsi="Times New Roman" w:cs="Times New Roman"/>
          <w:sz w:val="24"/>
          <w:szCs w:val="24"/>
          <w:lang w:val="en-US"/>
        </w:rPr>
        <w:t xml:space="preserve">wondered about their potential benefits on LMP. In </w:t>
      </w:r>
      <w:proofErr w:type="spellStart"/>
      <w:r w:rsidR="00CC5768">
        <w:rPr>
          <w:rFonts w:ascii="Times New Roman" w:hAnsi="Times New Roman" w:cs="Times New Roman"/>
          <w:sz w:val="24"/>
          <w:szCs w:val="24"/>
          <w:lang w:val="en-US"/>
        </w:rPr>
        <w:t>M</w:t>
      </w:r>
      <w:r w:rsidR="00A00A5E" w:rsidRPr="00405F18">
        <w:rPr>
          <w:rFonts w:ascii="Times New Roman" w:hAnsi="Times New Roman" w:cs="Times New Roman"/>
          <w:sz w:val="24"/>
          <w:szCs w:val="24"/>
          <w:lang w:val="en-US"/>
        </w:rPr>
        <w:t>mPTECs</w:t>
      </w:r>
      <w:proofErr w:type="spellEnd"/>
      <w:r w:rsidR="00A00A5E" w:rsidRPr="00405F18">
        <w:rPr>
          <w:rFonts w:ascii="Times New Roman" w:hAnsi="Times New Roman" w:cs="Times New Roman"/>
          <w:sz w:val="24"/>
          <w:szCs w:val="24"/>
          <w:lang w:val="en-US"/>
        </w:rPr>
        <w:t xml:space="preserve"> treated with PA, AMPK activation </w:t>
      </w:r>
      <w:r w:rsidR="00B81C8B" w:rsidRPr="00405F18">
        <w:rPr>
          <w:rFonts w:ascii="Times New Roman" w:hAnsi="Times New Roman" w:cs="Times New Roman"/>
          <w:sz w:val="24"/>
          <w:szCs w:val="24"/>
          <w:lang w:val="en-US"/>
        </w:rPr>
        <w:t>mediated by</w:t>
      </w:r>
      <w:r w:rsidR="00A00A5E" w:rsidRPr="00405F18">
        <w:rPr>
          <w:rFonts w:ascii="Times New Roman" w:hAnsi="Times New Roman" w:cs="Times New Roman"/>
          <w:sz w:val="24"/>
          <w:szCs w:val="24"/>
          <w:lang w:val="en-US"/>
        </w:rPr>
        <w:t xml:space="preserve"> A769662 or AICAR significantly suppressed </w:t>
      </w:r>
      <w:r w:rsidR="00946F1F">
        <w:rPr>
          <w:rFonts w:ascii="Times New Roman" w:hAnsi="Times New Roman" w:cs="Times New Roman"/>
          <w:sz w:val="24"/>
          <w:szCs w:val="24"/>
          <w:lang w:val="en-US"/>
        </w:rPr>
        <w:t>LGALS</w:t>
      </w:r>
      <w:r w:rsidR="00A00A5E" w:rsidRPr="00405F18">
        <w:rPr>
          <w:rFonts w:ascii="Times New Roman" w:hAnsi="Times New Roman" w:cs="Times New Roman"/>
          <w:sz w:val="24"/>
          <w:szCs w:val="24"/>
          <w:lang w:val="en-US"/>
        </w:rPr>
        <w:t>3 detection after 24 h and thus prevented LMP (Figure 7</w:t>
      </w:r>
      <w:proofErr w:type="gramStart"/>
      <w:r w:rsidR="00A00A5E" w:rsidRPr="00405F18">
        <w:rPr>
          <w:rFonts w:ascii="Times New Roman" w:hAnsi="Times New Roman" w:cs="Times New Roman"/>
          <w:sz w:val="24"/>
          <w:szCs w:val="24"/>
          <w:lang w:val="en-US"/>
        </w:rPr>
        <w:t>E,F</w:t>
      </w:r>
      <w:proofErr w:type="gramEnd"/>
      <w:r w:rsidR="00A00A5E" w:rsidRPr="00405F18">
        <w:rPr>
          <w:rFonts w:ascii="Times New Roman" w:hAnsi="Times New Roman" w:cs="Times New Roman"/>
          <w:sz w:val="24"/>
          <w:szCs w:val="24"/>
          <w:lang w:val="en-US"/>
        </w:rPr>
        <w:t>).</w:t>
      </w:r>
    </w:p>
    <w:p w14:paraId="44974B9A" w14:textId="5026660A" w:rsidR="002650A9" w:rsidRPr="007A6C79" w:rsidRDefault="002650A9" w:rsidP="00270044">
      <w:pPr>
        <w:spacing w:after="100" w:afterAutospacing="1" w:line="480" w:lineRule="auto"/>
        <w:jc w:val="both"/>
        <w:rPr>
          <w:rFonts w:ascii="Times New Roman" w:hAnsi="Times New Roman" w:cs="Times New Roman"/>
          <w:i/>
          <w:iCs/>
          <w:sz w:val="24"/>
          <w:szCs w:val="24"/>
          <w:lang w:val="en-US"/>
        </w:rPr>
      </w:pPr>
      <w:r w:rsidRPr="007A6C79">
        <w:rPr>
          <w:rFonts w:ascii="Times New Roman" w:hAnsi="Times New Roman" w:cs="Times New Roman"/>
          <w:b/>
          <w:bCs/>
          <w:i/>
          <w:iCs/>
          <w:sz w:val="24"/>
          <w:szCs w:val="24"/>
          <w:lang w:val="en-US"/>
        </w:rPr>
        <w:t xml:space="preserve">Lysosomal biogenesis is activated in response to PA-induced lysosomal damage in </w:t>
      </w:r>
      <w:proofErr w:type="spellStart"/>
      <w:r w:rsidR="00CC5768">
        <w:rPr>
          <w:rFonts w:ascii="Times New Roman" w:hAnsi="Times New Roman" w:cs="Times New Roman"/>
          <w:b/>
          <w:bCs/>
          <w:i/>
          <w:iCs/>
          <w:sz w:val="24"/>
          <w:szCs w:val="24"/>
          <w:lang w:val="en-US"/>
        </w:rPr>
        <w:t>M</w:t>
      </w:r>
      <w:r w:rsidRPr="007A6C79">
        <w:rPr>
          <w:rFonts w:ascii="Times New Roman" w:hAnsi="Times New Roman" w:cs="Times New Roman"/>
          <w:b/>
          <w:bCs/>
          <w:i/>
          <w:iCs/>
          <w:sz w:val="24"/>
          <w:szCs w:val="24"/>
          <w:lang w:val="en-US"/>
        </w:rPr>
        <w:t>mPTECs</w:t>
      </w:r>
      <w:proofErr w:type="spellEnd"/>
      <w:r w:rsidRPr="007A6C79">
        <w:rPr>
          <w:rFonts w:ascii="Times New Roman" w:hAnsi="Times New Roman" w:cs="Times New Roman"/>
          <w:b/>
          <w:bCs/>
          <w:i/>
          <w:iCs/>
          <w:sz w:val="24"/>
          <w:szCs w:val="24"/>
          <w:lang w:val="en-US"/>
        </w:rPr>
        <w:t>.</w:t>
      </w:r>
    </w:p>
    <w:p w14:paraId="3E65E60A" w14:textId="6B05BBB7" w:rsidR="00605472" w:rsidRPr="00405F18" w:rsidRDefault="00D1142A"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L</w:t>
      </w:r>
      <w:r w:rsidR="00493822" w:rsidRPr="00405F18">
        <w:rPr>
          <w:rFonts w:ascii="Times New Roman" w:hAnsi="Times New Roman" w:cs="Times New Roman"/>
          <w:sz w:val="24"/>
          <w:szCs w:val="24"/>
          <w:lang w:val="en-US"/>
        </w:rPr>
        <w:t xml:space="preserve">ysosomal biogenesis </w:t>
      </w:r>
      <w:r w:rsidRPr="00405F18">
        <w:rPr>
          <w:rFonts w:ascii="Times New Roman" w:hAnsi="Times New Roman" w:cs="Times New Roman"/>
          <w:sz w:val="24"/>
          <w:szCs w:val="24"/>
          <w:lang w:val="en-US"/>
        </w:rPr>
        <w:t xml:space="preserve">is another pathway of lysosomal quality control which aim </w:t>
      </w:r>
      <w:r w:rsidR="00493822" w:rsidRPr="00405F18">
        <w:rPr>
          <w:rFonts w:ascii="Times New Roman" w:hAnsi="Times New Roman" w:cs="Times New Roman"/>
          <w:sz w:val="24"/>
          <w:szCs w:val="24"/>
          <w:lang w:val="en-US"/>
        </w:rPr>
        <w:t>to replace the pool of damaged organelles</w:t>
      </w:r>
      <w:r w:rsidR="007A6C79">
        <w:rPr>
          <w:rFonts w:ascii="Times New Roman" w:hAnsi="Times New Roman" w:cs="Times New Roman"/>
          <w:sz w:val="24"/>
          <w:szCs w:val="24"/>
          <w:lang w:val="en-US"/>
        </w:rPr>
        <w:t xml:space="preserve"> [</w:t>
      </w:r>
      <w:r w:rsidR="00605472" w:rsidRPr="007A6C79">
        <w:rPr>
          <w:rFonts w:ascii="Times New Roman" w:hAnsi="Times New Roman" w:cs="Times New Roman"/>
          <w:sz w:val="24"/>
          <w:szCs w:val="24"/>
          <w:lang w:val="en-US"/>
        </w:rPr>
        <w:fldChar w:fldCharType="begin" w:fldLock="1"/>
      </w:r>
      <w:r w:rsidR="00BC4F67" w:rsidRPr="007A6C79">
        <w:rPr>
          <w:rFonts w:ascii="Times New Roman" w:hAnsi="Times New Roman" w:cs="Times New Roman"/>
          <w:sz w:val="24"/>
          <w:szCs w:val="24"/>
          <w:lang w:val="en-US"/>
        </w:rPr>
        <w:instrText>ADDIN CSL_CITATION {"citationItems":[{"id":"ITEM-1","itemData":{"DOI":"10.1016/j.jmb.2019.08.010","ISSN":"10898638","PMID":"31449799","abstract":"Lysosomal membrane permeabilization or full rupture of lysosomes is a common and severe stress condition that is relevant for degenerative disease, infection and cancer. If damage is limited, cells can repair lysosomes by means of the endosomal sorting complex required for transport (ESCRT) machinery. Presumably, if repair fails, lysosomes are tagged with ubiquitin to initiate clearance by selective macroautophagy, termed lysophagy. Accumulating evidence suggests damage-induced exposure of luminal glycans to the cytosol as the key trigger for ubiquitination. In this review, we discuss recent data on cellular damage sensing, the underlying ubiquitination and autophagy machinery as well as additional layers of regulation such as processing of ubiquitinated proteins by the AAA-ATPase VCP/p97. We conclude with thoughts on how these mechanisms may regulate decision making between lysosome repair and lysophagy.","author":[{"dropping-particle":"","family":"Papadopoulos","given":"Chrisovalantis","non-dropping-particle":"","parse-names":false,"suffix":""},{"dropping-particle":"","family":"Kravic","given":"Bojana","non-dropping-particle":"","parse-names":false,"suffix":""},{"dropping-particle":"","family":"Meyer","given":"Hemmo","non-dropping-particle":"","parse-names":false,"suffix":""}],"container-title":"Journal of Molecular Biology","id":"ITEM-1","issue":"1","issued":{"date-parts":[["2020"]]},"page":"231-239","publisher":"Elsevier Ltd","title":"Repair or Lysophagy: Dealing with Damaged Lysosomes","type":"article-journal","volume":"432"},"uris":["http://www.mendeley.com/documents/?uuid=d689da78-a3ab-417b-bdef-6844089edf21"]}],"mendeley":{"formattedCitation":"&lt;sup&gt;30&lt;/sup&gt;","plainTextFormattedCitation":"30","previouslyFormattedCitation":"&lt;sup&gt;30&lt;/sup&gt;"},"properties":{"noteIndex":0},"schema":"https://github.com/citation-style-language/schema/raw/master/csl-citation.json"}</w:instrText>
      </w:r>
      <w:r w:rsidR="00605472" w:rsidRPr="007A6C79">
        <w:rPr>
          <w:rFonts w:ascii="Times New Roman" w:hAnsi="Times New Roman" w:cs="Times New Roman"/>
          <w:sz w:val="24"/>
          <w:szCs w:val="24"/>
          <w:lang w:val="en-US"/>
        </w:rPr>
        <w:fldChar w:fldCharType="separate"/>
      </w:r>
      <w:r w:rsidR="00D27D77" w:rsidRPr="007A6C79">
        <w:rPr>
          <w:rFonts w:ascii="Times New Roman" w:hAnsi="Times New Roman" w:cs="Times New Roman"/>
          <w:noProof/>
          <w:sz w:val="24"/>
          <w:szCs w:val="24"/>
          <w:lang w:val="en-US"/>
        </w:rPr>
        <w:t>30</w:t>
      </w:r>
      <w:r w:rsidR="00605472"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00605472" w:rsidRPr="00405F18">
        <w:rPr>
          <w:rFonts w:ascii="Times New Roman" w:hAnsi="Times New Roman" w:cs="Times New Roman"/>
          <w:sz w:val="24"/>
          <w:szCs w:val="24"/>
          <w:lang w:val="en-US"/>
        </w:rPr>
        <w:t xml:space="preserve">. Interestingly, upregulation of lysosomal gene expression </w:t>
      </w:r>
      <w:r w:rsidR="00070927" w:rsidRPr="00405F18">
        <w:rPr>
          <w:rFonts w:ascii="Times New Roman" w:hAnsi="Times New Roman" w:cs="Times New Roman"/>
          <w:sz w:val="24"/>
          <w:szCs w:val="24"/>
          <w:lang w:val="en-US"/>
        </w:rPr>
        <w:t>ha</w:t>
      </w:r>
      <w:r w:rsidR="00D00B62" w:rsidRPr="00405F18">
        <w:rPr>
          <w:rFonts w:ascii="Times New Roman" w:hAnsi="Times New Roman" w:cs="Times New Roman"/>
          <w:sz w:val="24"/>
          <w:szCs w:val="24"/>
          <w:lang w:val="en-US"/>
        </w:rPr>
        <w:t>s</w:t>
      </w:r>
      <w:r w:rsidR="00070927" w:rsidRPr="00405F18">
        <w:rPr>
          <w:rFonts w:ascii="Times New Roman" w:hAnsi="Times New Roman" w:cs="Times New Roman"/>
          <w:sz w:val="24"/>
          <w:szCs w:val="24"/>
          <w:lang w:val="en-US"/>
        </w:rPr>
        <w:t xml:space="preserve"> been</w:t>
      </w:r>
      <w:r w:rsidR="00605472" w:rsidRPr="00405F18">
        <w:rPr>
          <w:rFonts w:ascii="Times New Roman" w:hAnsi="Times New Roman" w:cs="Times New Roman"/>
          <w:sz w:val="24"/>
          <w:szCs w:val="24"/>
          <w:lang w:val="en-US"/>
        </w:rPr>
        <w:t xml:space="preserve"> shown in kidneys of obese male mice</w:t>
      </w:r>
      <w:r w:rsidR="007A6C79">
        <w:rPr>
          <w:rFonts w:ascii="Times New Roman" w:hAnsi="Times New Roman" w:cs="Times New Roman"/>
          <w:sz w:val="24"/>
          <w:szCs w:val="24"/>
          <w:lang w:val="en-US"/>
        </w:rPr>
        <w:t xml:space="preserve"> [</w:t>
      </w:r>
      <w:r w:rsidR="00605472" w:rsidRPr="007A6C79">
        <w:rPr>
          <w:rFonts w:ascii="Times New Roman" w:hAnsi="Times New Roman" w:cs="Times New Roman"/>
          <w:sz w:val="24"/>
          <w:szCs w:val="24"/>
          <w:lang w:val="en-US"/>
        </w:rPr>
        <w:fldChar w:fldCharType="begin" w:fldLock="1"/>
      </w:r>
      <w:r w:rsidR="00BC4F67" w:rsidRPr="007A6C79">
        <w:rPr>
          <w:rFonts w:ascii="Times New Roman" w:hAnsi="Times New Roman" w:cs="Times New Roman"/>
          <w:sz w:val="24"/>
          <w:szCs w:val="24"/>
          <w:lang w:val="en-US"/>
        </w:rPr>
        <w:instrText>ADDIN CSL_CITATION {"citationItems":[{"id":"ITEM-1","itemData":{"DOI":"10.1186/s13293-023-00543-6","ISSN":"20426410","abstract":"Background: Sex differences have been observed in the development of obesity-related complications in patients, as well as in animal models. Accumulating evidence suggests that sex-dependent regulation of lipid metabolism contributes to sex-specific physiopathology. Lipid accumulation in the renal tissue has been shown to play a major role in the pathogenesis of obesity-induced kidney injury. Unlike in males, the physiopathology of the disease has been poorly described in females, particularly regarding the lipid metabolism adaptation. Methods: Here, we compared the lipid profile changes in the kidneys of female and male mice fed a high-fat diet (HFD) or low-fat diet (LFD) by lipidomics and correlated them with pathophysiological changes. Results: We showed that HFD-fed female mice were protected from insulin resistance and hepatic steatosis compared to males, despite similar body weight gains. Females were particularly protected from renal dysfunction, oxidative stress, and tubular lipid accumulation. Both HFD-fed male and female mice presented dyslipidemia, but lipidomic analysis highlighted differential renal lipid profiles. While both sexes presented similar neutral lipid accumulation with obesity, only males showed increased levels of ceramides and phospholipids. Remarkably, protection against renal lipotoxicity in females was associated with enhanced renal adiponectin and AMP-activated protein kinase (AMPK) signaling. Circulating adiponectin and its renal receptor levels were significantly lower in obese males, but were maintained in females. This observation correlated with the maintained basal AMPK activity in obese female mice compared to males. Conclusions: Collectively, our findings suggest that female mice are protected from obesity-induced renal dysfunction and lipotoxicity associated with enhanced adiponectin and AMPK signaling compared to males.","author":[{"dropping-particle":"","family":"Juszczak","given":"Florian","non-dropping-particle":"","parse-names":false,"suffix":""},{"dropping-particle":"","family":"Pierre","given":"Louise","non-dropping-particle":"","parse-names":false,"suffix":""},{"dropping-particle":"","family":"Decarnoncle","given":"Morgane","non-dropping-particle":"","parse-names":false,"suffix":""},{"dropping-particle":"","family":"Jadot","given":"Inès","non-dropping-particle":"","parse-names":false,"suffix":""},{"dropping-particle":"","family":"Martin","given":"Blanche","non-dropping-particle":"","parse-names":false,"suffix":""},{"dropping-particle":"","family":"Botton","given":"Olivia","non-dropping-particle":"","parse-names":false,"suffix":""},{"dropping-particle":"","family":"Caron","given":"Nathalie","non-dropping-particle":"","parse-names":false,"suffix":""},{"dropping-particle":"","family":"Dehairs","given":"Jonas","non-dropping-particle":"","parse-names":false,"suffix":""},{"dropping-particle":"V.","family":"Swinnen","given":"Johannes","non-dropping-particle":"","parse-names":false,"suffix":""},{"dropping-particle":"","family":"Declèves","given":"Anne Emilie","non-dropping-particle":"","parse-names":false,"suffix":""}],"container-title":"Biology of Sex Differences","id":"ITEM-1","issue":"1","issued":{"date-parts":[["2023"]]},"page":"1-18","publisher":"BioMed Central","title":"Sex differences in obesity-induced renal lipid accumulation revealed by lipidomics: a role of adiponectin/AMPK axis","type":"article-journal","volume":"14"},"uris":["http://www.mendeley.com/documents/?uuid=5d2fc9a0-dc2c-4c63-9bad-f98b59aa7e76"]}],"mendeley":{"formattedCitation":"&lt;sup&gt;18&lt;/sup&gt;","plainTextFormattedCitation":"18","previouslyFormattedCitation":"&lt;sup&gt;18&lt;/sup&gt;"},"properties":{"noteIndex":0},"schema":"https://github.com/citation-style-language/schema/raw/master/csl-citation.json"}</w:instrText>
      </w:r>
      <w:r w:rsidR="00605472" w:rsidRPr="007A6C79">
        <w:rPr>
          <w:rFonts w:ascii="Times New Roman" w:hAnsi="Times New Roman" w:cs="Times New Roman"/>
          <w:sz w:val="24"/>
          <w:szCs w:val="24"/>
          <w:lang w:val="en-US"/>
        </w:rPr>
        <w:fldChar w:fldCharType="separate"/>
      </w:r>
      <w:r w:rsidR="00D27D77" w:rsidRPr="007A6C79">
        <w:rPr>
          <w:rFonts w:ascii="Times New Roman" w:hAnsi="Times New Roman" w:cs="Times New Roman"/>
          <w:noProof/>
          <w:sz w:val="24"/>
          <w:szCs w:val="24"/>
          <w:lang w:val="en-US"/>
        </w:rPr>
        <w:t>18</w:t>
      </w:r>
      <w:r w:rsidR="00605472"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00605472" w:rsidRPr="00405F18">
        <w:rPr>
          <w:rFonts w:ascii="Times New Roman" w:hAnsi="Times New Roman" w:cs="Times New Roman"/>
          <w:sz w:val="24"/>
          <w:szCs w:val="24"/>
          <w:lang w:val="en-US"/>
        </w:rPr>
        <w:t xml:space="preserve">. We were thus interested </w:t>
      </w:r>
      <w:proofErr w:type="gramStart"/>
      <w:r w:rsidR="00605472" w:rsidRPr="00405F18">
        <w:rPr>
          <w:rFonts w:ascii="Times New Roman" w:hAnsi="Times New Roman" w:cs="Times New Roman"/>
          <w:sz w:val="24"/>
          <w:szCs w:val="24"/>
          <w:lang w:val="en-US"/>
        </w:rPr>
        <w:t>to test</w:t>
      </w:r>
      <w:proofErr w:type="gramEnd"/>
      <w:r w:rsidR="00605472" w:rsidRPr="00405F18">
        <w:rPr>
          <w:rFonts w:ascii="Times New Roman" w:hAnsi="Times New Roman" w:cs="Times New Roman"/>
          <w:sz w:val="24"/>
          <w:szCs w:val="24"/>
          <w:lang w:val="en-US"/>
        </w:rPr>
        <w:t xml:space="preserve"> whether it occurred following lipid stress in </w:t>
      </w:r>
      <w:proofErr w:type="spellStart"/>
      <w:r w:rsidR="00CC5768">
        <w:rPr>
          <w:rFonts w:ascii="Times New Roman" w:hAnsi="Times New Roman" w:cs="Times New Roman"/>
          <w:sz w:val="24"/>
          <w:szCs w:val="24"/>
          <w:lang w:val="en-US"/>
        </w:rPr>
        <w:t>M</w:t>
      </w:r>
      <w:r w:rsidR="00605472"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00605472" w:rsidRPr="00405F18">
        <w:rPr>
          <w:rFonts w:ascii="Times New Roman" w:hAnsi="Times New Roman" w:cs="Times New Roman"/>
          <w:sz w:val="24"/>
          <w:szCs w:val="24"/>
          <w:lang w:val="en-US"/>
        </w:rPr>
        <w:t xml:space="preserve"> as well as to identify the molecular actors</w:t>
      </w:r>
      <w:r w:rsidR="002B6085" w:rsidRPr="00405F18">
        <w:rPr>
          <w:rFonts w:ascii="Times New Roman" w:hAnsi="Times New Roman" w:cs="Times New Roman"/>
          <w:sz w:val="24"/>
          <w:szCs w:val="24"/>
          <w:lang w:val="en-US"/>
        </w:rPr>
        <w:t xml:space="preserve"> involved</w:t>
      </w:r>
      <w:r w:rsidR="00605472" w:rsidRPr="00405F18">
        <w:rPr>
          <w:rFonts w:ascii="Times New Roman" w:hAnsi="Times New Roman" w:cs="Times New Roman"/>
          <w:sz w:val="24"/>
          <w:szCs w:val="24"/>
          <w:lang w:val="en-US"/>
        </w:rPr>
        <w:t>. To do so, the subcellular localization of T</w:t>
      </w:r>
      <w:r w:rsidR="00F95C44">
        <w:rPr>
          <w:rFonts w:ascii="Times New Roman" w:hAnsi="Times New Roman" w:cs="Times New Roman"/>
          <w:sz w:val="24"/>
          <w:szCs w:val="24"/>
          <w:lang w:val="en-US"/>
        </w:rPr>
        <w:t>FEB (t</w:t>
      </w:r>
      <w:r w:rsidR="00605472" w:rsidRPr="00405F18">
        <w:rPr>
          <w:rFonts w:ascii="Times New Roman" w:hAnsi="Times New Roman" w:cs="Times New Roman"/>
          <w:sz w:val="24"/>
          <w:szCs w:val="24"/>
          <w:lang w:val="en-US"/>
        </w:rPr>
        <w:t xml:space="preserve">ranscription </w:t>
      </w:r>
      <w:r w:rsidR="00F95C44">
        <w:rPr>
          <w:rFonts w:ascii="Times New Roman" w:hAnsi="Times New Roman" w:cs="Times New Roman"/>
          <w:sz w:val="24"/>
          <w:szCs w:val="24"/>
          <w:lang w:val="en-US"/>
        </w:rPr>
        <w:t>f</w:t>
      </w:r>
      <w:r w:rsidR="00605472" w:rsidRPr="00405F18">
        <w:rPr>
          <w:rFonts w:ascii="Times New Roman" w:hAnsi="Times New Roman" w:cs="Times New Roman"/>
          <w:sz w:val="24"/>
          <w:szCs w:val="24"/>
          <w:lang w:val="en-US"/>
        </w:rPr>
        <w:t>actor EB)</w:t>
      </w:r>
      <w:r w:rsidR="00763345" w:rsidRPr="00405F18">
        <w:rPr>
          <w:rFonts w:ascii="Times New Roman" w:hAnsi="Times New Roman" w:cs="Times New Roman"/>
          <w:sz w:val="24"/>
          <w:szCs w:val="24"/>
          <w:lang w:val="en-US"/>
        </w:rPr>
        <w:t>,</w:t>
      </w:r>
      <w:r w:rsidR="00605472" w:rsidRPr="00405F18">
        <w:rPr>
          <w:rFonts w:ascii="Times New Roman" w:hAnsi="Times New Roman" w:cs="Times New Roman"/>
          <w:sz w:val="24"/>
          <w:szCs w:val="24"/>
          <w:lang w:val="en-US"/>
        </w:rPr>
        <w:t xml:space="preserve"> which regulates the expression of genes encoding the </w:t>
      </w:r>
      <w:r w:rsidR="00F95C44">
        <w:rPr>
          <w:rFonts w:ascii="Times New Roman" w:hAnsi="Times New Roman" w:cs="Times New Roman"/>
          <w:sz w:val="24"/>
          <w:szCs w:val="24"/>
          <w:lang w:val="en-US"/>
        </w:rPr>
        <w:t>c</w:t>
      </w:r>
      <w:r w:rsidR="00605472" w:rsidRPr="00405F18">
        <w:rPr>
          <w:rFonts w:ascii="Times New Roman" w:hAnsi="Times New Roman" w:cs="Times New Roman"/>
          <w:sz w:val="24"/>
          <w:szCs w:val="24"/>
          <w:lang w:val="en-US"/>
        </w:rPr>
        <w:t xml:space="preserve">oordinated </w:t>
      </w:r>
      <w:r w:rsidR="00F95C44">
        <w:rPr>
          <w:rFonts w:ascii="Times New Roman" w:hAnsi="Times New Roman" w:cs="Times New Roman"/>
          <w:sz w:val="24"/>
          <w:szCs w:val="24"/>
          <w:lang w:val="en-US"/>
        </w:rPr>
        <w:t>l</w:t>
      </w:r>
      <w:r w:rsidR="00605472" w:rsidRPr="00405F18">
        <w:rPr>
          <w:rFonts w:ascii="Times New Roman" w:hAnsi="Times New Roman" w:cs="Times New Roman"/>
          <w:sz w:val="24"/>
          <w:szCs w:val="24"/>
          <w:lang w:val="en-US"/>
        </w:rPr>
        <w:t xml:space="preserve">ysosomal </w:t>
      </w:r>
      <w:r w:rsidR="00F95C44">
        <w:rPr>
          <w:rFonts w:ascii="Times New Roman" w:hAnsi="Times New Roman" w:cs="Times New Roman"/>
          <w:sz w:val="24"/>
          <w:szCs w:val="24"/>
          <w:lang w:val="en-US"/>
        </w:rPr>
        <w:t>e</w:t>
      </w:r>
      <w:r w:rsidR="00605472" w:rsidRPr="00405F18">
        <w:rPr>
          <w:rFonts w:ascii="Times New Roman" w:hAnsi="Times New Roman" w:cs="Times New Roman"/>
          <w:sz w:val="24"/>
          <w:szCs w:val="24"/>
          <w:lang w:val="en-US"/>
        </w:rPr>
        <w:t xml:space="preserve">xpression and </w:t>
      </w:r>
      <w:r w:rsidR="00F95C44">
        <w:rPr>
          <w:rFonts w:ascii="Times New Roman" w:hAnsi="Times New Roman" w:cs="Times New Roman"/>
          <w:sz w:val="24"/>
          <w:szCs w:val="24"/>
          <w:lang w:val="en-US"/>
        </w:rPr>
        <w:t>r</w:t>
      </w:r>
      <w:r w:rsidR="00605472" w:rsidRPr="00405F18">
        <w:rPr>
          <w:rFonts w:ascii="Times New Roman" w:hAnsi="Times New Roman" w:cs="Times New Roman"/>
          <w:sz w:val="24"/>
          <w:szCs w:val="24"/>
          <w:lang w:val="en-US"/>
        </w:rPr>
        <w:t>egulation</w:t>
      </w:r>
      <w:r w:rsidR="00F95C44">
        <w:rPr>
          <w:rFonts w:ascii="Times New Roman" w:hAnsi="Times New Roman" w:cs="Times New Roman"/>
          <w:sz w:val="24"/>
          <w:szCs w:val="24"/>
          <w:lang w:val="en-US"/>
        </w:rPr>
        <w:t>/CLEAR</w:t>
      </w:r>
      <w:r w:rsidR="00605472" w:rsidRPr="00405F18">
        <w:rPr>
          <w:rFonts w:ascii="Times New Roman" w:hAnsi="Times New Roman" w:cs="Times New Roman"/>
          <w:sz w:val="24"/>
          <w:szCs w:val="24"/>
          <w:lang w:val="en-US"/>
        </w:rPr>
        <w:t xml:space="preserve"> network</w:t>
      </w:r>
      <w:r w:rsidR="007A6C79">
        <w:rPr>
          <w:rFonts w:ascii="Times New Roman" w:hAnsi="Times New Roman" w:cs="Times New Roman"/>
          <w:sz w:val="24"/>
          <w:szCs w:val="24"/>
          <w:lang w:val="en-US"/>
        </w:rPr>
        <w:t xml:space="preserve"> [</w:t>
      </w:r>
      <w:r w:rsidR="00605472" w:rsidRPr="007A6C79">
        <w:rPr>
          <w:rFonts w:ascii="Times New Roman" w:hAnsi="Times New Roman" w:cs="Times New Roman"/>
          <w:sz w:val="24"/>
          <w:szCs w:val="24"/>
          <w:lang w:val="en-US"/>
        </w:rPr>
        <w:fldChar w:fldCharType="begin" w:fldLock="1"/>
      </w:r>
      <w:r w:rsidR="00CE6742" w:rsidRPr="007A6C79">
        <w:rPr>
          <w:rFonts w:ascii="Times New Roman" w:hAnsi="Times New Roman" w:cs="Times New Roman"/>
          <w:sz w:val="24"/>
          <w:szCs w:val="24"/>
          <w:lang w:val="en-US"/>
        </w:rPr>
        <w:instrText>ADDIN CSL_CITATION {"citationItems":[{"id":"ITEM-1","itemData":{"DOI":"10.1126/science.1204592","ISSN":"00368075","PMID":"21617040","abstract":"Autophagy is a cellular catabolic process that relies on the cooperation of autophagosomes and lysosomes. During starvation, the cell expands both compartments to enhance degradation processes. We found that starvation activates a transcriptional program that controls major steps of the autophagic pathway, including autophagosome formation, autophagosome-lysosome fusion, and substrate degradation. The transcription factor EB (TFEB), a master gene for lysosomal biogenesis, coordinated this program by driving expression of autophagy and lysosomal genes. Nuclear localization and activity of TFEB were regulated by serine phosphorylation mediated by the extracellular signal-regulated kinase 2, whose activity was tuned by the levels of extracellular nutrients. Thus, a mitogen-activated protein kinase-dependent mechanism regulates autophagy by controlling the biogenesis and partnership of two distinct cellular organelles.","author":[{"dropping-particle":"","family":"Settembre","given":"Carmine","non-dropping-particle":"","parse-names":false,"suffix":""},{"dropping-particle":"","family":"Malta","given":"Chiara","non-dropping-particle":"Di","parse-names":false,"suffix":""},{"dropping-particle":"","family":"Polito","given":"Vinicia Assunta","non-dropping-particle":"","parse-names":false,"suffix":""},{"dropping-particle":"","family":"Arencibia","given":"Moises Garcia","non-dropping-particle":"","parse-names":false,"suffix":""},{"dropping-particle":"","family":"Vetrini","given":"Francesco","non-dropping-particle":"","parse-names":false,"suffix":""},{"dropping-particle":"","family":"Erdin","given":"Serkan","non-dropping-particle":"","parse-names":false,"suffix":""},{"dropping-particle":"","family":"Erdin","given":"Serpil Uckac","non-dropping-particle":"","parse-names":false,"suffix":""},{"dropping-particle":"","family":"Huynh","given":"Tuong","non-dropping-particle":"","parse-names":false,"suffix":""},{"dropping-particle":"","family":"Medina","given":"Diego","non-dropping-particle":"","parse-names":false,"suffix":""},{"dropping-particle":"","family":"Colella","given":"Pasqualina","non-dropping-particle":"","parse-names":false,"suffix":""},{"dropping-particle":"","family":"Sardiello","given":"Marco","non-dropping-particle":"","parse-names":false,"suffix":""},{"dropping-particle":"","family":"Rubinsztein","given":"David C.","non-dropping-particle":"","parse-names":false,"suffix":""},{"dropping-particle":"","family":"Ballabio","given":"Andrea","non-dropping-particle":"","parse-names":false,"suffix":""}],"container-title":"Science","id":"ITEM-1","issue":"6036","issued":{"date-parts":[["2011"]]},"page":"1429-1433","title":"TFEB links autophagy to lysosomal biogenesis","type":"article-journal","volume":"332"},"uris":["http://www.mendeley.com/documents/?uuid=78c27660-bdaf-4ca4-a3c2-9aecf0482315"]}],"mendeley":{"formattedCitation":"&lt;sup&gt;50&lt;/sup&gt;","plainTextFormattedCitation":"50","previouslyFormattedCitation":"&lt;sup&gt;50&lt;/sup&gt;"},"properties":{"noteIndex":0},"schema":"https://github.com/citation-style-language/schema/raw/master/csl-citation.json"}</w:instrText>
      </w:r>
      <w:r w:rsidR="00605472" w:rsidRPr="007A6C79">
        <w:rPr>
          <w:rFonts w:ascii="Times New Roman" w:hAnsi="Times New Roman" w:cs="Times New Roman"/>
          <w:sz w:val="24"/>
          <w:szCs w:val="24"/>
          <w:lang w:val="en-US"/>
        </w:rPr>
        <w:fldChar w:fldCharType="separate"/>
      </w:r>
      <w:r w:rsidR="00AD5D76" w:rsidRPr="007A6C79">
        <w:rPr>
          <w:rFonts w:ascii="Times New Roman" w:hAnsi="Times New Roman" w:cs="Times New Roman"/>
          <w:noProof/>
          <w:sz w:val="24"/>
          <w:szCs w:val="24"/>
          <w:lang w:val="en-US"/>
        </w:rPr>
        <w:t>50</w:t>
      </w:r>
      <w:r w:rsidR="00605472"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00763345" w:rsidRPr="00405F18">
        <w:rPr>
          <w:rFonts w:ascii="Times New Roman" w:hAnsi="Times New Roman" w:cs="Times New Roman"/>
          <w:sz w:val="24"/>
          <w:szCs w:val="24"/>
          <w:lang w:val="en-US"/>
        </w:rPr>
        <w:t>,</w:t>
      </w:r>
      <w:r w:rsidR="00605472" w:rsidRPr="00405F18">
        <w:rPr>
          <w:rFonts w:ascii="Times New Roman" w:hAnsi="Times New Roman" w:cs="Times New Roman"/>
          <w:sz w:val="24"/>
          <w:szCs w:val="24"/>
          <w:lang w:val="en-US"/>
        </w:rPr>
        <w:t xml:space="preserve"> was assessed in PA-treated </w:t>
      </w:r>
      <w:proofErr w:type="spellStart"/>
      <w:r w:rsidR="00CC5768">
        <w:rPr>
          <w:rFonts w:ascii="Times New Roman" w:hAnsi="Times New Roman" w:cs="Times New Roman"/>
          <w:sz w:val="24"/>
          <w:szCs w:val="24"/>
          <w:lang w:val="en-US"/>
        </w:rPr>
        <w:t>M</w:t>
      </w:r>
      <w:r w:rsidR="00605472"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00605472" w:rsidRPr="00405F18">
        <w:rPr>
          <w:rFonts w:ascii="Times New Roman" w:hAnsi="Times New Roman" w:cs="Times New Roman"/>
          <w:sz w:val="24"/>
          <w:szCs w:val="24"/>
          <w:lang w:val="en-US"/>
        </w:rPr>
        <w:t xml:space="preserve">. TFEB staining showed nuclear </w:t>
      </w:r>
      <w:proofErr w:type="gramStart"/>
      <w:r w:rsidR="00605472" w:rsidRPr="00405F18">
        <w:rPr>
          <w:rFonts w:ascii="Times New Roman" w:hAnsi="Times New Roman" w:cs="Times New Roman"/>
          <w:sz w:val="24"/>
          <w:szCs w:val="24"/>
          <w:lang w:val="en-US"/>
        </w:rPr>
        <w:t>signal</w:t>
      </w:r>
      <w:proofErr w:type="gramEnd"/>
      <w:r w:rsidR="00605472" w:rsidRPr="00405F18">
        <w:rPr>
          <w:rFonts w:ascii="Times New Roman" w:hAnsi="Times New Roman" w:cs="Times New Roman"/>
          <w:sz w:val="24"/>
          <w:szCs w:val="24"/>
          <w:lang w:val="en-US"/>
        </w:rPr>
        <w:t xml:space="preserve"> in PA-treated cells for 6 or 24 h while it display</w:t>
      </w:r>
      <w:r w:rsidR="00D00B62" w:rsidRPr="00405F18">
        <w:rPr>
          <w:rFonts w:ascii="Times New Roman" w:hAnsi="Times New Roman" w:cs="Times New Roman"/>
          <w:sz w:val="24"/>
          <w:szCs w:val="24"/>
          <w:lang w:val="en-US"/>
        </w:rPr>
        <w:t xml:space="preserve">ed </w:t>
      </w:r>
      <w:r w:rsidR="00605472" w:rsidRPr="00405F18">
        <w:rPr>
          <w:rFonts w:ascii="Times New Roman" w:hAnsi="Times New Roman" w:cs="Times New Roman"/>
          <w:sz w:val="24"/>
          <w:szCs w:val="24"/>
          <w:lang w:val="en-US"/>
        </w:rPr>
        <w:t xml:space="preserve">a cytosolic localization </w:t>
      </w:r>
      <w:r w:rsidR="00605472" w:rsidRPr="00405F18">
        <w:rPr>
          <w:rFonts w:ascii="Times New Roman" w:hAnsi="Times New Roman" w:cs="Times New Roman"/>
          <w:sz w:val="24"/>
          <w:szCs w:val="24"/>
          <w:lang w:val="en-US"/>
        </w:rPr>
        <w:lastRenderedPageBreak/>
        <w:t xml:space="preserve">in BSA-treated cells (Figure </w:t>
      </w:r>
      <w:r w:rsidR="00D97E4B" w:rsidRPr="00405F18">
        <w:rPr>
          <w:rFonts w:ascii="Times New Roman" w:hAnsi="Times New Roman" w:cs="Times New Roman"/>
          <w:sz w:val="24"/>
          <w:szCs w:val="24"/>
          <w:lang w:val="en-US"/>
        </w:rPr>
        <w:t>8</w:t>
      </w:r>
      <w:proofErr w:type="gramStart"/>
      <w:r w:rsidR="00D97E4B" w:rsidRPr="00405F18">
        <w:rPr>
          <w:rFonts w:ascii="Times New Roman" w:hAnsi="Times New Roman" w:cs="Times New Roman"/>
          <w:sz w:val="24"/>
          <w:szCs w:val="24"/>
          <w:lang w:val="en-US"/>
        </w:rPr>
        <w:t>A</w:t>
      </w:r>
      <w:r w:rsidR="00605472" w:rsidRPr="00405F18">
        <w:rPr>
          <w:rFonts w:ascii="Times New Roman" w:hAnsi="Times New Roman" w:cs="Times New Roman"/>
          <w:sz w:val="24"/>
          <w:szCs w:val="24"/>
          <w:lang w:val="en-US"/>
        </w:rPr>
        <w:t>,</w:t>
      </w:r>
      <w:r w:rsidR="00D97E4B" w:rsidRPr="00405F18">
        <w:rPr>
          <w:rFonts w:ascii="Times New Roman" w:hAnsi="Times New Roman" w:cs="Times New Roman"/>
          <w:sz w:val="24"/>
          <w:szCs w:val="24"/>
          <w:lang w:val="en-US"/>
        </w:rPr>
        <w:t>B</w:t>
      </w:r>
      <w:proofErr w:type="gramEnd"/>
      <w:r w:rsidR="00605472" w:rsidRPr="00405F18">
        <w:rPr>
          <w:rFonts w:ascii="Times New Roman" w:hAnsi="Times New Roman" w:cs="Times New Roman"/>
          <w:sz w:val="24"/>
          <w:szCs w:val="24"/>
          <w:lang w:val="en-US"/>
        </w:rPr>
        <w:t xml:space="preserve">). </w:t>
      </w:r>
      <w:r w:rsidR="00070927" w:rsidRPr="00405F18">
        <w:rPr>
          <w:rFonts w:ascii="Times New Roman" w:hAnsi="Times New Roman" w:cs="Times New Roman"/>
          <w:sz w:val="24"/>
          <w:szCs w:val="24"/>
          <w:lang w:val="en-US"/>
        </w:rPr>
        <w:t xml:space="preserve">PA-treated cells after 24 h showed significant upregulation of some </w:t>
      </w:r>
      <w:r w:rsidR="00605472" w:rsidRPr="00405F18">
        <w:rPr>
          <w:rFonts w:ascii="Times New Roman" w:hAnsi="Times New Roman" w:cs="Times New Roman"/>
          <w:sz w:val="24"/>
          <w:szCs w:val="24"/>
          <w:lang w:val="en-US"/>
        </w:rPr>
        <w:t xml:space="preserve">TFEB-targeted genes </w:t>
      </w:r>
      <w:r w:rsidR="00070927" w:rsidRPr="00405F18">
        <w:rPr>
          <w:rFonts w:ascii="Times New Roman" w:hAnsi="Times New Roman" w:cs="Times New Roman"/>
          <w:sz w:val="24"/>
          <w:szCs w:val="24"/>
          <w:lang w:val="en-US"/>
        </w:rPr>
        <w:t xml:space="preserve">including </w:t>
      </w:r>
      <w:proofErr w:type="spellStart"/>
      <w:r w:rsidR="000B592D">
        <w:rPr>
          <w:rFonts w:ascii="Times New Roman" w:hAnsi="Times New Roman" w:cs="Times New Roman"/>
          <w:i/>
          <w:iCs/>
          <w:sz w:val="24"/>
          <w:szCs w:val="24"/>
          <w:lang w:val="en-US"/>
        </w:rPr>
        <w:t>Ctsd</w:t>
      </w:r>
      <w:proofErr w:type="spellEnd"/>
      <w:r w:rsidR="000B592D">
        <w:rPr>
          <w:rFonts w:ascii="Times New Roman" w:hAnsi="Times New Roman" w:cs="Times New Roman"/>
          <w:sz w:val="24"/>
          <w:szCs w:val="24"/>
          <w:lang w:val="en-US"/>
        </w:rPr>
        <w:t xml:space="preserve"> (</w:t>
      </w:r>
      <w:r w:rsidR="0073648F" w:rsidRPr="00C732B8">
        <w:rPr>
          <w:rFonts w:ascii="Times New Roman" w:hAnsi="Times New Roman" w:cs="Times New Roman"/>
          <w:sz w:val="24"/>
          <w:szCs w:val="24"/>
          <w:lang w:val="en-US"/>
        </w:rPr>
        <w:t>cathepsin D</w:t>
      </w:r>
      <w:r w:rsidR="000B592D">
        <w:rPr>
          <w:rFonts w:ascii="Times New Roman" w:hAnsi="Times New Roman" w:cs="Times New Roman"/>
          <w:sz w:val="24"/>
          <w:szCs w:val="24"/>
          <w:lang w:val="en-US"/>
        </w:rPr>
        <w:t>)</w:t>
      </w:r>
      <w:r w:rsidR="0073648F" w:rsidRPr="00405F18">
        <w:rPr>
          <w:rFonts w:ascii="Times New Roman" w:hAnsi="Times New Roman" w:cs="Times New Roman"/>
          <w:sz w:val="24"/>
          <w:szCs w:val="24"/>
          <w:lang w:val="en-US"/>
        </w:rPr>
        <w:t>,</w:t>
      </w:r>
      <w:r w:rsidR="000B592D">
        <w:rPr>
          <w:rFonts w:ascii="Times New Roman" w:hAnsi="Times New Roman" w:cs="Times New Roman"/>
          <w:sz w:val="24"/>
          <w:szCs w:val="24"/>
          <w:lang w:val="en-US"/>
        </w:rPr>
        <w:t xml:space="preserve"> </w:t>
      </w:r>
      <w:r w:rsidR="000B592D">
        <w:rPr>
          <w:rFonts w:ascii="Times New Roman" w:hAnsi="Times New Roman" w:cs="Times New Roman"/>
          <w:i/>
          <w:iCs/>
          <w:sz w:val="24"/>
          <w:szCs w:val="24"/>
          <w:lang w:val="en-US"/>
        </w:rPr>
        <w:t>Vps11</w:t>
      </w:r>
      <w:r w:rsidR="0073648F" w:rsidRPr="00405F18">
        <w:rPr>
          <w:rFonts w:ascii="Times New Roman" w:hAnsi="Times New Roman" w:cs="Times New Roman"/>
          <w:sz w:val="24"/>
          <w:szCs w:val="24"/>
          <w:lang w:val="en-US"/>
        </w:rPr>
        <w:t xml:space="preserve"> </w:t>
      </w:r>
      <w:r w:rsidR="000B592D">
        <w:rPr>
          <w:rFonts w:ascii="Times New Roman" w:hAnsi="Times New Roman" w:cs="Times New Roman"/>
          <w:sz w:val="24"/>
          <w:szCs w:val="24"/>
          <w:lang w:val="en-US"/>
        </w:rPr>
        <w:t>(VPS11 core subunit of CORVET and HOPS complexes</w:t>
      </w:r>
      <w:r w:rsidR="00E6796A" w:rsidRPr="00405F18">
        <w:rPr>
          <w:rFonts w:ascii="Times New Roman" w:hAnsi="Times New Roman" w:cs="Times New Roman"/>
          <w:sz w:val="24"/>
          <w:szCs w:val="24"/>
          <w:lang w:val="en-US"/>
        </w:rPr>
        <w:t xml:space="preserve">) and </w:t>
      </w:r>
      <w:r w:rsidR="00E6796A" w:rsidRPr="00405F18">
        <w:rPr>
          <w:rFonts w:ascii="Times New Roman" w:hAnsi="Times New Roman" w:cs="Times New Roman"/>
          <w:i/>
          <w:iCs/>
          <w:sz w:val="24"/>
          <w:szCs w:val="24"/>
          <w:lang w:val="en-US"/>
        </w:rPr>
        <w:t>Vps</w:t>
      </w:r>
      <w:r w:rsidR="00D27491" w:rsidRPr="00405F18">
        <w:rPr>
          <w:rFonts w:ascii="Times New Roman" w:hAnsi="Times New Roman" w:cs="Times New Roman"/>
          <w:i/>
          <w:iCs/>
          <w:sz w:val="24"/>
          <w:szCs w:val="24"/>
          <w:lang w:val="en-US"/>
        </w:rPr>
        <w:t>1</w:t>
      </w:r>
      <w:r w:rsidR="00E6796A" w:rsidRPr="00405F18">
        <w:rPr>
          <w:rFonts w:ascii="Times New Roman" w:hAnsi="Times New Roman" w:cs="Times New Roman"/>
          <w:i/>
          <w:iCs/>
          <w:sz w:val="24"/>
          <w:szCs w:val="24"/>
          <w:lang w:val="en-US"/>
        </w:rPr>
        <w:t>8</w:t>
      </w:r>
      <w:r w:rsidR="00605472" w:rsidRPr="00405F18">
        <w:rPr>
          <w:rFonts w:ascii="Times New Roman" w:hAnsi="Times New Roman" w:cs="Times New Roman"/>
          <w:sz w:val="24"/>
          <w:szCs w:val="24"/>
          <w:lang w:val="en-US"/>
        </w:rPr>
        <w:t xml:space="preserve"> (Figure </w:t>
      </w:r>
      <w:r w:rsidR="00D97E4B" w:rsidRPr="00405F18">
        <w:rPr>
          <w:rFonts w:ascii="Times New Roman" w:hAnsi="Times New Roman" w:cs="Times New Roman"/>
          <w:sz w:val="24"/>
          <w:szCs w:val="24"/>
          <w:lang w:val="en-US"/>
        </w:rPr>
        <w:t>8C</w:t>
      </w:r>
      <w:r w:rsidR="00605472" w:rsidRPr="00405F18">
        <w:rPr>
          <w:rFonts w:ascii="Times New Roman" w:hAnsi="Times New Roman" w:cs="Times New Roman"/>
          <w:sz w:val="24"/>
          <w:szCs w:val="24"/>
          <w:lang w:val="en-US"/>
        </w:rPr>
        <w:t>, 6 h data shown in Figure S</w:t>
      </w:r>
      <w:r w:rsidR="00522E3D" w:rsidRPr="00405F18">
        <w:rPr>
          <w:rFonts w:ascii="Times New Roman" w:hAnsi="Times New Roman" w:cs="Times New Roman"/>
          <w:sz w:val="24"/>
          <w:szCs w:val="24"/>
          <w:lang w:val="en-US"/>
        </w:rPr>
        <w:t>7</w:t>
      </w:r>
      <w:r w:rsidR="007E2290" w:rsidRPr="00405F18">
        <w:rPr>
          <w:rFonts w:ascii="Times New Roman" w:hAnsi="Times New Roman" w:cs="Times New Roman"/>
          <w:sz w:val="24"/>
          <w:szCs w:val="24"/>
          <w:lang w:val="en-US"/>
        </w:rPr>
        <w:t>A</w:t>
      </w:r>
      <w:r w:rsidR="00605472" w:rsidRPr="00405F18">
        <w:rPr>
          <w:rFonts w:ascii="Times New Roman" w:hAnsi="Times New Roman" w:cs="Times New Roman"/>
          <w:sz w:val="24"/>
          <w:szCs w:val="24"/>
          <w:lang w:val="en-US"/>
        </w:rPr>
        <w:t>). It correlate</w:t>
      </w:r>
      <w:r w:rsidR="00D00B62" w:rsidRPr="00405F18">
        <w:rPr>
          <w:rFonts w:ascii="Times New Roman" w:hAnsi="Times New Roman" w:cs="Times New Roman"/>
          <w:sz w:val="24"/>
          <w:szCs w:val="24"/>
          <w:lang w:val="en-US"/>
        </w:rPr>
        <w:t>d</w:t>
      </w:r>
      <w:r w:rsidR="00605472" w:rsidRPr="00405F18">
        <w:rPr>
          <w:rFonts w:ascii="Times New Roman" w:hAnsi="Times New Roman" w:cs="Times New Roman"/>
          <w:sz w:val="24"/>
          <w:szCs w:val="24"/>
          <w:lang w:val="en-US"/>
        </w:rPr>
        <w:t xml:space="preserve"> with the stronger fluorescent signal for LAMP1 observed in PA-treated cells after 24 h (</w:t>
      </w:r>
      <w:r w:rsidR="00B678C0" w:rsidRPr="00405F18">
        <w:rPr>
          <w:rFonts w:ascii="Times New Roman" w:hAnsi="Times New Roman" w:cs="Times New Roman"/>
          <w:sz w:val="24"/>
          <w:szCs w:val="24"/>
          <w:lang w:val="en-US"/>
        </w:rPr>
        <w:t xml:space="preserve">Figure 8D, </w:t>
      </w:r>
      <w:r w:rsidR="00605472" w:rsidRPr="00405F18">
        <w:rPr>
          <w:rFonts w:ascii="Times New Roman" w:hAnsi="Times New Roman" w:cs="Times New Roman"/>
          <w:sz w:val="24"/>
          <w:szCs w:val="24"/>
          <w:lang w:val="en-US"/>
        </w:rPr>
        <w:t>micrographs in Figure 5</w:t>
      </w:r>
      <w:r w:rsidR="00871000" w:rsidRPr="00405F18">
        <w:rPr>
          <w:rFonts w:ascii="Times New Roman" w:hAnsi="Times New Roman" w:cs="Times New Roman"/>
          <w:sz w:val="24"/>
          <w:szCs w:val="24"/>
          <w:lang w:val="en-US"/>
        </w:rPr>
        <w:t>C</w:t>
      </w:r>
      <w:r w:rsidR="00605472" w:rsidRPr="00405F18">
        <w:rPr>
          <w:rFonts w:ascii="Times New Roman" w:hAnsi="Times New Roman" w:cs="Times New Roman"/>
          <w:sz w:val="24"/>
          <w:szCs w:val="24"/>
          <w:lang w:val="en-US"/>
        </w:rPr>
        <w:t xml:space="preserve">). </w:t>
      </w:r>
      <w:r w:rsidR="007E6D2C" w:rsidRPr="00405F18">
        <w:rPr>
          <w:rFonts w:ascii="Times New Roman" w:hAnsi="Times New Roman" w:cs="Times New Roman"/>
          <w:sz w:val="24"/>
          <w:szCs w:val="24"/>
          <w:lang w:val="en-US"/>
        </w:rPr>
        <w:t>Interestingly,</w:t>
      </w:r>
      <w:r w:rsidR="00D77D96" w:rsidRPr="00405F18">
        <w:rPr>
          <w:rFonts w:ascii="Times New Roman" w:hAnsi="Times New Roman" w:cs="Times New Roman"/>
          <w:sz w:val="24"/>
          <w:szCs w:val="24"/>
          <w:lang w:val="en-US"/>
        </w:rPr>
        <w:t xml:space="preserve"> </w:t>
      </w:r>
      <w:r w:rsidR="00E27883" w:rsidRPr="00405F18">
        <w:rPr>
          <w:rFonts w:ascii="Times New Roman" w:hAnsi="Times New Roman" w:cs="Times New Roman"/>
          <w:sz w:val="24"/>
          <w:szCs w:val="24"/>
          <w:lang w:val="en-US"/>
        </w:rPr>
        <w:t xml:space="preserve">TFEB </w:t>
      </w:r>
      <w:r w:rsidR="005F116F" w:rsidRPr="00405F18">
        <w:rPr>
          <w:rFonts w:ascii="Times New Roman" w:hAnsi="Times New Roman" w:cs="Times New Roman"/>
          <w:sz w:val="24"/>
          <w:szCs w:val="24"/>
          <w:lang w:val="en-US"/>
        </w:rPr>
        <w:t>nuclear</w:t>
      </w:r>
      <w:r w:rsidR="00E27883" w:rsidRPr="00405F18">
        <w:rPr>
          <w:rFonts w:ascii="Times New Roman" w:hAnsi="Times New Roman" w:cs="Times New Roman"/>
          <w:sz w:val="24"/>
          <w:szCs w:val="24"/>
          <w:lang w:val="en-US"/>
        </w:rPr>
        <w:t xml:space="preserve"> localization and </w:t>
      </w:r>
      <w:r w:rsidR="00502E7F" w:rsidRPr="00405F18">
        <w:rPr>
          <w:rFonts w:ascii="Times New Roman" w:hAnsi="Times New Roman" w:cs="Times New Roman"/>
          <w:sz w:val="24"/>
          <w:szCs w:val="24"/>
          <w:lang w:val="en-US"/>
        </w:rPr>
        <w:t>expression</w:t>
      </w:r>
      <w:r w:rsidR="00E27883" w:rsidRPr="00405F18">
        <w:rPr>
          <w:rFonts w:ascii="Times New Roman" w:hAnsi="Times New Roman" w:cs="Times New Roman"/>
          <w:sz w:val="24"/>
          <w:szCs w:val="24"/>
          <w:lang w:val="en-US"/>
        </w:rPr>
        <w:t xml:space="preserve"> </w:t>
      </w:r>
      <w:r w:rsidR="00E23415" w:rsidRPr="00405F18">
        <w:rPr>
          <w:rFonts w:ascii="Times New Roman" w:hAnsi="Times New Roman" w:cs="Times New Roman"/>
          <w:sz w:val="24"/>
          <w:szCs w:val="24"/>
          <w:lang w:val="en-US"/>
        </w:rPr>
        <w:t xml:space="preserve">of </w:t>
      </w:r>
      <w:r w:rsidR="00DD44CC" w:rsidRPr="00405F18">
        <w:rPr>
          <w:rFonts w:ascii="Times New Roman" w:hAnsi="Times New Roman" w:cs="Times New Roman"/>
          <w:sz w:val="24"/>
          <w:szCs w:val="24"/>
          <w:lang w:val="en-US"/>
        </w:rPr>
        <w:t>t</w:t>
      </w:r>
      <w:r w:rsidR="00E23415" w:rsidRPr="00405F18">
        <w:rPr>
          <w:rFonts w:ascii="Times New Roman" w:hAnsi="Times New Roman" w:cs="Times New Roman"/>
          <w:sz w:val="24"/>
          <w:szCs w:val="24"/>
          <w:lang w:val="en-US"/>
        </w:rPr>
        <w:t xml:space="preserve">arget genes </w:t>
      </w:r>
      <w:r w:rsidR="00502E7F" w:rsidRPr="00405F18">
        <w:rPr>
          <w:rFonts w:ascii="Times New Roman" w:hAnsi="Times New Roman" w:cs="Times New Roman"/>
          <w:sz w:val="24"/>
          <w:szCs w:val="24"/>
          <w:lang w:val="en-US"/>
        </w:rPr>
        <w:t>were not modified</w:t>
      </w:r>
      <w:r w:rsidR="00DD44CC" w:rsidRPr="00405F18">
        <w:rPr>
          <w:rFonts w:ascii="Times New Roman" w:hAnsi="Times New Roman" w:cs="Times New Roman"/>
          <w:sz w:val="24"/>
          <w:szCs w:val="24"/>
          <w:lang w:val="en-US"/>
        </w:rPr>
        <w:t xml:space="preserve"> by the addition of AMPK activators</w:t>
      </w:r>
      <w:r w:rsidR="00502E7F" w:rsidRPr="00405F18">
        <w:rPr>
          <w:rFonts w:ascii="Times New Roman" w:hAnsi="Times New Roman" w:cs="Times New Roman"/>
          <w:sz w:val="24"/>
          <w:szCs w:val="24"/>
          <w:lang w:val="en-US"/>
        </w:rPr>
        <w:t xml:space="preserve"> </w:t>
      </w:r>
      <w:r w:rsidR="001B557A" w:rsidRPr="00405F18">
        <w:rPr>
          <w:rFonts w:ascii="Times New Roman" w:hAnsi="Times New Roman" w:cs="Times New Roman"/>
          <w:sz w:val="24"/>
          <w:szCs w:val="24"/>
          <w:lang w:val="en-US"/>
        </w:rPr>
        <w:t xml:space="preserve">in PA-treated cells </w:t>
      </w:r>
      <w:r w:rsidR="00502E7F" w:rsidRPr="00405F18">
        <w:rPr>
          <w:rFonts w:ascii="Times New Roman" w:hAnsi="Times New Roman" w:cs="Times New Roman"/>
          <w:sz w:val="24"/>
          <w:szCs w:val="24"/>
          <w:lang w:val="en-US"/>
        </w:rPr>
        <w:t>(Figure S8)</w:t>
      </w:r>
      <w:r w:rsidR="00DD44CC" w:rsidRPr="00405F18">
        <w:rPr>
          <w:rFonts w:ascii="Times New Roman" w:hAnsi="Times New Roman" w:cs="Times New Roman"/>
          <w:sz w:val="24"/>
          <w:szCs w:val="24"/>
          <w:lang w:val="en-US"/>
        </w:rPr>
        <w:t xml:space="preserve">. </w:t>
      </w:r>
      <w:r w:rsidR="006016C3" w:rsidRPr="00405F18">
        <w:rPr>
          <w:rFonts w:ascii="Times New Roman" w:hAnsi="Times New Roman" w:cs="Times New Roman"/>
          <w:sz w:val="24"/>
          <w:szCs w:val="24"/>
          <w:lang w:val="en-US"/>
        </w:rPr>
        <w:t>These findings are</w:t>
      </w:r>
      <w:r w:rsidR="00814A80" w:rsidRPr="00405F18">
        <w:rPr>
          <w:rFonts w:ascii="Times New Roman" w:hAnsi="Times New Roman" w:cs="Times New Roman"/>
          <w:sz w:val="24"/>
          <w:szCs w:val="24"/>
          <w:lang w:val="en-US"/>
        </w:rPr>
        <w:t xml:space="preserve"> </w:t>
      </w:r>
      <w:r w:rsidR="00DD59C3" w:rsidRPr="00405F18">
        <w:rPr>
          <w:rFonts w:ascii="Times New Roman" w:hAnsi="Times New Roman" w:cs="Times New Roman"/>
          <w:sz w:val="24"/>
          <w:szCs w:val="24"/>
          <w:lang w:val="en-US"/>
        </w:rPr>
        <w:t xml:space="preserve">not </w:t>
      </w:r>
      <w:r w:rsidR="006016C3" w:rsidRPr="00405F18">
        <w:rPr>
          <w:rFonts w:ascii="Times New Roman" w:hAnsi="Times New Roman" w:cs="Times New Roman"/>
          <w:sz w:val="24"/>
          <w:szCs w:val="24"/>
          <w:lang w:val="en-US"/>
        </w:rPr>
        <w:t xml:space="preserve">unexpected </w:t>
      </w:r>
      <w:r w:rsidR="006D2061" w:rsidRPr="00405F18">
        <w:rPr>
          <w:rFonts w:ascii="Times New Roman" w:hAnsi="Times New Roman" w:cs="Times New Roman"/>
          <w:sz w:val="24"/>
          <w:szCs w:val="24"/>
          <w:lang w:val="en-US"/>
        </w:rPr>
        <w:t>(</w:t>
      </w:r>
      <w:r w:rsidR="006016C3" w:rsidRPr="00405F18">
        <w:rPr>
          <w:rFonts w:ascii="Times New Roman" w:hAnsi="Times New Roman" w:cs="Times New Roman"/>
          <w:sz w:val="24"/>
          <w:szCs w:val="24"/>
          <w:lang w:val="en-US"/>
        </w:rPr>
        <w:t>given</w:t>
      </w:r>
      <w:r w:rsidR="00DD59C3" w:rsidRPr="00405F18">
        <w:rPr>
          <w:rFonts w:ascii="Times New Roman" w:hAnsi="Times New Roman" w:cs="Times New Roman"/>
          <w:sz w:val="24"/>
          <w:szCs w:val="24"/>
          <w:lang w:val="en-US"/>
        </w:rPr>
        <w:t xml:space="preserve"> that AMPK pro</w:t>
      </w:r>
      <w:r w:rsidR="00D617E2" w:rsidRPr="00405F18">
        <w:rPr>
          <w:rFonts w:ascii="Times New Roman" w:hAnsi="Times New Roman" w:cs="Times New Roman"/>
          <w:sz w:val="24"/>
          <w:szCs w:val="24"/>
          <w:lang w:val="en-US"/>
        </w:rPr>
        <w:t xml:space="preserve">motes </w:t>
      </w:r>
      <w:r w:rsidR="00814A80" w:rsidRPr="00405F18">
        <w:rPr>
          <w:rFonts w:ascii="Times New Roman" w:hAnsi="Times New Roman" w:cs="Times New Roman"/>
          <w:sz w:val="24"/>
          <w:szCs w:val="24"/>
          <w:lang w:val="en-US"/>
        </w:rPr>
        <w:t>lysosomal biogenesis</w:t>
      </w:r>
      <w:r w:rsidR="007A6C79">
        <w:rPr>
          <w:rFonts w:ascii="Times New Roman" w:hAnsi="Times New Roman" w:cs="Times New Roman"/>
          <w:sz w:val="24"/>
          <w:szCs w:val="24"/>
          <w:lang w:val="en-US"/>
        </w:rPr>
        <w:t xml:space="preserve"> [</w:t>
      </w:r>
      <w:r w:rsidR="00814A80" w:rsidRPr="007A6C79">
        <w:rPr>
          <w:rFonts w:ascii="Times New Roman" w:hAnsi="Times New Roman" w:cs="Times New Roman"/>
          <w:sz w:val="24"/>
          <w:szCs w:val="24"/>
          <w:lang w:val="en-US"/>
        </w:rPr>
        <w:fldChar w:fldCharType="begin" w:fldLock="1"/>
      </w:r>
      <w:r w:rsidR="00814A80" w:rsidRPr="007A6C79">
        <w:rPr>
          <w:rFonts w:ascii="Times New Roman" w:hAnsi="Times New Roman" w:cs="Times New Roman"/>
          <w:sz w:val="24"/>
          <w:szCs w:val="24"/>
          <w:lang w:val="en-US"/>
        </w:rPr>
        <w:instrText>ADDIN CSL_CITATION {"citationItems":[{"id":"ITEM-1","itemData":{"DOI":"10.1080/15548627.2021.1898748","ISSN":"15548635","abstract":"Increased macroautophagy/autophagy and lysosomal activity promote tumor growth, survival and chemo-resistance. During acute starvation, autophagy is rapidly engaged by AMPK (AMP-activated protein kinase) activation and MTOR (mechanistic target of rapamycin kinase) complex 1 (MTORC1) inhibition to maintain energy homeostasis and cell survival. TFEB (transcription factor E3) and TFE3 (transcription factor binding to IGHM enhancer 3) are master transcriptional regulators of autophagy and lysosomal activity and their cytoplasm/nuclear shuttling is controlled by MTORC1-dependent multisite phosphorylation. However, it is not known whether and how the transcriptional activity of TFEB or TFE3 is regulated. We show that AMPK mediates phosphorylation of TFEB and TFE3 on three serine residues, leading to TFEB and TFE3 transcriptional activity upon nutrient starvation, FLCN (folliculin) depletion and pharmacological manipulation of MTORC1 or AMPK. Collectively, we show that MTORC1 specifically controls TFEB and TFE3 cytosolic retention, whereas AMPK is essential for TFEB and TFE3 transcriptional activity. This dual and opposing regulation of TFEB and TFE3 by MTORC1 and AMPK is reminiscent of the regulation of another critical regulator of autophagy, ULK1 (unc-51 like autophagy activating kinase 1). Surprisingly, we show that chemoresistance is mediated by AMPK-dependent activation of TFEB, which is abolished by pharmacological inhibition of AMPK or mutation of serine 466, 467 and 469 to alanine residues within TFEB. Altogether, we show that AMPK is a key regulator of TFEB and TFE3 transcriptional activity, and we validate AMPK as a promising target in cancer therapy to evade chemotherapeutic resistance. Abbreviations ACACA: acetyl-CoA carboxylase alpha; ACTB: actin beta; AICAR: 5-aminoimidazole-4-carboxamide ribonucleotide; AMPK: AMP-activated protein kinase; AMPKi: AMPK inhibitor, SBI-0206965; CA: constitutively active; CARM1: coactivator-associated arginine methyltransferase 1; CFP: cyan fluorescent protein; CLEAR: coordinated lysosomal expression and regulation; DKO: double knock-out; DMEM: Dulbecco’s modified Eagle’s medium; DMSO: dimethyl sulfoxide; DQ-BSA: self-quenched BODIPY® dye conjugates of bovine serum albumin; EBSS: Earle’s balanced salt solution; FLCN: folliculin; GFP: green fluorescent protein; GST: glutathione S-transferases; HD: Huntington disease; HTT: huntingtin; KO: knock-out; LAMP1: lysosomal associated membrane protein 1; MEF: mouse embryonic …","author":[{"dropping-particle":"","family":"Paquette","given":"Mathieu","non-dropping-particle":"","parse-names":false,"suffix":""},{"dropping-particle":"","family":"El-Houjeiri","given":"Leeanna","non-dropping-particle":"","parse-names":false,"suffix":""},{"dropping-particle":"","family":"C. Zirden","given":"Linda","non-dropping-particle":"","parse-names":false,"suffix":""},{"dropping-particle":"","family":"Puustinen","given":"Pietri","non-dropping-particle":"","parse-names":false,"suffix":""},{"dropping-particle":"","family":"Blanchette","given":"Paola","non-dropping-particle":"","parse-names":false,"suffix":""},{"dropping-particle":"","family":"Jeong","given":"Hyeonju","non-dropping-particle":"","parse-names":false,"suffix":""},{"dropping-particle":"","family":"Dejgaard","given":"Kurt","non-dropping-particle":"","parse-names":false,"suffix":""},{"dropping-particle":"","family":"Siegel","given":"Peter M.","non-dropping-particle":"","parse-names":false,"suffix":""},{"dropping-particle":"","family":"Pause","given":"Arnim","non-dropping-particle":"","parse-names":false,"suffix":""}],"container-title":"Autophagy","id":"ITEM-1","issue":"00","issued":{"date-parts":[["2021"]]},"page":"1-19","publisher":"Taylor &amp; Francis","title":"AMPK-dependent phosphorylation is required for transcriptional activation of TFEB and TFE3","type":"article-journal","volume":"00"},"uris":["http://www.mendeley.com/documents/?uuid=6e684968-b3dc-48d0-b7ca-a843ee8cd608"]}],"mendeley":{"formattedCitation":"&lt;sup&gt;51&lt;/sup&gt;","plainTextFormattedCitation":"51","previouslyFormattedCitation":"&lt;sup&gt;51&lt;/sup&gt;"},"properties":{"noteIndex":0},"schema":"https://github.com/citation-style-language/schema/raw/master/csl-citation.json"}</w:instrText>
      </w:r>
      <w:r w:rsidR="00814A80" w:rsidRPr="007A6C79">
        <w:rPr>
          <w:rFonts w:ascii="Times New Roman" w:hAnsi="Times New Roman" w:cs="Times New Roman"/>
          <w:sz w:val="24"/>
          <w:szCs w:val="24"/>
          <w:lang w:val="en-US"/>
        </w:rPr>
        <w:fldChar w:fldCharType="separate"/>
      </w:r>
      <w:r w:rsidR="00814A80" w:rsidRPr="007A6C79">
        <w:rPr>
          <w:rFonts w:ascii="Times New Roman" w:hAnsi="Times New Roman" w:cs="Times New Roman"/>
          <w:noProof/>
          <w:sz w:val="24"/>
          <w:szCs w:val="24"/>
          <w:lang w:val="en-US"/>
        </w:rPr>
        <w:t>51</w:t>
      </w:r>
      <w:r w:rsidR="00814A80"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006D2061" w:rsidRPr="00405F18">
        <w:rPr>
          <w:rFonts w:ascii="Times New Roman" w:hAnsi="Times New Roman" w:cs="Times New Roman"/>
          <w:sz w:val="24"/>
          <w:szCs w:val="24"/>
          <w:lang w:val="en-US"/>
        </w:rPr>
        <w:t>) and</w:t>
      </w:r>
      <w:r w:rsidR="00D617E2" w:rsidRPr="00405F18">
        <w:rPr>
          <w:rFonts w:ascii="Times New Roman" w:hAnsi="Times New Roman" w:cs="Times New Roman"/>
          <w:sz w:val="24"/>
          <w:szCs w:val="24"/>
          <w:lang w:val="en-US"/>
        </w:rPr>
        <w:t xml:space="preserve"> suggest </w:t>
      </w:r>
      <w:r w:rsidR="00DD44CC" w:rsidRPr="00405F18">
        <w:rPr>
          <w:rFonts w:ascii="Times New Roman" w:hAnsi="Times New Roman" w:cs="Times New Roman"/>
          <w:sz w:val="24"/>
          <w:szCs w:val="24"/>
          <w:lang w:val="en-US"/>
        </w:rPr>
        <w:t>that the effect of PA on TFEB is independent of AMPK inhibition</w:t>
      </w:r>
      <w:r w:rsidR="00D71FB9" w:rsidRPr="00405F18">
        <w:rPr>
          <w:rFonts w:ascii="Times New Roman" w:hAnsi="Times New Roman" w:cs="Times New Roman"/>
          <w:sz w:val="24"/>
          <w:szCs w:val="24"/>
          <w:lang w:val="en-US"/>
        </w:rPr>
        <w:t>.</w:t>
      </w:r>
      <w:r w:rsidR="00C65ACC" w:rsidRPr="00405F18">
        <w:rPr>
          <w:rFonts w:ascii="Times New Roman" w:hAnsi="Times New Roman" w:cs="Times New Roman"/>
          <w:sz w:val="24"/>
          <w:szCs w:val="24"/>
          <w:lang w:val="en-US"/>
        </w:rPr>
        <w:t xml:space="preserve"> </w:t>
      </w:r>
      <w:r w:rsidR="00605472" w:rsidRPr="00405F18">
        <w:rPr>
          <w:rFonts w:ascii="Times New Roman" w:hAnsi="Times New Roman" w:cs="Times New Roman"/>
          <w:sz w:val="24"/>
          <w:szCs w:val="24"/>
          <w:lang w:val="en-US"/>
        </w:rPr>
        <w:t xml:space="preserve">Overall, </w:t>
      </w:r>
      <w:r w:rsidR="00D00B62" w:rsidRPr="00405F18">
        <w:rPr>
          <w:rFonts w:ascii="Times New Roman" w:hAnsi="Times New Roman" w:cs="Times New Roman"/>
          <w:sz w:val="24"/>
          <w:szCs w:val="24"/>
          <w:lang w:val="en-US"/>
        </w:rPr>
        <w:t xml:space="preserve">these data </w:t>
      </w:r>
      <w:r w:rsidR="004B0524" w:rsidRPr="00405F18">
        <w:rPr>
          <w:rFonts w:ascii="Times New Roman" w:hAnsi="Times New Roman" w:cs="Times New Roman"/>
          <w:sz w:val="24"/>
          <w:szCs w:val="24"/>
          <w:lang w:val="en-US"/>
        </w:rPr>
        <w:t>demonstrated</w:t>
      </w:r>
      <w:r w:rsidR="00605472" w:rsidRPr="00405F18">
        <w:rPr>
          <w:rFonts w:ascii="Times New Roman" w:hAnsi="Times New Roman" w:cs="Times New Roman"/>
          <w:sz w:val="24"/>
          <w:szCs w:val="24"/>
          <w:lang w:val="en-US"/>
        </w:rPr>
        <w:t xml:space="preserve"> an induction of lysosomal biogenesis upon lipid challenge in </w:t>
      </w:r>
      <w:proofErr w:type="spellStart"/>
      <w:r w:rsidR="00CC5768">
        <w:rPr>
          <w:rFonts w:ascii="Times New Roman" w:hAnsi="Times New Roman" w:cs="Times New Roman"/>
          <w:sz w:val="24"/>
          <w:szCs w:val="24"/>
          <w:lang w:val="en-US"/>
        </w:rPr>
        <w:t>M</w:t>
      </w:r>
      <w:r w:rsidR="00605472"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00605472" w:rsidRPr="00405F18">
        <w:rPr>
          <w:rFonts w:ascii="Times New Roman" w:hAnsi="Times New Roman" w:cs="Times New Roman"/>
          <w:sz w:val="24"/>
          <w:szCs w:val="24"/>
          <w:lang w:val="en-US"/>
        </w:rPr>
        <w:t xml:space="preserve"> which is likely mediated by TFEB. </w:t>
      </w:r>
    </w:p>
    <w:p w14:paraId="21C367AB" w14:textId="6822DE27" w:rsidR="00280BE9" w:rsidRPr="007A6C79" w:rsidRDefault="00280BE9" w:rsidP="00270044">
      <w:pPr>
        <w:spacing w:after="100" w:afterAutospacing="1" w:line="480" w:lineRule="auto"/>
        <w:jc w:val="both"/>
        <w:rPr>
          <w:rFonts w:ascii="Times New Roman" w:hAnsi="Times New Roman" w:cs="Times New Roman"/>
          <w:b/>
          <w:bCs/>
          <w:i/>
          <w:iCs/>
          <w:sz w:val="24"/>
          <w:szCs w:val="24"/>
          <w:lang w:val="en-US"/>
        </w:rPr>
      </w:pPr>
      <w:r w:rsidRPr="007A6C79">
        <w:rPr>
          <w:rFonts w:ascii="Times New Roman" w:hAnsi="Times New Roman" w:cs="Times New Roman"/>
          <w:b/>
          <w:bCs/>
          <w:i/>
          <w:iCs/>
          <w:sz w:val="24"/>
          <w:szCs w:val="24"/>
          <w:lang w:val="en-US"/>
        </w:rPr>
        <w:t xml:space="preserve">The lysosomal dysfunction mediated by PA drives </w:t>
      </w:r>
      <w:proofErr w:type="spellStart"/>
      <w:r w:rsidR="00CC5768">
        <w:rPr>
          <w:rFonts w:ascii="Times New Roman" w:hAnsi="Times New Roman" w:cs="Times New Roman"/>
          <w:b/>
          <w:bCs/>
          <w:i/>
          <w:iCs/>
          <w:sz w:val="24"/>
          <w:szCs w:val="24"/>
          <w:lang w:val="en-US"/>
        </w:rPr>
        <w:t>M</w:t>
      </w:r>
      <w:r w:rsidRPr="007A6C79">
        <w:rPr>
          <w:rFonts w:ascii="Times New Roman" w:hAnsi="Times New Roman" w:cs="Times New Roman"/>
          <w:b/>
          <w:bCs/>
          <w:i/>
          <w:iCs/>
          <w:sz w:val="24"/>
          <w:szCs w:val="24"/>
          <w:lang w:val="en-US"/>
        </w:rPr>
        <w:t>mPTEC</w:t>
      </w:r>
      <w:proofErr w:type="spellEnd"/>
      <w:r w:rsidRPr="007A6C79">
        <w:rPr>
          <w:rFonts w:ascii="Times New Roman" w:hAnsi="Times New Roman" w:cs="Times New Roman"/>
          <w:b/>
          <w:bCs/>
          <w:i/>
          <w:iCs/>
          <w:sz w:val="24"/>
          <w:szCs w:val="24"/>
          <w:lang w:val="en-US"/>
        </w:rPr>
        <w:t xml:space="preserve"> </w:t>
      </w:r>
      <w:r w:rsidR="00BC24CC" w:rsidRPr="007A6C79">
        <w:rPr>
          <w:rFonts w:ascii="Times New Roman" w:hAnsi="Times New Roman" w:cs="Times New Roman"/>
          <w:b/>
          <w:bCs/>
          <w:i/>
          <w:iCs/>
          <w:sz w:val="24"/>
          <w:szCs w:val="24"/>
          <w:lang w:val="en-US"/>
        </w:rPr>
        <w:t>de</w:t>
      </w:r>
      <w:r w:rsidRPr="007A6C79">
        <w:rPr>
          <w:rFonts w:ascii="Times New Roman" w:hAnsi="Times New Roman" w:cs="Times New Roman"/>
          <w:b/>
          <w:bCs/>
          <w:i/>
          <w:iCs/>
          <w:sz w:val="24"/>
          <w:szCs w:val="24"/>
          <w:lang w:val="en-US"/>
        </w:rPr>
        <w:t xml:space="preserve">differentiation while </w:t>
      </w:r>
      <w:r w:rsidR="00493822" w:rsidRPr="007A6C79">
        <w:rPr>
          <w:rFonts w:ascii="Times New Roman" w:hAnsi="Times New Roman" w:cs="Times New Roman"/>
          <w:b/>
          <w:bCs/>
          <w:i/>
          <w:iCs/>
          <w:sz w:val="24"/>
          <w:szCs w:val="24"/>
          <w:lang w:val="en-US"/>
        </w:rPr>
        <w:t xml:space="preserve">pharmacological </w:t>
      </w:r>
      <w:r w:rsidRPr="007A6C79">
        <w:rPr>
          <w:rFonts w:ascii="Times New Roman" w:hAnsi="Times New Roman" w:cs="Times New Roman"/>
          <w:b/>
          <w:bCs/>
          <w:i/>
          <w:iCs/>
          <w:sz w:val="24"/>
          <w:szCs w:val="24"/>
          <w:lang w:val="en-US"/>
        </w:rPr>
        <w:t xml:space="preserve">AMPK </w:t>
      </w:r>
      <w:r w:rsidR="00791540" w:rsidRPr="007A6C79">
        <w:rPr>
          <w:rFonts w:ascii="Times New Roman" w:hAnsi="Times New Roman" w:cs="Times New Roman"/>
          <w:b/>
          <w:bCs/>
          <w:i/>
          <w:iCs/>
          <w:sz w:val="24"/>
          <w:szCs w:val="24"/>
          <w:lang w:val="en-US"/>
        </w:rPr>
        <w:t>activation</w:t>
      </w:r>
      <w:r w:rsidRPr="007A6C79">
        <w:rPr>
          <w:rFonts w:ascii="Times New Roman" w:hAnsi="Times New Roman" w:cs="Times New Roman"/>
          <w:b/>
          <w:bCs/>
          <w:i/>
          <w:iCs/>
          <w:sz w:val="24"/>
          <w:szCs w:val="24"/>
          <w:lang w:val="en-US"/>
        </w:rPr>
        <w:t xml:space="preserve"> is protective.</w:t>
      </w:r>
    </w:p>
    <w:p w14:paraId="606CC869" w14:textId="1EF426EC" w:rsidR="00280BE9" w:rsidRPr="00C732B8" w:rsidRDefault="00280BE9" w:rsidP="00270044">
      <w:pPr>
        <w:spacing w:after="100" w:afterAutospacing="1" w:line="480" w:lineRule="auto"/>
        <w:jc w:val="both"/>
        <w:rPr>
          <w:rFonts w:ascii="Times New Roman" w:hAnsi="Times New Roman" w:cs="Times New Roman"/>
          <w:i/>
          <w:iCs/>
          <w:sz w:val="24"/>
          <w:szCs w:val="24"/>
          <w:lang w:val="en-US"/>
        </w:rPr>
      </w:pPr>
      <w:r w:rsidRPr="00405F18">
        <w:rPr>
          <w:rFonts w:ascii="Times New Roman" w:hAnsi="Times New Roman" w:cs="Times New Roman"/>
          <w:sz w:val="24"/>
          <w:szCs w:val="24"/>
          <w:lang w:val="en-US"/>
        </w:rPr>
        <w:t xml:space="preserve">Despite the emergence of </w:t>
      </w:r>
      <w:proofErr w:type="spellStart"/>
      <w:r w:rsidRPr="00405F18">
        <w:rPr>
          <w:rFonts w:ascii="Times New Roman" w:hAnsi="Times New Roman" w:cs="Times New Roman"/>
          <w:sz w:val="24"/>
          <w:szCs w:val="24"/>
          <w:lang w:val="en-US"/>
        </w:rPr>
        <w:t>tubulocentric</w:t>
      </w:r>
      <w:proofErr w:type="spellEnd"/>
      <w:r w:rsidRPr="00405F18">
        <w:rPr>
          <w:rFonts w:ascii="Times New Roman" w:hAnsi="Times New Roman" w:cs="Times New Roman"/>
          <w:sz w:val="24"/>
          <w:szCs w:val="24"/>
          <w:lang w:val="en-US"/>
        </w:rPr>
        <w:t xml:space="preserve"> view in metabolic CKD, the effects of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xml:space="preserve"> on PTEC differentiation phenotype remain largely unknown. It is likely explained by the inability of main </w:t>
      </w:r>
      <w:r w:rsidRPr="00405F18">
        <w:rPr>
          <w:rFonts w:ascii="Times New Roman" w:hAnsi="Times New Roman" w:cs="Times New Roman"/>
          <w:i/>
          <w:iCs/>
          <w:sz w:val="24"/>
          <w:szCs w:val="24"/>
          <w:lang w:val="en-US"/>
        </w:rPr>
        <w:t>in vitro</w:t>
      </w:r>
      <w:r w:rsidRPr="00405F18">
        <w:rPr>
          <w:rFonts w:ascii="Times New Roman" w:hAnsi="Times New Roman" w:cs="Times New Roman"/>
          <w:sz w:val="24"/>
          <w:szCs w:val="24"/>
          <w:lang w:val="en-US"/>
        </w:rPr>
        <w:t xml:space="preserve"> models to recapitulate </w:t>
      </w:r>
      <w:r w:rsidRPr="00405F18">
        <w:rPr>
          <w:rFonts w:ascii="Times New Roman" w:hAnsi="Times New Roman" w:cs="Times New Roman"/>
          <w:i/>
          <w:iCs/>
          <w:sz w:val="24"/>
          <w:szCs w:val="24"/>
          <w:lang w:val="en-US"/>
        </w:rPr>
        <w:t>in vivo</w:t>
      </w:r>
      <w:r w:rsidRPr="00405F18">
        <w:rPr>
          <w:rFonts w:ascii="Times New Roman" w:hAnsi="Times New Roman" w:cs="Times New Roman"/>
          <w:sz w:val="24"/>
          <w:szCs w:val="24"/>
          <w:lang w:val="en-US"/>
        </w:rPr>
        <w:t xml:space="preserve"> PTEC features</w:t>
      </w:r>
      <w:r w:rsidR="00C13AB9" w:rsidRPr="00405F18">
        <w:rPr>
          <w:rFonts w:ascii="Times New Roman" w:hAnsi="Times New Roman" w:cs="Times New Roman"/>
          <w:sz w:val="24"/>
          <w:szCs w:val="24"/>
          <w:lang w:val="en-US"/>
        </w:rPr>
        <w:t xml:space="preserve"> such as</w:t>
      </w:r>
      <w:r w:rsidRPr="00405F18">
        <w:rPr>
          <w:rFonts w:ascii="Times New Roman" w:hAnsi="Times New Roman" w:cs="Times New Roman"/>
          <w:sz w:val="24"/>
          <w:szCs w:val="24"/>
          <w:lang w:val="en-US"/>
        </w:rPr>
        <w:t xml:space="preserve"> polarity, transporter expression and receptor-mediated endocytosis</w:t>
      </w:r>
      <w:r w:rsidR="007A6C79">
        <w:rPr>
          <w:rFonts w:ascii="Times New Roman" w:hAnsi="Times New Roman" w:cs="Times New Roman"/>
          <w:sz w:val="24"/>
          <w:szCs w:val="24"/>
          <w:lang w:val="en-US"/>
        </w:rPr>
        <w:t xml:space="preserve"> [</w:t>
      </w:r>
      <w:r w:rsidRPr="007A6C79">
        <w:rPr>
          <w:rFonts w:ascii="Times New Roman" w:hAnsi="Times New Roman" w:cs="Times New Roman"/>
          <w:sz w:val="24"/>
          <w:szCs w:val="24"/>
          <w:lang w:val="en-US"/>
        </w:rPr>
        <w:fldChar w:fldCharType="begin" w:fldLock="1"/>
      </w:r>
      <w:r w:rsidR="00BC4F67" w:rsidRPr="007A6C79">
        <w:rPr>
          <w:rFonts w:ascii="Times New Roman" w:hAnsi="Times New Roman" w:cs="Times New Roman"/>
          <w:sz w:val="24"/>
          <w:szCs w:val="24"/>
          <w:lang w:val="en-US"/>
        </w:rPr>
        <w:instrText>ADDIN CSL_CITATION {"citationItems":[{"id":"ITEM-1","itemData":{"DOI":"10.1681/ASN.2021020253","ISBN":"2021020207","ISSN":"15333450","PMID":"33846239","author":[{"dropping-particle":"","family":"Berquez","given":"Marine","non-dropping-particle":"","parse-names":false,"suffix":""},{"dropping-particle":"","family":"Krohn","given":"Patrick","non-dropping-particle":"","parse-names":false,"suffix":""},{"dropping-particle":"","family":"Luciani","given":"Alessandro","non-dropping-particle":"","parse-names":false,"suffix":""},{"dropping-particle":"","family":"Devuyst","given":"Olivier","non-dropping-particle":"","parse-names":false,"suffix":""}],"container-title":"Journal of the American Society of Nephrology","id":"ITEM-1","issue":"5","issued":{"date-parts":[["2021"]]},"page":"1265-1267","title":"Receptor-mediated endocytosis and differentiation in proximal tubule cell systems","type":"article-journal","volume":"32"},"uris":["http://www.mendeley.com/documents/?uuid=e50642e1-ae21-4911-a647-56c4b5fa4d68"]}],"mendeley":{"formattedCitation":"&lt;sup&gt;22&lt;/sup&gt;","plainTextFormattedCitation":"22","previouslyFormattedCitation":"&lt;sup&gt;22&lt;/sup&gt;"},"properties":{"noteIndex":0},"schema":"https://github.com/citation-style-language/schema/raw/master/csl-citation.json"}</w:instrText>
      </w:r>
      <w:r w:rsidRPr="007A6C79">
        <w:rPr>
          <w:rFonts w:ascii="Times New Roman" w:hAnsi="Times New Roman" w:cs="Times New Roman"/>
          <w:sz w:val="24"/>
          <w:szCs w:val="24"/>
          <w:lang w:val="en-US"/>
        </w:rPr>
        <w:fldChar w:fldCharType="separate"/>
      </w:r>
      <w:r w:rsidR="00D27D77" w:rsidRPr="007A6C79">
        <w:rPr>
          <w:rFonts w:ascii="Times New Roman" w:hAnsi="Times New Roman" w:cs="Times New Roman"/>
          <w:noProof/>
          <w:sz w:val="24"/>
          <w:szCs w:val="24"/>
          <w:lang w:val="en-US"/>
        </w:rPr>
        <w:t>22</w:t>
      </w:r>
      <w:r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Pr="00405F18">
        <w:rPr>
          <w:rFonts w:ascii="Times New Roman" w:hAnsi="Times New Roman" w:cs="Times New Roman"/>
          <w:sz w:val="24"/>
          <w:szCs w:val="24"/>
          <w:lang w:val="en-US"/>
        </w:rPr>
        <w:t>. Here, we showed that PA-treated cells for 6 or 24 h display</w:t>
      </w:r>
      <w:r w:rsidR="006B40BC"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significantly less cytosolic fluorescence intensity after BSA-488 uptake (Figure </w:t>
      </w:r>
      <w:r w:rsidR="000E593B" w:rsidRPr="00405F18">
        <w:rPr>
          <w:rFonts w:ascii="Times New Roman" w:hAnsi="Times New Roman" w:cs="Times New Roman"/>
          <w:sz w:val="24"/>
          <w:szCs w:val="24"/>
          <w:lang w:val="en-US"/>
        </w:rPr>
        <w:t>9</w:t>
      </w:r>
      <w:proofErr w:type="gramStart"/>
      <w:r w:rsidRPr="00405F18">
        <w:rPr>
          <w:rFonts w:ascii="Times New Roman" w:hAnsi="Times New Roman" w:cs="Times New Roman"/>
          <w:sz w:val="24"/>
          <w:szCs w:val="24"/>
          <w:lang w:val="en-US"/>
        </w:rPr>
        <w:t>A,B</w:t>
      </w:r>
      <w:proofErr w:type="gramEnd"/>
      <w:r w:rsidRPr="00405F18">
        <w:rPr>
          <w:rFonts w:ascii="Times New Roman" w:hAnsi="Times New Roman" w:cs="Times New Roman"/>
          <w:sz w:val="24"/>
          <w:szCs w:val="24"/>
          <w:lang w:val="en-US"/>
        </w:rPr>
        <w:t>). It translate</w:t>
      </w:r>
      <w:r w:rsidR="00306279"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xml:space="preserve"> alterations in protein reabsorption secondary to lipid overload in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and thus cell dysfunction. After 24 h</w:t>
      </w:r>
      <w:r w:rsidR="00C13AB9" w:rsidRPr="00405F18">
        <w:rPr>
          <w:rFonts w:ascii="Times New Roman" w:hAnsi="Times New Roman" w:cs="Times New Roman"/>
          <w:sz w:val="24"/>
          <w:szCs w:val="24"/>
          <w:lang w:val="en-US"/>
        </w:rPr>
        <w:t xml:space="preserve"> of</w:t>
      </w:r>
      <w:r w:rsidRPr="00405F18">
        <w:rPr>
          <w:rFonts w:ascii="Times New Roman" w:hAnsi="Times New Roman" w:cs="Times New Roman"/>
          <w:sz w:val="24"/>
          <w:szCs w:val="24"/>
          <w:lang w:val="en-US"/>
        </w:rPr>
        <w:t xml:space="preserve"> PA</w:t>
      </w:r>
      <w:r w:rsidR="00C13AB9" w:rsidRPr="00405F18">
        <w:rPr>
          <w:rFonts w:ascii="Times New Roman" w:hAnsi="Times New Roman" w:cs="Times New Roman"/>
          <w:sz w:val="24"/>
          <w:szCs w:val="24"/>
          <w:lang w:val="en-US"/>
        </w:rPr>
        <w:t xml:space="preserve">, cells </w:t>
      </w:r>
      <w:r w:rsidR="006B44A5" w:rsidRPr="00405F18">
        <w:rPr>
          <w:rFonts w:ascii="Times New Roman" w:hAnsi="Times New Roman" w:cs="Times New Roman"/>
          <w:sz w:val="24"/>
          <w:szCs w:val="24"/>
          <w:lang w:val="en-US"/>
        </w:rPr>
        <w:t>showed</w:t>
      </w:r>
      <w:r w:rsidRPr="00405F18">
        <w:rPr>
          <w:rFonts w:ascii="Times New Roman" w:hAnsi="Times New Roman" w:cs="Times New Roman"/>
          <w:sz w:val="24"/>
          <w:szCs w:val="24"/>
          <w:lang w:val="en-US"/>
        </w:rPr>
        <w:t xml:space="preserve"> significantly </w:t>
      </w:r>
      <w:r w:rsidR="006B44A5" w:rsidRPr="00405F18">
        <w:rPr>
          <w:rFonts w:ascii="Times New Roman" w:hAnsi="Times New Roman" w:cs="Times New Roman"/>
          <w:sz w:val="24"/>
          <w:szCs w:val="24"/>
          <w:lang w:val="en-US"/>
        </w:rPr>
        <w:t>decreased</w:t>
      </w:r>
      <w:r w:rsidRPr="00405F18">
        <w:rPr>
          <w:rFonts w:ascii="Times New Roman" w:hAnsi="Times New Roman" w:cs="Times New Roman"/>
          <w:sz w:val="24"/>
          <w:szCs w:val="24"/>
          <w:lang w:val="en-US"/>
        </w:rPr>
        <w:t xml:space="preserve"> expression of differentiation markers </w:t>
      </w:r>
      <w:r w:rsidR="003A093C" w:rsidRPr="00405F18">
        <w:rPr>
          <w:rFonts w:ascii="Times New Roman" w:hAnsi="Times New Roman" w:cs="Times New Roman"/>
          <w:sz w:val="24"/>
          <w:szCs w:val="24"/>
          <w:lang w:val="en-US"/>
        </w:rPr>
        <w:t xml:space="preserve">including </w:t>
      </w:r>
      <w:r w:rsidR="000B592D" w:rsidRPr="006B2C44">
        <w:rPr>
          <w:rFonts w:ascii="Times New Roman" w:hAnsi="Times New Roman" w:cs="Times New Roman"/>
          <w:i/>
          <w:iCs/>
          <w:sz w:val="24"/>
          <w:szCs w:val="24"/>
          <w:lang w:val="en-US"/>
        </w:rPr>
        <w:t>L</w:t>
      </w:r>
      <w:r w:rsidR="000B592D">
        <w:rPr>
          <w:rFonts w:ascii="Times New Roman" w:hAnsi="Times New Roman" w:cs="Times New Roman"/>
          <w:i/>
          <w:iCs/>
          <w:sz w:val="24"/>
          <w:szCs w:val="24"/>
          <w:lang w:val="en-US"/>
        </w:rPr>
        <w:t>rp2/</w:t>
      </w:r>
      <w:proofErr w:type="spellStart"/>
      <w:r w:rsidRPr="00C732B8">
        <w:rPr>
          <w:rFonts w:ascii="Times New Roman" w:hAnsi="Times New Roman" w:cs="Times New Roman"/>
          <w:i/>
          <w:iCs/>
          <w:sz w:val="24"/>
          <w:szCs w:val="24"/>
          <w:lang w:val="en-US"/>
        </w:rPr>
        <w:t>megalin</w:t>
      </w:r>
      <w:proofErr w:type="spellEnd"/>
      <w:r w:rsidR="006B44A5" w:rsidRPr="00405F18">
        <w:rPr>
          <w:rFonts w:ascii="Times New Roman" w:hAnsi="Times New Roman" w:cs="Times New Roman"/>
          <w:sz w:val="24"/>
          <w:szCs w:val="24"/>
          <w:lang w:val="en-US"/>
        </w:rPr>
        <w:t xml:space="preserve"> (</w:t>
      </w:r>
      <w:r w:rsidR="000B592D">
        <w:rPr>
          <w:rFonts w:ascii="Times New Roman" w:hAnsi="Times New Roman" w:cs="Times New Roman"/>
          <w:sz w:val="24"/>
          <w:szCs w:val="24"/>
          <w:lang w:val="en-US"/>
        </w:rPr>
        <w:t>LDL</w:t>
      </w:r>
      <w:r w:rsidR="006B44A5" w:rsidRPr="00C732B8">
        <w:rPr>
          <w:rFonts w:ascii="Times New Roman" w:hAnsi="Times New Roman" w:cs="Times New Roman"/>
          <w:sz w:val="24"/>
          <w:szCs w:val="24"/>
          <w:lang w:val="en-US"/>
        </w:rPr>
        <w:t> receptor</w:t>
      </w:r>
      <w:r w:rsidR="000B592D">
        <w:rPr>
          <w:rFonts w:ascii="Times New Roman" w:hAnsi="Times New Roman" w:cs="Times New Roman"/>
          <w:sz w:val="24"/>
          <w:szCs w:val="24"/>
          <w:lang w:val="en-US"/>
        </w:rPr>
        <w:t xml:space="preserve"> </w:t>
      </w:r>
      <w:r w:rsidR="006B44A5" w:rsidRPr="00C732B8">
        <w:rPr>
          <w:rFonts w:ascii="Times New Roman" w:hAnsi="Times New Roman" w:cs="Times New Roman"/>
          <w:sz w:val="24"/>
          <w:szCs w:val="24"/>
          <w:lang w:val="en-US"/>
        </w:rPr>
        <w:t>related protein 2</w:t>
      </w:r>
      <w:r w:rsidR="006B44A5"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the </w:t>
      </w:r>
      <w:r w:rsidR="003A093C" w:rsidRPr="00405F18">
        <w:rPr>
          <w:rFonts w:ascii="Times New Roman" w:hAnsi="Times New Roman" w:cs="Times New Roman"/>
          <w:sz w:val="24"/>
          <w:szCs w:val="24"/>
          <w:lang w:val="en-US"/>
        </w:rPr>
        <w:t xml:space="preserve">receptor </w:t>
      </w:r>
      <w:r w:rsidRPr="00405F18">
        <w:rPr>
          <w:rFonts w:ascii="Times New Roman" w:hAnsi="Times New Roman" w:cs="Times New Roman"/>
          <w:sz w:val="24"/>
          <w:szCs w:val="24"/>
          <w:lang w:val="en-US"/>
        </w:rPr>
        <w:t>involved in protein endocytosis, transporters (</w:t>
      </w:r>
      <w:r w:rsidR="000B592D">
        <w:rPr>
          <w:rFonts w:ascii="Times New Roman" w:hAnsi="Times New Roman" w:cs="Times New Roman"/>
          <w:i/>
          <w:iCs/>
          <w:sz w:val="24"/>
          <w:szCs w:val="24"/>
          <w:lang w:val="en-US"/>
        </w:rPr>
        <w:t>Aqp1</w:t>
      </w:r>
      <w:r w:rsidR="000B592D">
        <w:rPr>
          <w:rFonts w:ascii="Times New Roman" w:hAnsi="Times New Roman" w:cs="Times New Roman"/>
          <w:sz w:val="24"/>
          <w:szCs w:val="24"/>
          <w:lang w:val="en-US"/>
        </w:rPr>
        <w:t xml:space="preserve"> [</w:t>
      </w:r>
      <w:r w:rsidR="003A093C" w:rsidRPr="00C732B8">
        <w:rPr>
          <w:rFonts w:ascii="Times New Roman" w:hAnsi="Times New Roman" w:cs="Times New Roman"/>
          <w:sz w:val="24"/>
          <w:szCs w:val="24"/>
          <w:lang w:val="en-US"/>
        </w:rPr>
        <w:t>aquaporin</w:t>
      </w:r>
      <w:r w:rsidR="000B592D">
        <w:rPr>
          <w:rFonts w:ascii="Times New Roman" w:hAnsi="Times New Roman" w:cs="Times New Roman"/>
          <w:sz w:val="24"/>
          <w:szCs w:val="24"/>
          <w:lang w:val="en-US"/>
        </w:rPr>
        <w:t xml:space="preserve"> </w:t>
      </w:r>
      <w:r w:rsidR="003A093C" w:rsidRPr="00C732B8">
        <w:rPr>
          <w:rFonts w:ascii="Times New Roman" w:hAnsi="Times New Roman" w:cs="Times New Roman"/>
          <w:sz w:val="24"/>
          <w:szCs w:val="24"/>
          <w:lang w:val="en-US"/>
        </w:rPr>
        <w:t xml:space="preserve">1 </w:t>
      </w:r>
      <w:r w:rsidR="003A093C" w:rsidRPr="000B592D">
        <w:rPr>
          <w:rFonts w:ascii="Times New Roman" w:hAnsi="Times New Roman" w:cs="Times New Roman"/>
          <w:sz w:val="24"/>
          <w:szCs w:val="24"/>
          <w:lang w:val="en-US"/>
        </w:rPr>
        <w:t>(</w:t>
      </w:r>
      <w:r w:rsidR="000B592D">
        <w:rPr>
          <w:rFonts w:ascii="Times New Roman" w:hAnsi="Times New Roman" w:cs="Times New Roman"/>
          <w:sz w:val="24"/>
          <w:szCs w:val="24"/>
          <w:lang w:val="en-US"/>
        </w:rPr>
        <w:t>Colton blood group</w:t>
      </w:r>
      <w:r w:rsidR="003A093C" w:rsidRPr="00405F18">
        <w:rPr>
          <w:rFonts w:ascii="Times New Roman" w:hAnsi="Times New Roman" w:cs="Times New Roman"/>
          <w:sz w:val="24"/>
          <w:szCs w:val="24"/>
          <w:lang w:val="en-US"/>
        </w:rPr>
        <w:t>)</w:t>
      </w:r>
      <w:r w:rsidR="000B592D">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and </w:t>
      </w:r>
      <w:r w:rsidR="000B592D" w:rsidRPr="00405F18">
        <w:rPr>
          <w:rFonts w:ascii="Times New Roman" w:hAnsi="Times New Roman" w:cs="Times New Roman"/>
          <w:i/>
          <w:iCs/>
          <w:sz w:val="24"/>
          <w:szCs w:val="24"/>
          <w:lang w:val="en-US"/>
        </w:rPr>
        <w:t>Slc5</w:t>
      </w:r>
      <w:r w:rsidR="004A5C43">
        <w:rPr>
          <w:rFonts w:ascii="Times New Roman" w:hAnsi="Times New Roman" w:cs="Times New Roman"/>
          <w:i/>
          <w:iCs/>
          <w:sz w:val="24"/>
          <w:szCs w:val="24"/>
          <w:lang w:val="en-US"/>
        </w:rPr>
        <w:t>a</w:t>
      </w:r>
      <w:r w:rsidR="000B592D" w:rsidRPr="00405F18">
        <w:rPr>
          <w:rFonts w:ascii="Times New Roman" w:hAnsi="Times New Roman" w:cs="Times New Roman"/>
          <w:i/>
          <w:iCs/>
          <w:sz w:val="24"/>
          <w:szCs w:val="24"/>
          <w:lang w:val="en-US"/>
        </w:rPr>
        <w:t>2</w:t>
      </w:r>
      <w:r w:rsidR="000B592D">
        <w:rPr>
          <w:rFonts w:ascii="Times New Roman" w:hAnsi="Times New Roman" w:cs="Times New Roman"/>
          <w:i/>
          <w:iCs/>
          <w:sz w:val="24"/>
          <w:szCs w:val="24"/>
          <w:lang w:val="en-US"/>
        </w:rPr>
        <w:t xml:space="preserve"> </w:t>
      </w:r>
      <w:r w:rsidR="000B592D">
        <w:rPr>
          <w:rFonts w:ascii="Times New Roman" w:hAnsi="Times New Roman" w:cs="Times New Roman"/>
          <w:sz w:val="24"/>
          <w:szCs w:val="24"/>
          <w:lang w:val="en-US"/>
        </w:rPr>
        <w:t>[solute carrier family 5 member</w:t>
      </w:r>
      <w:r w:rsidR="000B592D" w:rsidRPr="00405F18">
        <w:rPr>
          <w:rFonts w:ascii="Times New Roman" w:hAnsi="Times New Roman" w:cs="Times New Roman"/>
          <w:sz w:val="24"/>
          <w:szCs w:val="24"/>
          <w:lang w:val="en-US"/>
        </w:rPr>
        <w:t xml:space="preserve"> 2</w:t>
      </w:r>
      <w:r w:rsidR="000B592D">
        <w:rPr>
          <w:rFonts w:ascii="Times New Roman" w:hAnsi="Times New Roman" w:cs="Times New Roman"/>
          <w:sz w:val="24"/>
          <w:szCs w:val="24"/>
          <w:lang w:val="en-US"/>
        </w:rPr>
        <w:t>]</w:t>
      </w:r>
      <w:r w:rsidRPr="00405F18">
        <w:rPr>
          <w:rFonts w:ascii="Times New Roman" w:hAnsi="Times New Roman" w:cs="Times New Roman"/>
          <w:sz w:val="24"/>
          <w:szCs w:val="24"/>
          <w:lang w:val="en-US"/>
        </w:rPr>
        <w:t>) as well as</w:t>
      </w:r>
      <w:r w:rsidR="000B592D">
        <w:rPr>
          <w:rFonts w:ascii="Times New Roman" w:hAnsi="Times New Roman" w:cs="Times New Roman"/>
          <w:sz w:val="24"/>
          <w:szCs w:val="24"/>
          <w:lang w:val="en-US"/>
        </w:rPr>
        <w:t xml:space="preserve"> genes encoding</w:t>
      </w:r>
      <w:r w:rsidRPr="00405F18">
        <w:rPr>
          <w:rFonts w:ascii="Times New Roman" w:hAnsi="Times New Roman" w:cs="Times New Roman"/>
          <w:sz w:val="24"/>
          <w:szCs w:val="24"/>
          <w:lang w:val="en-US"/>
        </w:rPr>
        <w:t xml:space="preserve"> proteins of tight junctions and desmosomes (</w:t>
      </w:r>
      <w:r w:rsidRPr="00405F18">
        <w:rPr>
          <w:rFonts w:ascii="Times New Roman" w:hAnsi="Times New Roman" w:cs="Times New Roman"/>
          <w:i/>
          <w:iCs/>
          <w:sz w:val="24"/>
          <w:szCs w:val="24"/>
          <w:lang w:val="en-US"/>
        </w:rPr>
        <w:t>C</w:t>
      </w:r>
      <w:r w:rsidR="000B592D">
        <w:rPr>
          <w:rFonts w:ascii="Times New Roman" w:hAnsi="Times New Roman" w:cs="Times New Roman"/>
          <w:i/>
          <w:iCs/>
          <w:sz w:val="24"/>
          <w:szCs w:val="24"/>
          <w:lang w:val="en-US"/>
        </w:rPr>
        <w:t xml:space="preserve">dh16 </w:t>
      </w:r>
      <w:r w:rsidR="000B592D">
        <w:rPr>
          <w:rFonts w:ascii="Times New Roman" w:hAnsi="Times New Roman" w:cs="Times New Roman"/>
          <w:sz w:val="24"/>
          <w:szCs w:val="24"/>
          <w:lang w:val="en-US"/>
        </w:rPr>
        <w:t>[c</w:t>
      </w:r>
      <w:r w:rsidRPr="00C732B8">
        <w:rPr>
          <w:rFonts w:ascii="Times New Roman" w:hAnsi="Times New Roman" w:cs="Times New Roman"/>
          <w:sz w:val="24"/>
          <w:szCs w:val="24"/>
          <w:lang w:val="en-US"/>
        </w:rPr>
        <w:t>adherin</w:t>
      </w:r>
      <w:r w:rsidRPr="00405F18">
        <w:rPr>
          <w:rFonts w:ascii="Times New Roman" w:hAnsi="Times New Roman" w:cs="Times New Roman"/>
          <w:i/>
          <w:iCs/>
          <w:sz w:val="24"/>
          <w:szCs w:val="24"/>
          <w:lang w:val="en-US"/>
        </w:rPr>
        <w:t xml:space="preserve"> </w:t>
      </w:r>
      <w:r w:rsidRPr="00C732B8">
        <w:rPr>
          <w:rFonts w:ascii="Times New Roman" w:hAnsi="Times New Roman" w:cs="Times New Roman"/>
          <w:sz w:val="24"/>
          <w:szCs w:val="24"/>
          <w:lang w:val="en-US"/>
        </w:rPr>
        <w:t>16</w:t>
      </w:r>
      <w:r w:rsidR="000B592D">
        <w:rPr>
          <w:rFonts w:ascii="Times New Roman" w:hAnsi="Times New Roman" w:cs="Times New Roman"/>
          <w:sz w:val="24"/>
          <w:szCs w:val="24"/>
          <w:lang w:val="en-US"/>
        </w:rPr>
        <w:t>]</w:t>
      </w:r>
      <w:r w:rsidR="001479ED"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and </w:t>
      </w:r>
      <w:r w:rsidR="00A9499F" w:rsidRPr="00405F18">
        <w:rPr>
          <w:rFonts w:ascii="Times New Roman" w:hAnsi="Times New Roman" w:cs="Times New Roman"/>
          <w:i/>
          <w:iCs/>
          <w:sz w:val="24"/>
          <w:szCs w:val="24"/>
          <w:lang w:val="en-US"/>
        </w:rPr>
        <w:t>E</w:t>
      </w:r>
      <w:r w:rsidR="000B592D">
        <w:rPr>
          <w:rFonts w:ascii="Times New Roman" w:hAnsi="Times New Roman" w:cs="Times New Roman"/>
          <w:i/>
          <w:iCs/>
          <w:sz w:val="24"/>
          <w:szCs w:val="24"/>
          <w:lang w:val="en-US"/>
        </w:rPr>
        <w:t xml:space="preserve">pb41l5 </w:t>
      </w:r>
      <w:r w:rsidR="000B592D">
        <w:rPr>
          <w:rFonts w:ascii="Times New Roman" w:hAnsi="Times New Roman" w:cs="Times New Roman"/>
          <w:sz w:val="24"/>
          <w:szCs w:val="24"/>
          <w:lang w:val="en-US"/>
        </w:rPr>
        <w:t>[e</w:t>
      </w:r>
      <w:r w:rsidR="00A9499F" w:rsidRPr="00C732B8">
        <w:rPr>
          <w:rFonts w:ascii="Times New Roman" w:hAnsi="Times New Roman" w:cs="Times New Roman"/>
          <w:sz w:val="24"/>
          <w:szCs w:val="24"/>
          <w:lang w:val="en-US"/>
        </w:rPr>
        <w:t xml:space="preserve">rythrocyte </w:t>
      </w:r>
      <w:r w:rsidR="000B592D">
        <w:rPr>
          <w:rFonts w:ascii="Times New Roman" w:hAnsi="Times New Roman" w:cs="Times New Roman"/>
          <w:sz w:val="24"/>
          <w:szCs w:val="24"/>
          <w:lang w:val="en-US"/>
        </w:rPr>
        <w:t>m</w:t>
      </w:r>
      <w:r w:rsidR="00A9499F" w:rsidRPr="00C732B8">
        <w:rPr>
          <w:rFonts w:ascii="Times New Roman" w:hAnsi="Times New Roman" w:cs="Times New Roman"/>
          <w:sz w:val="24"/>
          <w:szCs w:val="24"/>
          <w:lang w:val="en-US"/>
        </w:rPr>
        <w:t xml:space="preserve">embrane </w:t>
      </w:r>
      <w:r w:rsidR="000B592D">
        <w:rPr>
          <w:rFonts w:ascii="Times New Roman" w:hAnsi="Times New Roman" w:cs="Times New Roman"/>
          <w:sz w:val="24"/>
          <w:szCs w:val="24"/>
          <w:lang w:val="en-US"/>
        </w:rPr>
        <w:t>p</w:t>
      </w:r>
      <w:r w:rsidR="00A9499F" w:rsidRPr="00C732B8">
        <w:rPr>
          <w:rFonts w:ascii="Times New Roman" w:hAnsi="Times New Roman" w:cs="Times New Roman"/>
          <w:sz w:val="24"/>
          <w:szCs w:val="24"/>
          <w:lang w:val="en-US"/>
        </w:rPr>
        <w:t xml:space="preserve">rotein </w:t>
      </w:r>
      <w:r w:rsidR="000B592D">
        <w:rPr>
          <w:rFonts w:ascii="Times New Roman" w:hAnsi="Times New Roman" w:cs="Times New Roman"/>
          <w:sz w:val="24"/>
          <w:szCs w:val="24"/>
          <w:lang w:val="en-US"/>
        </w:rPr>
        <w:t>b</w:t>
      </w:r>
      <w:r w:rsidR="00A9499F" w:rsidRPr="00C732B8">
        <w:rPr>
          <w:rFonts w:ascii="Times New Roman" w:hAnsi="Times New Roman" w:cs="Times New Roman"/>
          <w:sz w:val="24"/>
          <w:szCs w:val="24"/>
          <w:lang w:val="en-US"/>
        </w:rPr>
        <w:t xml:space="preserve">and 4.1 </w:t>
      </w:r>
      <w:r w:rsidR="000B592D">
        <w:rPr>
          <w:rFonts w:ascii="Times New Roman" w:hAnsi="Times New Roman" w:cs="Times New Roman"/>
          <w:sz w:val="24"/>
          <w:szCs w:val="24"/>
          <w:lang w:val="en-US"/>
        </w:rPr>
        <w:t>l</w:t>
      </w:r>
      <w:r w:rsidR="00A9499F" w:rsidRPr="00C732B8">
        <w:rPr>
          <w:rFonts w:ascii="Times New Roman" w:hAnsi="Times New Roman" w:cs="Times New Roman"/>
          <w:sz w:val="24"/>
          <w:szCs w:val="24"/>
          <w:lang w:val="en-US"/>
        </w:rPr>
        <w:t>ike 5</w:t>
      </w:r>
      <w:r w:rsidR="000B592D">
        <w:rPr>
          <w:rFonts w:ascii="Times New Roman" w:hAnsi="Times New Roman" w:cs="Times New Roman"/>
          <w:sz w:val="24"/>
          <w:szCs w:val="24"/>
          <w:lang w:val="en-US"/>
        </w:rPr>
        <w:t>]</w:t>
      </w:r>
      <w:r w:rsidR="00A9499F"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(Figure </w:t>
      </w:r>
      <w:r w:rsidR="001479ED" w:rsidRPr="00405F18">
        <w:rPr>
          <w:rFonts w:ascii="Times New Roman" w:hAnsi="Times New Roman" w:cs="Times New Roman"/>
          <w:sz w:val="24"/>
          <w:szCs w:val="24"/>
          <w:lang w:val="en-US"/>
        </w:rPr>
        <w:t>9</w:t>
      </w:r>
      <w:r w:rsidRPr="00405F18">
        <w:rPr>
          <w:rFonts w:ascii="Times New Roman" w:hAnsi="Times New Roman" w:cs="Times New Roman"/>
          <w:sz w:val="24"/>
          <w:szCs w:val="24"/>
          <w:lang w:val="en-US"/>
        </w:rPr>
        <w:t xml:space="preserve">C). It </w:t>
      </w:r>
      <w:r w:rsidR="00A9499F"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 xml:space="preserve">s concomitant with an upregulation of some injury </w:t>
      </w:r>
      <w:r w:rsidRPr="00405F18">
        <w:rPr>
          <w:rFonts w:ascii="Times New Roman" w:hAnsi="Times New Roman" w:cs="Times New Roman"/>
          <w:sz w:val="24"/>
          <w:szCs w:val="24"/>
          <w:lang w:val="en-US"/>
        </w:rPr>
        <w:lastRenderedPageBreak/>
        <w:t>and mesenchymal markers (</w:t>
      </w:r>
      <w:r w:rsidR="00C732B8" w:rsidRPr="00C732B8">
        <w:rPr>
          <w:rFonts w:ascii="Times New Roman" w:hAnsi="Times New Roman" w:cs="Times New Roman"/>
          <w:i/>
          <w:iCs/>
          <w:sz w:val="24"/>
          <w:szCs w:val="24"/>
          <w:lang w:val="en-US"/>
        </w:rPr>
        <w:t>Sox9</w:t>
      </w:r>
      <w:r w:rsidR="00C732B8">
        <w:rPr>
          <w:rFonts w:ascii="Times New Roman" w:hAnsi="Times New Roman" w:cs="Times New Roman"/>
          <w:sz w:val="24"/>
          <w:szCs w:val="24"/>
          <w:lang w:val="en-US"/>
        </w:rPr>
        <w:t xml:space="preserve"> [</w:t>
      </w:r>
      <w:r w:rsidR="00C732B8" w:rsidRPr="00405F18">
        <w:rPr>
          <w:rFonts w:ascii="Times New Roman" w:hAnsi="Times New Roman" w:cs="Times New Roman"/>
          <w:sz w:val="24"/>
          <w:szCs w:val="24"/>
          <w:lang w:val="en-US"/>
        </w:rPr>
        <w:t>SRY-box transcription factor 9</w:t>
      </w:r>
      <w:r w:rsidR="00C732B8">
        <w:rPr>
          <w:rFonts w:ascii="Times New Roman" w:hAnsi="Times New Roman" w:cs="Times New Roman"/>
          <w:sz w:val="24"/>
          <w:szCs w:val="24"/>
          <w:lang w:val="en-US"/>
        </w:rPr>
        <w:t>]</w:t>
      </w:r>
      <w:r w:rsidRPr="00C732B8">
        <w:rPr>
          <w:rFonts w:ascii="Times New Roman" w:hAnsi="Times New Roman" w:cs="Times New Roman"/>
          <w:sz w:val="24"/>
          <w:szCs w:val="24"/>
          <w:lang w:val="en-US"/>
        </w:rPr>
        <w:t xml:space="preserve">, </w:t>
      </w:r>
      <w:r w:rsidRPr="00C732B8">
        <w:rPr>
          <w:rFonts w:ascii="Times New Roman" w:hAnsi="Times New Roman" w:cs="Times New Roman"/>
          <w:i/>
          <w:iCs/>
          <w:sz w:val="24"/>
          <w:szCs w:val="24"/>
          <w:lang w:val="en-US"/>
        </w:rPr>
        <w:t>Vim</w:t>
      </w:r>
      <w:r w:rsidR="001479ED" w:rsidRPr="00C732B8">
        <w:rPr>
          <w:rFonts w:ascii="Times New Roman" w:hAnsi="Times New Roman" w:cs="Times New Roman"/>
          <w:i/>
          <w:iCs/>
          <w:sz w:val="24"/>
          <w:szCs w:val="24"/>
          <w:lang w:val="en-US"/>
        </w:rPr>
        <w:t xml:space="preserve"> </w:t>
      </w:r>
      <w:r w:rsidR="000C58B4">
        <w:rPr>
          <w:rFonts w:ascii="Times New Roman" w:hAnsi="Times New Roman" w:cs="Times New Roman"/>
          <w:sz w:val="24"/>
          <w:szCs w:val="24"/>
          <w:lang w:val="en-US"/>
        </w:rPr>
        <w:t xml:space="preserve">[vimentin] </w:t>
      </w:r>
      <w:r w:rsidRPr="00405F18">
        <w:rPr>
          <w:rFonts w:ascii="Times New Roman" w:hAnsi="Times New Roman" w:cs="Times New Roman"/>
          <w:sz w:val="24"/>
          <w:szCs w:val="24"/>
          <w:lang w:val="en-US"/>
        </w:rPr>
        <w:t xml:space="preserve">and </w:t>
      </w:r>
      <w:r w:rsidRPr="00405F18">
        <w:rPr>
          <w:rFonts w:ascii="Times New Roman" w:hAnsi="Times New Roman" w:cs="Times New Roman"/>
          <w:i/>
          <w:iCs/>
          <w:sz w:val="24"/>
          <w:szCs w:val="24"/>
          <w:lang w:val="en-US"/>
        </w:rPr>
        <w:t>C</w:t>
      </w:r>
      <w:r w:rsidR="00C732B8">
        <w:rPr>
          <w:rFonts w:ascii="Times New Roman" w:hAnsi="Times New Roman" w:cs="Times New Roman"/>
          <w:i/>
          <w:iCs/>
          <w:sz w:val="24"/>
          <w:szCs w:val="24"/>
          <w:lang w:val="en-US"/>
        </w:rPr>
        <w:t>d</w:t>
      </w:r>
      <w:r w:rsidRPr="00405F18">
        <w:rPr>
          <w:rFonts w:ascii="Times New Roman" w:hAnsi="Times New Roman" w:cs="Times New Roman"/>
          <w:i/>
          <w:iCs/>
          <w:sz w:val="24"/>
          <w:szCs w:val="24"/>
          <w:lang w:val="en-US"/>
        </w:rPr>
        <w:t>44</w:t>
      </w:r>
      <w:r w:rsidRPr="00405F18">
        <w:rPr>
          <w:rFonts w:ascii="Times New Roman" w:hAnsi="Times New Roman" w:cs="Times New Roman"/>
          <w:sz w:val="24"/>
          <w:szCs w:val="24"/>
          <w:lang w:val="en-US"/>
        </w:rPr>
        <w:t xml:space="preserve">) (Figure </w:t>
      </w:r>
      <w:r w:rsidR="001479ED" w:rsidRPr="00405F18">
        <w:rPr>
          <w:rFonts w:ascii="Times New Roman" w:hAnsi="Times New Roman" w:cs="Times New Roman"/>
          <w:sz w:val="24"/>
          <w:szCs w:val="24"/>
          <w:lang w:val="en-US"/>
        </w:rPr>
        <w:t>9</w:t>
      </w:r>
      <w:r w:rsidRPr="00405F18">
        <w:rPr>
          <w:rFonts w:ascii="Times New Roman" w:hAnsi="Times New Roman" w:cs="Times New Roman"/>
          <w:sz w:val="24"/>
          <w:szCs w:val="24"/>
          <w:lang w:val="en-US"/>
        </w:rPr>
        <w:t xml:space="preserve">D). No change in the expression of these markers </w:t>
      </w:r>
      <w:r w:rsidR="00C13AB9"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s observed after 6 h</w:t>
      </w:r>
      <w:r w:rsidR="00FE162F" w:rsidRPr="00405F18">
        <w:rPr>
          <w:rFonts w:ascii="Times New Roman" w:hAnsi="Times New Roman" w:cs="Times New Roman"/>
          <w:sz w:val="24"/>
          <w:szCs w:val="24"/>
          <w:lang w:val="en-US"/>
        </w:rPr>
        <w:t xml:space="preserve"> of PA treatment</w:t>
      </w:r>
      <w:r w:rsidRPr="00405F18">
        <w:rPr>
          <w:rFonts w:ascii="Times New Roman" w:hAnsi="Times New Roman" w:cs="Times New Roman"/>
          <w:sz w:val="24"/>
          <w:szCs w:val="24"/>
          <w:lang w:val="en-US"/>
        </w:rPr>
        <w:t xml:space="preserve"> (Figure S</w:t>
      </w:r>
      <w:r w:rsidR="005B5844" w:rsidRPr="00405F18">
        <w:rPr>
          <w:rFonts w:ascii="Times New Roman" w:hAnsi="Times New Roman" w:cs="Times New Roman"/>
          <w:sz w:val="24"/>
          <w:szCs w:val="24"/>
          <w:lang w:val="en-US"/>
        </w:rPr>
        <w:t>7</w:t>
      </w:r>
      <w:proofErr w:type="gramStart"/>
      <w:r w:rsidR="007E2290" w:rsidRPr="00405F18">
        <w:rPr>
          <w:rFonts w:ascii="Times New Roman" w:hAnsi="Times New Roman" w:cs="Times New Roman"/>
          <w:sz w:val="24"/>
          <w:szCs w:val="24"/>
          <w:lang w:val="en-US"/>
        </w:rPr>
        <w:t>B,C</w:t>
      </w:r>
      <w:proofErr w:type="gramEnd"/>
      <w:r w:rsidRPr="00405F18">
        <w:rPr>
          <w:rFonts w:ascii="Times New Roman" w:hAnsi="Times New Roman" w:cs="Times New Roman"/>
          <w:sz w:val="24"/>
          <w:szCs w:val="24"/>
          <w:lang w:val="en-US"/>
        </w:rPr>
        <w:t>). These results suggest</w:t>
      </w:r>
      <w:r w:rsidR="00C13AB9"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that PA alters the differentiation phenotype of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00781627" w:rsidRPr="00405F18">
        <w:rPr>
          <w:rFonts w:ascii="Times New Roman" w:hAnsi="Times New Roman" w:cs="Times New Roman"/>
          <w:sz w:val="24"/>
          <w:szCs w:val="24"/>
          <w:lang w:val="en-US"/>
        </w:rPr>
        <w:t xml:space="preserve"> and that endocytic alterations occur prior</w:t>
      </w:r>
      <w:r w:rsidR="00FC2971" w:rsidRPr="00405F18">
        <w:rPr>
          <w:rFonts w:ascii="Times New Roman" w:hAnsi="Times New Roman" w:cs="Times New Roman"/>
          <w:sz w:val="24"/>
          <w:szCs w:val="24"/>
          <w:lang w:val="en-US"/>
        </w:rPr>
        <w:t xml:space="preserve"> to</w:t>
      </w:r>
      <w:r w:rsidR="00781627" w:rsidRPr="00405F18">
        <w:rPr>
          <w:rFonts w:ascii="Times New Roman" w:hAnsi="Times New Roman" w:cs="Times New Roman"/>
          <w:sz w:val="24"/>
          <w:szCs w:val="24"/>
          <w:lang w:val="en-US"/>
        </w:rPr>
        <w:t xml:space="preserve"> the modifications </w:t>
      </w:r>
      <w:r w:rsidR="00DA5C52" w:rsidRPr="00405F18">
        <w:rPr>
          <w:rFonts w:ascii="Times New Roman" w:hAnsi="Times New Roman" w:cs="Times New Roman"/>
          <w:sz w:val="24"/>
          <w:szCs w:val="24"/>
          <w:lang w:val="en-US"/>
        </w:rPr>
        <w:t xml:space="preserve">in </w:t>
      </w:r>
      <w:r w:rsidR="00781627" w:rsidRPr="00405F18">
        <w:rPr>
          <w:rFonts w:ascii="Times New Roman" w:hAnsi="Times New Roman" w:cs="Times New Roman"/>
          <w:sz w:val="24"/>
          <w:szCs w:val="24"/>
          <w:lang w:val="en-US"/>
        </w:rPr>
        <w:t>gene expressions</w:t>
      </w:r>
      <w:r w:rsidRPr="00405F18">
        <w:rPr>
          <w:rFonts w:ascii="Times New Roman" w:hAnsi="Times New Roman" w:cs="Times New Roman"/>
          <w:sz w:val="24"/>
          <w:szCs w:val="24"/>
          <w:lang w:val="en-US"/>
        </w:rPr>
        <w:t>. Protein endocytosis relies on the availability of receptors at the apical site, effective endocytosis and intracellular trafficking for ligands/proteins to be degraded in lysosomes</w:t>
      </w:r>
      <w:r w:rsidR="007A6C79">
        <w:rPr>
          <w:rFonts w:ascii="Times New Roman" w:hAnsi="Times New Roman" w:cs="Times New Roman"/>
          <w:sz w:val="24"/>
          <w:szCs w:val="24"/>
          <w:lang w:val="en-US"/>
        </w:rPr>
        <w:t xml:space="preserve"> [</w:t>
      </w:r>
      <w:r w:rsidRPr="007A6C79">
        <w:rPr>
          <w:rFonts w:ascii="Times New Roman" w:hAnsi="Times New Roman" w:cs="Times New Roman"/>
          <w:sz w:val="24"/>
          <w:szCs w:val="24"/>
          <w:lang w:val="en-US"/>
        </w:rPr>
        <w:fldChar w:fldCharType="begin" w:fldLock="1"/>
      </w:r>
      <w:r w:rsidR="000A6C2B" w:rsidRPr="007A6C79">
        <w:rPr>
          <w:rFonts w:ascii="Times New Roman" w:hAnsi="Times New Roman" w:cs="Times New Roman"/>
          <w:sz w:val="24"/>
          <w:szCs w:val="24"/>
          <w:lang w:val="en-US"/>
        </w:rPr>
        <w:instrText>ADDIN CSL_CITATION {"citationItems":[{"id":"ITEM-1","itemData":{"DOI":"10.1016/j.kint.2015.11.007","ISSN":"15231755","PMID":"26759048","abstract":"Proximal tubule protein uptake is mediated by 2 receptors, megalin and cubilin. These receptors rescue a variety of filtered ligands, including biomarkers, essential vitamins, and hormones. Receptor gene knockout animal models have identified important functions of the receptors and have established their essential role in modulating urinary protein excretion. Rare genetic syndromes associated with dysfunction of these receptors have been identified and characterized, providing additional information on the importance of these receptors in humans. Using various disease models in combination with receptor gene knockout, the implications of receptor dysfunction in acute and chronic kidney injury have been explored and have pointed to potential new roles of these receptors. Based on data from animal models, this paper will review current knowledge on proximal tubule endocytic receptor function and regulation, and their role in renal development, protein reabsorption, albumin uptake, and normal renal physiology. These findings have implications for the pathophysiology and diagnosis of proteinuric renal diseases. We will examine the limitations of the different models and compare the findings to phenotypic observations in inherited human disorders associated with receptor dysfunction. Furthermore, evidence from receptor knockout mouse models as well as human observations suggesting a role of protein receptors for renal disease will be discussed in light of conditions such as chronic kidney disease, diabetes, and hypertension.","author":[{"dropping-particle":"","family":"Nielsen","given":"Rikke","non-dropping-particle":"","parse-names":false,"suffix":""},{"dropping-particle":"","family":"Christensen","given":"Erik Ilsø","non-dropping-particle":"","parse-names":false,"suffix":""},{"dropping-particle":"","family":"Birn","given":"Henrik","non-dropping-particle":"","parse-names":false,"suffix":""}],"container-title":"Kidney International","id":"ITEM-1","issue":"1","issued":{"date-parts":[["2016"]]},"page":"58-67","publisher":"Elsevier Inc","title":"Megalin and cubilin in proximal tubule protein reabsorption: From experimental models to human disease","type":"article-journal","volume":"89"},"uris":["http://www.mendeley.com/documents/?uuid=59feabb0-2908-49a2-b958-f99ec47cc085"]}],"mendeley":{"formattedCitation":"&lt;sup&gt;52&lt;/sup&gt;","plainTextFormattedCitation":"52","previouslyFormattedCitation":"&lt;sup&gt;52&lt;/sup&gt;"},"properties":{"noteIndex":0},"schema":"https://github.com/citation-style-language/schema/raw/master/csl-citation.json"}</w:instrText>
      </w:r>
      <w:r w:rsidRPr="007A6C79">
        <w:rPr>
          <w:rFonts w:ascii="Times New Roman" w:hAnsi="Times New Roman" w:cs="Times New Roman"/>
          <w:sz w:val="24"/>
          <w:szCs w:val="24"/>
          <w:lang w:val="en-US"/>
        </w:rPr>
        <w:fldChar w:fldCharType="separate"/>
      </w:r>
      <w:r w:rsidR="00CE6742" w:rsidRPr="007A6C79">
        <w:rPr>
          <w:rFonts w:ascii="Times New Roman" w:hAnsi="Times New Roman" w:cs="Times New Roman"/>
          <w:noProof/>
          <w:sz w:val="24"/>
          <w:szCs w:val="24"/>
          <w:lang w:val="en-US"/>
        </w:rPr>
        <w:t>52</w:t>
      </w:r>
      <w:r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3462FB" w:rsidRPr="00405F18">
        <w:rPr>
          <w:rFonts w:ascii="Times New Roman" w:hAnsi="Times New Roman" w:cs="Times New Roman"/>
          <w:sz w:val="24"/>
          <w:szCs w:val="24"/>
          <w:lang w:val="en-US"/>
        </w:rPr>
        <w:t xml:space="preserve">We thus </w:t>
      </w:r>
      <w:r w:rsidR="005B7865" w:rsidRPr="00405F18">
        <w:rPr>
          <w:rFonts w:ascii="Times New Roman" w:hAnsi="Times New Roman" w:cs="Times New Roman"/>
          <w:sz w:val="24"/>
          <w:szCs w:val="24"/>
          <w:lang w:val="en-US"/>
        </w:rPr>
        <w:t>used</w:t>
      </w:r>
      <w:r w:rsidRPr="00405F18">
        <w:rPr>
          <w:rFonts w:ascii="Times New Roman" w:hAnsi="Times New Roman" w:cs="Times New Roman"/>
          <w:sz w:val="24"/>
          <w:szCs w:val="24"/>
          <w:lang w:val="en-US"/>
        </w:rPr>
        <w:t xml:space="preserve">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FF7085">
        <w:rPr>
          <w:rFonts w:ascii="Times New Roman" w:hAnsi="Times New Roman" w:cs="Times New Roman"/>
          <w:sz w:val="24"/>
          <w:szCs w:val="24"/>
          <w:vertAlign w:val="subscript"/>
          <w:lang w:val="en-US"/>
        </w:rPr>
        <w:t>1</w:t>
      </w:r>
      <w:r w:rsidRPr="00405F18">
        <w:rPr>
          <w:rFonts w:ascii="Times New Roman" w:hAnsi="Times New Roman" w:cs="Times New Roman"/>
          <w:sz w:val="24"/>
          <w:szCs w:val="24"/>
          <w:lang w:val="en-US"/>
        </w:rPr>
        <w:t xml:space="preserve"> to determine whether impaired lysosomal acidification by itself might modify this process. Control cells treated with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FF7085">
        <w:rPr>
          <w:rFonts w:ascii="Times New Roman" w:hAnsi="Times New Roman" w:cs="Times New Roman"/>
          <w:sz w:val="24"/>
          <w:szCs w:val="24"/>
          <w:vertAlign w:val="subscript"/>
          <w:lang w:val="en-US"/>
        </w:rPr>
        <w:t>1</w:t>
      </w:r>
      <w:r w:rsidRPr="00405F18">
        <w:rPr>
          <w:rFonts w:ascii="Times New Roman" w:hAnsi="Times New Roman" w:cs="Times New Roman"/>
          <w:sz w:val="24"/>
          <w:szCs w:val="24"/>
          <w:lang w:val="en-US"/>
        </w:rPr>
        <w:t xml:space="preserve"> for 6 h display</w:t>
      </w:r>
      <w:r w:rsidR="00C13AB9"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a significant decrease in the uptake of BSA-488 (Figure </w:t>
      </w:r>
      <w:r w:rsidR="00CB03B2" w:rsidRPr="00405F18">
        <w:rPr>
          <w:rFonts w:ascii="Times New Roman" w:hAnsi="Times New Roman" w:cs="Times New Roman"/>
          <w:sz w:val="24"/>
          <w:szCs w:val="24"/>
          <w:lang w:val="en-US"/>
        </w:rPr>
        <w:t>9</w:t>
      </w:r>
      <w:proofErr w:type="gramStart"/>
      <w:r w:rsidRPr="00405F18">
        <w:rPr>
          <w:rFonts w:ascii="Times New Roman" w:hAnsi="Times New Roman" w:cs="Times New Roman"/>
          <w:sz w:val="24"/>
          <w:szCs w:val="24"/>
          <w:lang w:val="en-US"/>
        </w:rPr>
        <w:t>E,F</w:t>
      </w:r>
      <w:proofErr w:type="gramEnd"/>
      <w:r w:rsidRPr="00405F18">
        <w:rPr>
          <w:rFonts w:ascii="Times New Roman" w:hAnsi="Times New Roman" w:cs="Times New Roman"/>
          <w:sz w:val="24"/>
          <w:szCs w:val="24"/>
          <w:lang w:val="en-US"/>
        </w:rPr>
        <w:t xml:space="preserve">). Again, </w:t>
      </w:r>
      <w:r w:rsidR="00C13AB9" w:rsidRPr="00405F18">
        <w:rPr>
          <w:rFonts w:ascii="Times New Roman" w:hAnsi="Times New Roman" w:cs="Times New Roman"/>
          <w:sz w:val="24"/>
          <w:szCs w:val="24"/>
          <w:lang w:val="en-US"/>
        </w:rPr>
        <w:t>this</w:t>
      </w:r>
      <w:r w:rsidRPr="00405F18">
        <w:rPr>
          <w:rFonts w:ascii="Times New Roman" w:hAnsi="Times New Roman" w:cs="Times New Roman"/>
          <w:sz w:val="24"/>
          <w:szCs w:val="24"/>
          <w:lang w:val="en-US"/>
        </w:rPr>
        <w:t xml:space="preserve"> suggest</w:t>
      </w:r>
      <w:r w:rsidR="00C13AB9"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w:t>
      </w:r>
      <w:r w:rsidR="00C13AB9" w:rsidRPr="00405F18">
        <w:rPr>
          <w:rFonts w:ascii="Times New Roman" w:hAnsi="Times New Roman" w:cs="Times New Roman"/>
          <w:sz w:val="24"/>
          <w:szCs w:val="24"/>
          <w:lang w:val="en-US"/>
        </w:rPr>
        <w:t xml:space="preserve">an </w:t>
      </w:r>
      <w:r w:rsidRPr="00405F18">
        <w:rPr>
          <w:rFonts w:ascii="Times New Roman" w:hAnsi="Times New Roman" w:cs="Times New Roman"/>
          <w:sz w:val="24"/>
          <w:szCs w:val="24"/>
          <w:lang w:val="en-US"/>
        </w:rPr>
        <w:t xml:space="preserve">impairment in protein reabsorption and </w:t>
      </w:r>
      <w:r w:rsidR="00C13AB9" w:rsidRPr="00405F18">
        <w:rPr>
          <w:rFonts w:ascii="Times New Roman" w:hAnsi="Times New Roman" w:cs="Times New Roman"/>
          <w:sz w:val="24"/>
          <w:szCs w:val="24"/>
          <w:lang w:val="en-US"/>
        </w:rPr>
        <w:t>underlined</w:t>
      </w:r>
      <w:r w:rsidRPr="00405F18">
        <w:rPr>
          <w:rFonts w:ascii="Times New Roman" w:hAnsi="Times New Roman" w:cs="Times New Roman"/>
          <w:sz w:val="24"/>
          <w:szCs w:val="24"/>
          <w:lang w:val="en-US"/>
        </w:rPr>
        <w:t xml:space="preserve"> the need for effective lysosomal function in this endocytic pathway. The insensitivity of PA-treated cells to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FF7085">
        <w:rPr>
          <w:rFonts w:ascii="Times New Roman" w:hAnsi="Times New Roman" w:cs="Times New Roman"/>
          <w:sz w:val="24"/>
          <w:szCs w:val="24"/>
          <w:vertAlign w:val="subscript"/>
          <w:lang w:val="en-US"/>
        </w:rPr>
        <w:t>1</w:t>
      </w:r>
      <w:r w:rsidRPr="00405F18">
        <w:rPr>
          <w:rFonts w:ascii="Times New Roman" w:hAnsi="Times New Roman" w:cs="Times New Roman"/>
          <w:sz w:val="24"/>
          <w:szCs w:val="24"/>
          <w:lang w:val="en-US"/>
        </w:rPr>
        <w:t xml:space="preserve"> </w:t>
      </w:r>
      <w:r w:rsidR="00BD77D8" w:rsidRPr="00405F18">
        <w:rPr>
          <w:rFonts w:ascii="Times New Roman" w:hAnsi="Times New Roman" w:cs="Times New Roman"/>
          <w:sz w:val="24"/>
          <w:szCs w:val="24"/>
          <w:lang w:val="en-US"/>
        </w:rPr>
        <w:t>clearly demonstrat</w:t>
      </w:r>
      <w:r w:rsidR="00EF35E0" w:rsidRPr="00405F18">
        <w:rPr>
          <w:rFonts w:ascii="Times New Roman" w:hAnsi="Times New Roman" w:cs="Times New Roman"/>
          <w:sz w:val="24"/>
          <w:szCs w:val="24"/>
          <w:lang w:val="en-US"/>
        </w:rPr>
        <w:t xml:space="preserve">ed the contribution of </w:t>
      </w:r>
      <w:r w:rsidRPr="00405F18">
        <w:rPr>
          <w:rFonts w:ascii="Times New Roman" w:hAnsi="Times New Roman" w:cs="Times New Roman"/>
          <w:sz w:val="24"/>
          <w:szCs w:val="24"/>
          <w:lang w:val="en-US"/>
        </w:rPr>
        <w:t xml:space="preserve">lysosomal dysfunction </w:t>
      </w:r>
      <w:proofErr w:type="gramStart"/>
      <w:r w:rsidR="00EF35E0" w:rsidRPr="00405F18">
        <w:rPr>
          <w:rFonts w:ascii="Times New Roman" w:hAnsi="Times New Roman" w:cs="Times New Roman"/>
          <w:sz w:val="24"/>
          <w:szCs w:val="24"/>
          <w:lang w:val="en-US"/>
        </w:rPr>
        <w:t>on</w:t>
      </w:r>
      <w:proofErr w:type="gramEnd"/>
      <w:r w:rsidRPr="00405F18">
        <w:rPr>
          <w:rFonts w:ascii="Times New Roman" w:hAnsi="Times New Roman" w:cs="Times New Roman"/>
          <w:sz w:val="24"/>
          <w:szCs w:val="24"/>
          <w:lang w:val="en-US"/>
        </w:rPr>
        <w:t xml:space="preserve"> the phenotype of impaired endocytosis in PA-treated </w:t>
      </w:r>
      <w:proofErr w:type="spellStart"/>
      <w:r w:rsidR="00CC5768">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87363D"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w:t>
      </w:r>
    </w:p>
    <w:p w14:paraId="06D017EE" w14:textId="65EB0B72" w:rsidR="002E1069" w:rsidRPr="00405F18" w:rsidRDefault="00280BE9" w:rsidP="007A6C79">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Finally, as we show</w:t>
      </w:r>
      <w:r w:rsidR="006B44A5"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that AMPK activators protect</w:t>
      </w:r>
      <w:r w:rsidR="00C13AB9"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from lysosomal dysfunction in PA-treated cells (Figure 6), their potential in the maintenance of protein endocytosis was assessed. AMPK activation in PA-treated cells significantly increase</w:t>
      </w:r>
      <w:r w:rsidR="00C13AB9"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xml:space="preserve"> the cytosolic BSA-488-related fluorescence</w:t>
      </w:r>
      <w:r w:rsidR="00CB03B2" w:rsidRPr="00405F18">
        <w:rPr>
          <w:rFonts w:ascii="Times New Roman" w:hAnsi="Times New Roman" w:cs="Times New Roman"/>
          <w:sz w:val="24"/>
          <w:szCs w:val="24"/>
          <w:lang w:val="en-US"/>
        </w:rPr>
        <w:t xml:space="preserve"> (Figure 10</w:t>
      </w:r>
      <w:proofErr w:type="gramStart"/>
      <w:r w:rsidR="00CB03B2" w:rsidRPr="00405F18">
        <w:rPr>
          <w:rFonts w:ascii="Times New Roman" w:hAnsi="Times New Roman" w:cs="Times New Roman"/>
          <w:sz w:val="24"/>
          <w:szCs w:val="24"/>
          <w:lang w:val="en-US"/>
        </w:rPr>
        <w:t>A,B</w:t>
      </w:r>
      <w:proofErr w:type="gramEnd"/>
      <w:r w:rsidR="00CB03B2"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C13AB9" w:rsidRPr="00405F18">
        <w:rPr>
          <w:rFonts w:ascii="Times New Roman" w:hAnsi="Times New Roman" w:cs="Times New Roman"/>
          <w:sz w:val="24"/>
          <w:szCs w:val="24"/>
          <w:lang w:val="en-US"/>
        </w:rPr>
        <w:t>T</w:t>
      </w:r>
      <w:r w:rsidRPr="00405F18">
        <w:rPr>
          <w:rFonts w:ascii="Times New Roman" w:hAnsi="Times New Roman" w:cs="Times New Roman"/>
          <w:sz w:val="24"/>
          <w:szCs w:val="24"/>
          <w:lang w:val="en-US"/>
        </w:rPr>
        <w:t xml:space="preserve">his protection </w:t>
      </w:r>
      <w:r w:rsidR="00C13AB9"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 xml:space="preserve">s alleviated by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FF7085">
        <w:rPr>
          <w:rFonts w:ascii="Times New Roman" w:hAnsi="Times New Roman" w:cs="Times New Roman"/>
          <w:sz w:val="24"/>
          <w:szCs w:val="24"/>
          <w:vertAlign w:val="subscript"/>
          <w:lang w:val="en-US"/>
        </w:rPr>
        <w:t>1</w:t>
      </w:r>
      <w:r w:rsidR="002155CD" w:rsidRPr="00405F18">
        <w:rPr>
          <w:rFonts w:ascii="Times New Roman" w:hAnsi="Times New Roman" w:cs="Times New Roman"/>
          <w:sz w:val="24"/>
          <w:szCs w:val="24"/>
          <w:lang w:val="en-US"/>
        </w:rPr>
        <w:t xml:space="preserve"> which </w:t>
      </w:r>
      <w:r w:rsidR="00FF7085" w:rsidRPr="00405F18">
        <w:rPr>
          <w:rFonts w:ascii="Times New Roman" w:hAnsi="Times New Roman" w:cs="Times New Roman"/>
          <w:sz w:val="24"/>
          <w:szCs w:val="24"/>
          <w:lang w:val="en-US"/>
        </w:rPr>
        <w:t>strengthened</w:t>
      </w:r>
      <w:r w:rsidR="002155CD" w:rsidRPr="00405F18">
        <w:rPr>
          <w:rFonts w:ascii="Times New Roman" w:hAnsi="Times New Roman" w:cs="Times New Roman"/>
          <w:sz w:val="24"/>
          <w:szCs w:val="24"/>
          <w:lang w:val="en-US"/>
        </w:rPr>
        <w:t xml:space="preserve"> the importance of lysosomal homeostasis</w:t>
      </w:r>
      <w:r w:rsidRPr="00405F18">
        <w:rPr>
          <w:rFonts w:ascii="Times New Roman" w:hAnsi="Times New Roman" w:cs="Times New Roman"/>
          <w:sz w:val="24"/>
          <w:szCs w:val="24"/>
          <w:lang w:val="en-US"/>
        </w:rPr>
        <w:t xml:space="preserve">. The protective effect of AMPK activators on protein endocytosis </w:t>
      </w:r>
      <w:r w:rsidR="00C13AB9" w:rsidRPr="00405F18">
        <w:rPr>
          <w:rFonts w:ascii="Times New Roman" w:hAnsi="Times New Roman" w:cs="Times New Roman"/>
          <w:sz w:val="24"/>
          <w:szCs w:val="24"/>
          <w:lang w:val="en-US"/>
        </w:rPr>
        <w:t>was</w:t>
      </w:r>
      <w:r w:rsidRPr="00405F18">
        <w:rPr>
          <w:rFonts w:ascii="Times New Roman" w:hAnsi="Times New Roman" w:cs="Times New Roman"/>
          <w:sz w:val="24"/>
          <w:szCs w:val="24"/>
          <w:lang w:val="en-US"/>
        </w:rPr>
        <w:t xml:space="preserve">, however, relatively transient after 24 h (Figure </w:t>
      </w:r>
      <w:r w:rsidR="00CB03B2" w:rsidRPr="00405F18">
        <w:rPr>
          <w:rFonts w:ascii="Times New Roman" w:hAnsi="Times New Roman" w:cs="Times New Roman"/>
          <w:sz w:val="24"/>
          <w:szCs w:val="24"/>
          <w:lang w:val="en-US"/>
        </w:rPr>
        <w:t>10</w:t>
      </w:r>
      <w:proofErr w:type="gramStart"/>
      <w:r w:rsidRPr="00405F18">
        <w:rPr>
          <w:rFonts w:ascii="Times New Roman" w:hAnsi="Times New Roman" w:cs="Times New Roman"/>
          <w:sz w:val="24"/>
          <w:szCs w:val="24"/>
          <w:lang w:val="en-US"/>
        </w:rPr>
        <w:t>A,C</w:t>
      </w:r>
      <w:proofErr w:type="gramEnd"/>
      <w:r w:rsidRPr="00405F18">
        <w:rPr>
          <w:rFonts w:ascii="Times New Roman" w:hAnsi="Times New Roman" w:cs="Times New Roman"/>
          <w:sz w:val="24"/>
          <w:szCs w:val="24"/>
          <w:lang w:val="en-US"/>
        </w:rPr>
        <w:t>)</w:t>
      </w:r>
      <w:r w:rsidR="0073377A" w:rsidRPr="00405F18">
        <w:rPr>
          <w:rFonts w:ascii="Times New Roman" w:hAnsi="Times New Roman" w:cs="Times New Roman"/>
          <w:sz w:val="24"/>
          <w:szCs w:val="24"/>
          <w:lang w:val="en-US"/>
        </w:rPr>
        <w:t xml:space="preserve">. </w:t>
      </w:r>
      <w:r w:rsidR="002377E5" w:rsidRPr="00405F18">
        <w:rPr>
          <w:rFonts w:ascii="Times New Roman" w:hAnsi="Times New Roman" w:cs="Times New Roman"/>
          <w:sz w:val="24"/>
          <w:szCs w:val="24"/>
          <w:lang w:val="en-US"/>
        </w:rPr>
        <w:t xml:space="preserve">However, </w:t>
      </w:r>
      <w:r w:rsidR="00CC7806" w:rsidRPr="00405F18">
        <w:rPr>
          <w:rFonts w:ascii="Times New Roman" w:hAnsi="Times New Roman" w:cs="Times New Roman"/>
          <w:sz w:val="24"/>
          <w:szCs w:val="24"/>
          <w:lang w:val="en-US"/>
        </w:rPr>
        <w:t>the</w:t>
      </w:r>
      <w:r w:rsidR="002377E5" w:rsidRPr="00405F18">
        <w:rPr>
          <w:rFonts w:ascii="Times New Roman" w:hAnsi="Times New Roman" w:cs="Times New Roman"/>
          <w:sz w:val="24"/>
          <w:szCs w:val="24"/>
          <w:lang w:val="en-US"/>
        </w:rPr>
        <w:t xml:space="preserve"> benefits of AMPK a</w:t>
      </w:r>
      <w:r w:rsidR="005B7222" w:rsidRPr="00405F18">
        <w:rPr>
          <w:rFonts w:ascii="Times New Roman" w:hAnsi="Times New Roman" w:cs="Times New Roman"/>
          <w:sz w:val="24"/>
          <w:szCs w:val="24"/>
          <w:lang w:val="en-US"/>
        </w:rPr>
        <w:t>ctivation</w:t>
      </w:r>
      <w:r w:rsidR="002377E5" w:rsidRPr="00405F18">
        <w:rPr>
          <w:rFonts w:ascii="Times New Roman" w:hAnsi="Times New Roman" w:cs="Times New Roman"/>
          <w:sz w:val="24"/>
          <w:szCs w:val="24"/>
          <w:lang w:val="en-US"/>
        </w:rPr>
        <w:t xml:space="preserve"> to counteract the deleterious effect of </w:t>
      </w:r>
      <w:r w:rsidR="005A6E77" w:rsidRPr="00405F18">
        <w:rPr>
          <w:rFonts w:ascii="Times New Roman" w:hAnsi="Times New Roman" w:cs="Times New Roman"/>
          <w:sz w:val="24"/>
          <w:szCs w:val="24"/>
          <w:lang w:val="en-US"/>
        </w:rPr>
        <w:t xml:space="preserve">PA </w:t>
      </w:r>
      <w:r w:rsidR="00885931" w:rsidRPr="00405F18">
        <w:rPr>
          <w:rFonts w:ascii="Times New Roman" w:hAnsi="Times New Roman" w:cs="Times New Roman"/>
          <w:sz w:val="24"/>
          <w:szCs w:val="24"/>
          <w:lang w:val="en-US"/>
        </w:rPr>
        <w:t xml:space="preserve">on </w:t>
      </w:r>
      <w:proofErr w:type="spellStart"/>
      <w:r w:rsidR="00CC5768">
        <w:rPr>
          <w:rFonts w:ascii="Times New Roman" w:hAnsi="Times New Roman" w:cs="Times New Roman"/>
          <w:sz w:val="24"/>
          <w:szCs w:val="24"/>
          <w:lang w:val="en-US"/>
        </w:rPr>
        <w:t>M</w:t>
      </w:r>
      <w:r w:rsidR="00885931" w:rsidRPr="00405F18">
        <w:rPr>
          <w:rFonts w:ascii="Times New Roman" w:hAnsi="Times New Roman" w:cs="Times New Roman"/>
          <w:sz w:val="24"/>
          <w:szCs w:val="24"/>
          <w:lang w:val="en-US"/>
        </w:rPr>
        <w:t>mPTEC</w:t>
      </w:r>
      <w:proofErr w:type="spellEnd"/>
      <w:r w:rsidR="00885931" w:rsidRPr="00405F18">
        <w:rPr>
          <w:rFonts w:ascii="Times New Roman" w:hAnsi="Times New Roman" w:cs="Times New Roman"/>
          <w:sz w:val="24"/>
          <w:szCs w:val="24"/>
          <w:lang w:val="en-US"/>
        </w:rPr>
        <w:t xml:space="preserve"> dedifferentiation a</w:t>
      </w:r>
      <w:r w:rsidR="005A6E77" w:rsidRPr="00405F18">
        <w:rPr>
          <w:rFonts w:ascii="Times New Roman" w:hAnsi="Times New Roman" w:cs="Times New Roman"/>
          <w:sz w:val="24"/>
          <w:szCs w:val="24"/>
          <w:lang w:val="en-US"/>
        </w:rPr>
        <w:t>fter 24 h</w:t>
      </w:r>
      <w:r w:rsidR="00CC7806" w:rsidRPr="00405F18">
        <w:rPr>
          <w:rFonts w:ascii="Times New Roman" w:hAnsi="Times New Roman" w:cs="Times New Roman"/>
          <w:sz w:val="24"/>
          <w:szCs w:val="24"/>
          <w:lang w:val="en-US"/>
        </w:rPr>
        <w:t xml:space="preserve"> were highlighted</w:t>
      </w:r>
      <w:r w:rsidR="005B7222" w:rsidRPr="00405F18">
        <w:rPr>
          <w:rFonts w:ascii="Times New Roman" w:hAnsi="Times New Roman" w:cs="Times New Roman"/>
          <w:sz w:val="24"/>
          <w:szCs w:val="24"/>
          <w:lang w:val="en-US"/>
        </w:rPr>
        <w:t>. In</w:t>
      </w:r>
      <w:r w:rsidR="002155CD" w:rsidRPr="00405F18">
        <w:rPr>
          <w:rFonts w:ascii="Times New Roman" w:hAnsi="Times New Roman" w:cs="Times New Roman"/>
          <w:sz w:val="24"/>
          <w:szCs w:val="24"/>
          <w:lang w:val="en-US"/>
        </w:rPr>
        <w:t xml:space="preserve">deed, </w:t>
      </w:r>
      <w:r w:rsidR="00D02FF6" w:rsidRPr="00405F18">
        <w:rPr>
          <w:rFonts w:ascii="Times New Roman" w:hAnsi="Times New Roman" w:cs="Times New Roman"/>
          <w:sz w:val="24"/>
          <w:szCs w:val="24"/>
          <w:lang w:val="en-US"/>
        </w:rPr>
        <w:t>the addition of A769662 or AICAR significantly increased the expression of differentiation markers</w:t>
      </w:r>
      <w:r w:rsidR="005C464E" w:rsidRPr="00405F18">
        <w:rPr>
          <w:rFonts w:ascii="Times New Roman" w:hAnsi="Times New Roman" w:cs="Times New Roman"/>
          <w:sz w:val="24"/>
          <w:szCs w:val="24"/>
          <w:lang w:val="en-US"/>
        </w:rPr>
        <w:t xml:space="preserve"> </w:t>
      </w:r>
      <w:r w:rsidR="002155CD" w:rsidRPr="00405F18">
        <w:rPr>
          <w:rFonts w:ascii="Times New Roman" w:hAnsi="Times New Roman" w:cs="Times New Roman"/>
          <w:sz w:val="24"/>
          <w:szCs w:val="24"/>
          <w:lang w:val="en-US"/>
        </w:rPr>
        <w:t xml:space="preserve">such as </w:t>
      </w:r>
      <w:r w:rsidR="002155CD" w:rsidRPr="00405F18">
        <w:rPr>
          <w:rFonts w:ascii="Times New Roman" w:hAnsi="Times New Roman" w:cs="Times New Roman"/>
          <w:i/>
          <w:iCs/>
          <w:sz w:val="24"/>
          <w:szCs w:val="24"/>
          <w:lang w:val="en-US"/>
        </w:rPr>
        <w:t>Lrp2</w:t>
      </w:r>
      <w:r w:rsidR="002155CD" w:rsidRPr="00405F18">
        <w:rPr>
          <w:rFonts w:ascii="Times New Roman" w:hAnsi="Times New Roman" w:cs="Times New Roman"/>
          <w:sz w:val="24"/>
          <w:szCs w:val="24"/>
          <w:lang w:val="en-US"/>
        </w:rPr>
        <w:t xml:space="preserve">, </w:t>
      </w:r>
      <w:r w:rsidR="002155CD" w:rsidRPr="00405F18">
        <w:rPr>
          <w:rFonts w:ascii="Times New Roman" w:hAnsi="Times New Roman" w:cs="Times New Roman"/>
          <w:i/>
          <w:iCs/>
          <w:sz w:val="24"/>
          <w:szCs w:val="24"/>
          <w:lang w:val="en-US"/>
        </w:rPr>
        <w:t>A</w:t>
      </w:r>
      <w:r w:rsidR="000B592D">
        <w:rPr>
          <w:rFonts w:ascii="Times New Roman" w:hAnsi="Times New Roman" w:cs="Times New Roman"/>
          <w:i/>
          <w:iCs/>
          <w:sz w:val="24"/>
          <w:szCs w:val="24"/>
          <w:lang w:val="en-US"/>
        </w:rPr>
        <w:t>qp</w:t>
      </w:r>
      <w:r w:rsidR="002155CD" w:rsidRPr="00405F18">
        <w:rPr>
          <w:rFonts w:ascii="Times New Roman" w:hAnsi="Times New Roman" w:cs="Times New Roman"/>
          <w:i/>
          <w:iCs/>
          <w:sz w:val="24"/>
          <w:szCs w:val="24"/>
          <w:lang w:val="en-US"/>
        </w:rPr>
        <w:t>1</w:t>
      </w:r>
      <w:r w:rsidR="002155CD" w:rsidRPr="00405F18">
        <w:rPr>
          <w:rFonts w:ascii="Times New Roman" w:hAnsi="Times New Roman" w:cs="Times New Roman"/>
          <w:sz w:val="24"/>
          <w:szCs w:val="24"/>
          <w:lang w:val="en-US"/>
        </w:rPr>
        <w:t xml:space="preserve"> and </w:t>
      </w:r>
      <w:r w:rsidR="002155CD" w:rsidRPr="00405F18">
        <w:rPr>
          <w:rFonts w:ascii="Times New Roman" w:hAnsi="Times New Roman" w:cs="Times New Roman"/>
          <w:i/>
          <w:iCs/>
          <w:sz w:val="24"/>
          <w:szCs w:val="24"/>
          <w:lang w:val="en-US"/>
        </w:rPr>
        <w:t>Slc5</w:t>
      </w:r>
      <w:r w:rsidR="004A5C43">
        <w:rPr>
          <w:rFonts w:ascii="Times New Roman" w:hAnsi="Times New Roman" w:cs="Times New Roman"/>
          <w:i/>
          <w:iCs/>
          <w:sz w:val="24"/>
          <w:szCs w:val="24"/>
          <w:lang w:val="en-US"/>
        </w:rPr>
        <w:t>a</w:t>
      </w:r>
      <w:r w:rsidR="002155CD" w:rsidRPr="00405F18">
        <w:rPr>
          <w:rFonts w:ascii="Times New Roman" w:hAnsi="Times New Roman" w:cs="Times New Roman"/>
          <w:i/>
          <w:iCs/>
          <w:sz w:val="24"/>
          <w:szCs w:val="24"/>
          <w:lang w:val="en-US"/>
        </w:rPr>
        <w:t>2</w:t>
      </w:r>
      <w:r w:rsidR="002155CD" w:rsidRPr="00405F18">
        <w:rPr>
          <w:rFonts w:ascii="Times New Roman" w:hAnsi="Times New Roman" w:cs="Times New Roman"/>
          <w:sz w:val="24"/>
          <w:szCs w:val="24"/>
          <w:lang w:val="en-US"/>
        </w:rPr>
        <w:t xml:space="preserve"> </w:t>
      </w:r>
      <w:r w:rsidR="005C464E" w:rsidRPr="00405F18">
        <w:rPr>
          <w:rFonts w:ascii="Times New Roman" w:hAnsi="Times New Roman" w:cs="Times New Roman"/>
          <w:sz w:val="24"/>
          <w:szCs w:val="24"/>
          <w:lang w:val="en-US"/>
        </w:rPr>
        <w:t xml:space="preserve">in PA-treated cells after 24 h </w:t>
      </w:r>
      <w:r w:rsidR="002155CD" w:rsidRPr="00405F18">
        <w:rPr>
          <w:rFonts w:ascii="Times New Roman" w:hAnsi="Times New Roman" w:cs="Times New Roman"/>
          <w:sz w:val="24"/>
          <w:szCs w:val="24"/>
          <w:lang w:val="en-US"/>
        </w:rPr>
        <w:t>(Figure 10D).</w:t>
      </w:r>
      <w:r w:rsidR="002E1069" w:rsidRPr="00405F18">
        <w:rPr>
          <w:rFonts w:ascii="Times New Roman" w:hAnsi="Times New Roman" w:cs="Times New Roman"/>
          <w:b/>
          <w:bCs/>
          <w:sz w:val="24"/>
          <w:szCs w:val="24"/>
          <w:lang w:val="en-US"/>
        </w:rPr>
        <w:br w:type="page"/>
      </w:r>
    </w:p>
    <w:p w14:paraId="2B193C1B" w14:textId="147FD30B" w:rsidR="00F303C0" w:rsidRPr="00405F18" w:rsidRDefault="00F303C0"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b/>
          <w:bCs/>
          <w:sz w:val="24"/>
          <w:szCs w:val="24"/>
          <w:lang w:val="en-US"/>
        </w:rPr>
        <w:lastRenderedPageBreak/>
        <w:t xml:space="preserve">Discussion </w:t>
      </w:r>
    </w:p>
    <w:p w14:paraId="0223A716" w14:textId="15A926CB" w:rsidR="00F303C0" w:rsidRPr="00405F18" w:rsidRDefault="00493822"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Although the impact of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xml:space="preserve"> on autophagic flux has been studied in PTEC</w:t>
      </w:r>
      <w:r w:rsidR="0087363D"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conflicting results and interpretations remained prior to our study</w:t>
      </w:r>
      <w:r w:rsidR="00F303C0" w:rsidRPr="00405F18">
        <w:rPr>
          <w:rFonts w:ascii="Times New Roman" w:hAnsi="Times New Roman" w:cs="Times New Roman"/>
          <w:sz w:val="24"/>
          <w:szCs w:val="24"/>
          <w:lang w:val="en-US"/>
        </w:rPr>
        <w:t xml:space="preserve">. Recent studies on non-renal cells show that autophagic changes secondary to FA excess result from direct lysosomal injury. </w:t>
      </w:r>
      <w:r w:rsidR="009D7976" w:rsidRPr="00405F18">
        <w:rPr>
          <w:rFonts w:ascii="Times New Roman" w:hAnsi="Times New Roman" w:cs="Times New Roman"/>
          <w:sz w:val="24"/>
          <w:szCs w:val="24"/>
          <w:lang w:val="en-US"/>
        </w:rPr>
        <w:t xml:space="preserve">In this study, </w:t>
      </w:r>
      <w:r w:rsidR="001738F4" w:rsidRPr="00405F18">
        <w:rPr>
          <w:rFonts w:ascii="Times New Roman" w:hAnsi="Times New Roman" w:cs="Times New Roman"/>
          <w:sz w:val="24"/>
          <w:szCs w:val="24"/>
          <w:lang w:val="en-US"/>
        </w:rPr>
        <w:t>we</w:t>
      </w:r>
      <w:r w:rsidR="00F303C0" w:rsidRPr="00405F18">
        <w:rPr>
          <w:rFonts w:ascii="Times New Roman" w:hAnsi="Times New Roman" w:cs="Times New Roman"/>
          <w:sz w:val="24"/>
          <w:szCs w:val="24"/>
          <w:lang w:val="en-US"/>
        </w:rPr>
        <w:t xml:space="preserve"> placed lysosomes at the cornerstone of PTEC</w:t>
      </w:r>
      <w:r w:rsidR="003B7DEE" w:rsidRPr="00405F18">
        <w:rPr>
          <w:rFonts w:ascii="Times New Roman" w:hAnsi="Times New Roman" w:cs="Times New Roman"/>
          <w:sz w:val="24"/>
          <w:szCs w:val="24"/>
          <w:lang w:val="en-US"/>
        </w:rPr>
        <w:t>s</w:t>
      </w:r>
      <w:r w:rsidR="00F303C0" w:rsidRPr="00405F18">
        <w:rPr>
          <w:rFonts w:ascii="Times New Roman" w:hAnsi="Times New Roman" w:cs="Times New Roman"/>
          <w:sz w:val="24"/>
          <w:szCs w:val="24"/>
          <w:lang w:val="en-US"/>
        </w:rPr>
        <w:t xml:space="preserve"> physiology and lipotoxic phenotype. Indeed, impaired acidification </w:t>
      </w:r>
      <w:r w:rsidR="001738F4" w:rsidRPr="00405F18">
        <w:rPr>
          <w:rFonts w:ascii="Times New Roman" w:hAnsi="Times New Roman" w:cs="Times New Roman"/>
          <w:sz w:val="24"/>
          <w:szCs w:val="24"/>
          <w:lang w:val="en-US"/>
        </w:rPr>
        <w:t>wa</w:t>
      </w:r>
      <w:r w:rsidR="00F303C0" w:rsidRPr="00405F18">
        <w:rPr>
          <w:rFonts w:ascii="Times New Roman" w:hAnsi="Times New Roman" w:cs="Times New Roman"/>
          <w:sz w:val="24"/>
          <w:szCs w:val="24"/>
          <w:lang w:val="en-US"/>
        </w:rPr>
        <w:t>s shown in PTEC</w:t>
      </w:r>
      <w:r w:rsidR="003B7DEE" w:rsidRPr="00405F18">
        <w:rPr>
          <w:rFonts w:ascii="Times New Roman" w:hAnsi="Times New Roman" w:cs="Times New Roman"/>
          <w:sz w:val="24"/>
          <w:szCs w:val="24"/>
          <w:lang w:val="en-US"/>
        </w:rPr>
        <w:t>s</w:t>
      </w:r>
      <w:r w:rsidR="00F303C0" w:rsidRPr="00405F18">
        <w:rPr>
          <w:rFonts w:ascii="Times New Roman" w:hAnsi="Times New Roman" w:cs="Times New Roman"/>
          <w:sz w:val="24"/>
          <w:szCs w:val="24"/>
          <w:lang w:val="en-US"/>
        </w:rPr>
        <w:t xml:space="preserve"> exposed to PA, subsequently leading to the accumulation of autophagosomes and cell dedifferentiation. We also confirmed the protection of AMPK activation against </w:t>
      </w:r>
      <w:proofErr w:type="spellStart"/>
      <w:r w:rsidR="00F303C0" w:rsidRPr="00405F18">
        <w:rPr>
          <w:rFonts w:ascii="Times New Roman" w:hAnsi="Times New Roman" w:cs="Times New Roman"/>
          <w:sz w:val="24"/>
          <w:szCs w:val="24"/>
          <w:lang w:val="en-US"/>
        </w:rPr>
        <w:t>lipotoxicity</w:t>
      </w:r>
      <w:proofErr w:type="spellEnd"/>
      <w:r w:rsidR="00F303C0" w:rsidRPr="00405F18">
        <w:rPr>
          <w:rFonts w:ascii="Times New Roman" w:hAnsi="Times New Roman" w:cs="Times New Roman"/>
          <w:sz w:val="24"/>
          <w:szCs w:val="24"/>
          <w:lang w:val="en-US"/>
        </w:rPr>
        <w:t xml:space="preserve"> </w:t>
      </w:r>
      <w:r w:rsidR="001A5640" w:rsidRPr="00405F18">
        <w:rPr>
          <w:rFonts w:ascii="Times New Roman" w:hAnsi="Times New Roman" w:cs="Times New Roman"/>
          <w:sz w:val="24"/>
          <w:szCs w:val="24"/>
          <w:lang w:val="en-US"/>
        </w:rPr>
        <w:t>previously</w:t>
      </w:r>
      <w:r w:rsidR="00F303C0" w:rsidRPr="00405F18">
        <w:rPr>
          <w:rFonts w:ascii="Times New Roman" w:hAnsi="Times New Roman" w:cs="Times New Roman"/>
          <w:sz w:val="24"/>
          <w:szCs w:val="24"/>
          <w:lang w:val="en-US"/>
        </w:rPr>
        <w:t xml:space="preserve"> demonstrated by our group</w:t>
      </w:r>
      <w:r w:rsidR="007A6C79">
        <w:rPr>
          <w:rFonts w:ascii="Times New Roman" w:hAnsi="Times New Roman" w:cs="Times New Roman"/>
          <w:sz w:val="24"/>
          <w:szCs w:val="24"/>
          <w:lang w:val="en-US"/>
        </w:rPr>
        <w:t xml:space="preserve"> [</w:t>
      </w:r>
      <w:r w:rsidR="00F303C0" w:rsidRPr="007A6C79">
        <w:rPr>
          <w:rFonts w:ascii="Times New Roman" w:hAnsi="Times New Roman" w:cs="Times New Roman"/>
          <w:sz w:val="24"/>
          <w:szCs w:val="24"/>
          <w:lang w:val="en-US"/>
        </w:rPr>
        <w:fldChar w:fldCharType="begin" w:fldLock="1"/>
      </w:r>
      <w:r w:rsidR="00025345" w:rsidRPr="007A6C79">
        <w:rPr>
          <w:rFonts w:ascii="Times New Roman" w:hAnsi="Times New Roman" w:cs="Times New Roman"/>
          <w:sz w:val="24"/>
          <w:szCs w:val="24"/>
          <w:lang w:val="en-US"/>
        </w:rPr>
        <w:instrText>ADDIN CSL_CITATION {"citationItems":[{"id":"ITEM-1","itemData":{"DOI":"10.1038/ki.2013.462","ISSN":"15231755","abstract":"AMP-Activated protein kinase (AMPK) is an important energy sensor that may be critical in regulating renal lipid accumulation. To evaluate the role of AMPK in mediating renal lipid accumulation, C57BL/6J mice were randomized to a standard diet, a high-fat diet, or a high-fat diet plus AICAR (an AMPK activator) for 14 weeks. Renal functional and structural studies along with electron microscopy were performed. Mice given the high-fat diet had proximal tubule injury with the presence of enlarged clear vacuoles, and multilaminar inclusions concurrent with an increase of tissue lipid and overloading of the lysosomal system. The margins of the clear vacuoles were positive for the endolysosomal marker, LAMP1, suggesting lysosome accumulation. Characterization of vesicles by special stains (Oil Red O, Nile Red, Luxol Fast Blue) and by electron microscopy showed they contained onion skin-like accumulations consistent with phospholipids. Moreover, cholesteryl esters and phosphatidylcholine-containing phospholipids were significantly increased in the kidneys of mice on a high-fat diet. AMPK activation with chronic AICAR treatment prevented the clinical and structural effects of high-fat diet. Thus, high-fat diet contributes to a dysfunction of the lysosomal system and altered lipid metabolism characterized by cholesterol and phospholipid accumulation in the kidney. AMPK activation normalizes the changes in renal lipid content despite chronic exposure to lipid challenge. © 2013 International Society of Nephrology.","author":[{"dropping-particle":"","family":"Declèves","given":"Anne Emilie","non-dropping-particle":"","parse-names":false,"suffix":""},{"dropping-particle":"","family":"Zolkipli","given":"Zarazuela","non-dropping-particle":"","parse-names":false,"suffix":""},{"dropping-particle":"","family":"Satriano","given":"Joseph","non-dropping-particle":"","parse-names":false,"suffix":""},{"dropping-particle":"","family":"Wang","given":"Lin","non-dropping-particle":"","parse-names":false,"suffix":""},{"dropping-particle":"","family":"Nakayama","given":"Tomohiro","non-dropping-particle":"","parse-names":false,"suffix":""},{"dropping-particle":"","family":"Rogac","given":"Mihael","non-dropping-particle":"","parse-names":false,"suffix":""},{"dropping-particle":"","family":"Le","given":"Thuy P.","non-dropping-particle":"","parse-names":false,"suffix":""},{"dropping-particle":"","family":"Nortier","given":"Joëlle L.","non-dropping-particle":"","parse-names":false,"suffix":""},{"dropping-particle":"","family":"Farquhar","given":"Marilyn G.","non-dropping-particle":"","parse-names":false,"suffix":""},{"dropping-particle":"","family":"Naviaux","given":"Robert K.","non-dropping-particle":"","parse-names":false,"suffix":""},{"dropping-particle":"","family":"Sharma","given":"Kumar","non-dropping-particle":"","parse-names":false,"suffix":""}],"container-title":"Kidney International","id":"ITEM-1","issue":"3","issued":{"date-parts":[["2014"]]},"page":"611-623","title":"Regulation of lipid accumulation by AMK-Activated kinase in high fat diet-induced kidney injury","type":"article-journal","volume":"85"},"uris":["http://www.mendeley.com/documents/?uuid=9cb854f8-4c3a-443a-ac96-2c8139bdbf52"]}],"mendeley":{"formattedCitation":"&lt;sup&gt;13&lt;/sup&gt;","plainTextFormattedCitation":"13","previouslyFormattedCitation":"&lt;sup&gt;13&lt;/sup&gt;"},"properties":{"noteIndex":0},"schema":"https://github.com/citation-style-language/schema/raw/master/csl-citation.json"}</w:instrText>
      </w:r>
      <w:r w:rsidR="00F303C0" w:rsidRPr="007A6C79">
        <w:rPr>
          <w:rFonts w:ascii="Times New Roman" w:hAnsi="Times New Roman" w:cs="Times New Roman"/>
          <w:sz w:val="24"/>
          <w:szCs w:val="24"/>
          <w:lang w:val="en-US"/>
        </w:rPr>
        <w:fldChar w:fldCharType="separate"/>
      </w:r>
      <w:r w:rsidR="002500AB" w:rsidRPr="007A6C79">
        <w:rPr>
          <w:rFonts w:ascii="Times New Roman" w:hAnsi="Times New Roman" w:cs="Times New Roman"/>
          <w:noProof/>
          <w:sz w:val="24"/>
          <w:szCs w:val="24"/>
          <w:lang w:val="en-US"/>
        </w:rPr>
        <w:t>13</w:t>
      </w:r>
      <w:r w:rsidR="00F303C0" w:rsidRPr="007A6C79">
        <w:rPr>
          <w:rFonts w:ascii="Times New Roman" w:hAnsi="Times New Roman" w:cs="Times New Roman"/>
          <w:sz w:val="24"/>
          <w:szCs w:val="24"/>
          <w:lang w:val="en-US"/>
        </w:rPr>
        <w:fldChar w:fldCharType="end"/>
      </w:r>
      <w:r w:rsidR="007A6C79">
        <w:rPr>
          <w:rFonts w:ascii="Times New Roman" w:hAnsi="Times New Roman" w:cs="Times New Roman"/>
          <w:sz w:val="24"/>
          <w:szCs w:val="24"/>
          <w:lang w:val="en-US"/>
        </w:rPr>
        <w:t>]</w:t>
      </w:r>
      <w:r w:rsidR="00F303C0" w:rsidRPr="00405F18">
        <w:rPr>
          <w:rFonts w:ascii="Times New Roman" w:hAnsi="Times New Roman" w:cs="Times New Roman"/>
          <w:sz w:val="24"/>
          <w:szCs w:val="24"/>
          <w:lang w:val="en-US"/>
        </w:rPr>
        <w:t xml:space="preserve"> and b</w:t>
      </w:r>
      <w:r w:rsidR="009E5444" w:rsidRPr="00405F18">
        <w:rPr>
          <w:rFonts w:ascii="Times New Roman" w:hAnsi="Times New Roman" w:cs="Times New Roman"/>
          <w:sz w:val="24"/>
          <w:szCs w:val="24"/>
          <w:lang w:val="en-US"/>
        </w:rPr>
        <w:t>rought</w:t>
      </w:r>
      <w:r w:rsidR="00F303C0" w:rsidRPr="00405F18">
        <w:rPr>
          <w:rFonts w:ascii="Times New Roman" w:hAnsi="Times New Roman" w:cs="Times New Roman"/>
          <w:sz w:val="24"/>
          <w:szCs w:val="24"/>
          <w:lang w:val="en-US"/>
        </w:rPr>
        <w:t xml:space="preserve"> the underlying molecular mechanisms. In PTEC</w:t>
      </w:r>
      <w:r w:rsidR="003B7DEE" w:rsidRPr="00405F18">
        <w:rPr>
          <w:rFonts w:ascii="Times New Roman" w:hAnsi="Times New Roman" w:cs="Times New Roman"/>
          <w:sz w:val="24"/>
          <w:szCs w:val="24"/>
          <w:lang w:val="en-US"/>
        </w:rPr>
        <w:t>s</w:t>
      </w:r>
      <w:r w:rsidR="00F303C0" w:rsidRPr="00405F18">
        <w:rPr>
          <w:rFonts w:ascii="Times New Roman" w:hAnsi="Times New Roman" w:cs="Times New Roman"/>
          <w:sz w:val="24"/>
          <w:szCs w:val="24"/>
          <w:lang w:val="en-US"/>
        </w:rPr>
        <w:t>, AMPK prevent</w:t>
      </w:r>
      <w:r w:rsidR="00472A9B" w:rsidRPr="00405F18">
        <w:rPr>
          <w:rFonts w:ascii="Times New Roman" w:hAnsi="Times New Roman" w:cs="Times New Roman"/>
          <w:sz w:val="24"/>
          <w:szCs w:val="24"/>
          <w:lang w:val="en-US"/>
        </w:rPr>
        <w:t>ed</w:t>
      </w:r>
      <w:r w:rsidR="00F303C0" w:rsidRPr="00405F18">
        <w:rPr>
          <w:rFonts w:ascii="Times New Roman" w:hAnsi="Times New Roman" w:cs="Times New Roman"/>
          <w:sz w:val="24"/>
          <w:szCs w:val="24"/>
          <w:lang w:val="en-US"/>
        </w:rPr>
        <w:t xml:space="preserve"> PA-induced </w:t>
      </w:r>
      <w:r w:rsidR="001A5640" w:rsidRPr="00405F18">
        <w:rPr>
          <w:rFonts w:ascii="Times New Roman" w:hAnsi="Times New Roman" w:cs="Times New Roman"/>
          <w:sz w:val="24"/>
          <w:szCs w:val="24"/>
          <w:lang w:val="en-US"/>
        </w:rPr>
        <w:t xml:space="preserve">defective </w:t>
      </w:r>
      <w:r w:rsidR="00F303C0" w:rsidRPr="00405F18">
        <w:rPr>
          <w:rFonts w:ascii="Times New Roman" w:hAnsi="Times New Roman" w:cs="Times New Roman"/>
          <w:sz w:val="24"/>
          <w:szCs w:val="24"/>
          <w:lang w:val="en-US"/>
        </w:rPr>
        <w:t>lysosomal acidification, autophagosomes accumulation, and cell dedifferentiation.</w:t>
      </w:r>
    </w:p>
    <w:p w14:paraId="2CCDB137" w14:textId="736A865C" w:rsidR="00F303C0" w:rsidRPr="00405F18" w:rsidRDefault="00F303C0" w:rsidP="007A6C79">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One of the main findings of the present study is that saturated FA</w:t>
      </w:r>
      <w:r w:rsidR="00AB4ADB"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such as PA impair</w:t>
      </w:r>
      <w:r w:rsidR="00611794"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lysosomal acidification in PTEC</w:t>
      </w:r>
      <w:r w:rsidR="003B7DEE"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Autophagy</w:t>
      </w:r>
      <w:r w:rsidR="00611794" w:rsidRPr="00405F18">
        <w:rPr>
          <w:rFonts w:ascii="Times New Roman" w:hAnsi="Times New Roman" w:cs="Times New Roman"/>
          <w:sz w:val="24"/>
          <w:szCs w:val="24"/>
          <w:lang w:val="en-US"/>
        </w:rPr>
        <w:t xml:space="preserve"> did not</w:t>
      </w:r>
      <w:r w:rsidRPr="00405F18">
        <w:rPr>
          <w:rFonts w:ascii="Times New Roman" w:hAnsi="Times New Roman" w:cs="Times New Roman"/>
          <w:sz w:val="24"/>
          <w:szCs w:val="24"/>
          <w:lang w:val="en-US"/>
        </w:rPr>
        <w:t xml:space="preserve"> </w:t>
      </w:r>
      <w:r w:rsidR="00EE6C1D" w:rsidRPr="00405F18">
        <w:rPr>
          <w:rFonts w:ascii="Times New Roman" w:hAnsi="Times New Roman" w:cs="Times New Roman"/>
          <w:sz w:val="24"/>
          <w:szCs w:val="24"/>
          <w:lang w:val="en-US"/>
        </w:rPr>
        <w:t>seem</w:t>
      </w:r>
      <w:r w:rsidR="00611794" w:rsidRPr="00405F18">
        <w:rPr>
          <w:rFonts w:ascii="Times New Roman" w:hAnsi="Times New Roman" w:cs="Times New Roman"/>
          <w:sz w:val="24"/>
          <w:szCs w:val="24"/>
          <w:lang w:val="en-US"/>
        </w:rPr>
        <w:t xml:space="preserve"> to be</w:t>
      </w:r>
      <w:r w:rsidRPr="00405F18">
        <w:rPr>
          <w:rFonts w:ascii="Times New Roman" w:hAnsi="Times New Roman" w:cs="Times New Roman"/>
          <w:sz w:val="24"/>
          <w:szCs w:val="24"/>
          <w:lang w:val="en-US"/>
        </w:rPr>
        <w:t xml:space="preserve"> induced upon lipid challenge, which is in accordance with decreased AMPK activity and </w:t>
      </w:r>
      <w:r w:rsidR="000B592D">
        <w:rPr>
          <w:rFonts w:ascii="Times New Roman" w:hAnsi="Times New Roman" w:cs="Times New Roman"/>
          <w:sz w:val="24"/>
          <w:szCs w:val="24"/>
          <w:lang w:val="en-US"/>
        </w:rPr>
        <w:t>M</w:t>
      </w:r>
      <w:r w:rsidRPr="00405F18">
        <w:rPr>
          <w:rFonts w:ascii="Times New Roman" w:hAnsi="Times New Roman" w:cs="Times New Roman"/>
          <w:sz w:val="24"/>
          <w:szCs w:val="24"/>
          <w:lang w:val="en-US"/>
        </w:rPr>
        <w:t>TORC1 activation. Elevated number of autophagosomes observed in PA-treated cells thus mainly result</w:t>
      </w:r>
      <w:r w:rsidR="00611794"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from an absence of lysosomal degradation. After refuting the hypotheses of mitophagy and </w:t>
      </w:r>
      <w:proofErr w:type="spellStart"/>
      <w:r w:rsidRPr="00405F18">
        <w:rPr>
          <w:rFonts w:ascii="Times New Roman" w:hAnsi="Times New Roman" w:cs="Times New Roman"/>
          <w:sz w:val="24"/>
          <w:szCs w:val="24"/>
          <w:lang w:val="en-US"/>
        </w:rPr>
        <w:t>lipophagy</w:t>
      </w:r>
      <w:proofErr w:type="spellEnd"/>
      <w:r w:rsidRPr="00405F18">
        <w:rPr>
          <w:rFonts w:ascii="Times New Roman" w:hAnsi="Times New Roman" w:cs="Times New Roman"/>
          <w:sz w:val="24"/>
          <w:szCs w:val="24"/>
          <w:lang w:val="en-US"/>
        </w:rPr>
        <w:t>, we showed that autophagy target</w:t>
      </w:r>
      <w:r w:rsidR="00611794"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w:t>
      </w:r>
      <w:proofErr w:type="spellStart"/>
      <w:r w:rsidRPr="00405F18">
        <w:rPr>
          <w:rFonts w:ascii="Times New Roman" w:hAnsi="Times New Roman" w:cs="Times New Roman"/>
          <w:sz w:val="24"/>
          <w:szCs w:val="24"/>
          <w:lang w:val="en-US"/>
        </w:rPr>
        <w:t>Ub</w:t>
      </w:r>
      <w:proofErr w:type="spellEnd"/>
      <w:r w:rsidRPr="00405F18">
        <w:rPr>
          <w:rFonts w:ascii="Times New Roman" w:hAnsi="Times New Roman" w:cs="Times New Roman"/>
          <w:sz w:val="24"/>
          <w:szCs w:val="24"/>
          <w:lang w:val="en-US"/>
        </w:rPr>
        <w:t>-tagged aggregates in response to PA which are ultimately found in lysosomes. The lysosomal dysfunction highlighted in the present work is of physiological relevance knowing that lysosome enlargement and accumulation were described in proximal tubules of obese male mice</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BC4F67" w:rsidRPr="002539EF">
        <w:rPr>
          <w:rFonts w:ascii="Times New Roman" w:hAnsi="Times New Roman" w:cs="Times New Roman"/>
          <w:sz w:val="24"/>
          <w:szCs w:val="24"/>
          <w:lang w:val="en-US"/>
        </w:rPr>
        <w:instrText>ADDIN CSL_CITATION {"citationItems":[{"id":"ITEM-1","itemData":{"DOI":"10.1038/ki.2013.462","ISSN":"15231755","abstract":"AMP-Activated protein kinase (AMPK) is an important energy sensor that may be critical in regulating renal lipid accumulation. To evaluate the role of AMPK in mediating renal lipid accumulation, C57BL/6J mice were randomized to a standard diet, a high-fat diet, or a high-fat diet plus AICAR (an AMPK activator) for 14 weeks. Renal functional and structural studies along with electron microscopy were performed. Mice given the high-fat diet had proximal tubule injury with the presence of enlarged clear vacuoles, and multilaminar inclusions concurrent with an increase of tissue lipid and overloading of the lysosomal system. The margins of the clear vacuoles were positive for the endolysosomal marker, LAMP1, suggesting lysosome accumulation. Characterization of vesicles by special stains (Oil Red O, Nile Red, Luxol Fast Blue) and by electron microscopy showed they contained onion skin-like accumulations consistent with phospholipids. Moreover, cholesteryl esters and phosphatidylcholine-containing phospholipids were significantly increased in the kidneys of mice on a high-fat diet. AMPK activation with chronic AICAR treatment prevented the clinical and structural effects of high-fat diet. Thus, high-fat diet contributes to a dysfunction of the lysosomal system and altered lipid metabolism characterized by cholesterol and phospholipid accumulation in the kidney. AMPK activation normalizes the changes in renal lipid content despite chronic exposure to lipid challenge. © 2013 International Society of Nephrology.","author":[{"dropping-particle":"","family":"Declèves","given":"Anne Emilie","non-dropping-particle":"","parse-names":false,"suffix":""},{"dropping-particle":"","family":"Zolkipli","given":"Zarazuela","non-dropping-particle":"","parse-names":false,"suffix":""},{"dropping-particle":"","family":"Satriano","given":"Joseph","non-dropping-particle":"","parse-names":false,"suffix":""},{"dropping-particle":"","family":"Wang","given":"Lin","non-dropping-particle":"","parse-names":false,"suffix":""},{"dropping-particle":"","family":"Nakayama","given":"Tomohiro","non-dropping-particle":"","parse-names":false,"suffix":""},{"dropping-particle":"","family":"Rogac","given":"Mihael","non-dropping-particle":"","parse-names":false,"suffix":""},{"dropping-particle":"","family":"Le","given":"Thuy P.","non-dropping-particle":"","parse-names":false,"suffix":""},{"dropping-particle":"","family":"Nortier","given":"Joëlle L.","non-dropping-particle":"","parse-names":false,"suffix":""},{"dropping-particle":"","family":"Farquhar","given":"Marilyn G.","non-dropping-particle":"","parse-names":false,"suffix":""},{"dropping-particle":"","family":"Naviaux","given":"Robert K.","non-dropping-particle":"","parse-names":false,"suffix":""},{"dropping-particle":"","family":"Sharma","given":"Kumar","non-dropping-particle":"","parse-names":false,"suffix":""}],"container-title":"Kidney International","id":"ITEM-1","issue":"3","issued":{"date-parts":[["2014"]]},"page":"611-623","title":"Regulation of lipid accumulation by AMK-Activated kinase in high fat diet-induced kidney injury","type":"article-journal","volume":"85"},"uris":["http://www.mendeley.com/documents/?uuid=9cb854f8-4c3a-443a-ac96-2c8139bdbf52"]},{"id":"ITEM-2","itemData":{"DOI":"10.1186/s13293-023-00543-6","ISSN":"20426410","abstract":"Background: Sex differences have been observed in the development of obesity-related complications in patients, as well as in animal models. Accumulating evidence suggests that sex-dependent regulation of lipid metabolism contributes to sex-specific physiopathology. Lipid accumulation in the renal tissue has been shown to play a major role in the pathogenesis of obesity-induced kidney injury. Unlike in males, the physiopathology of the disease has been poorly described in females, particularly regarding the lipid metabolism adaptation. Methods: Here, we compared the lipid profile changes in the kidneys of female and male mice fed a high-fat diet (HFD) or low-fat diet (LFD) by lipidomics and correlated them with pathophysiological changes. Results: We showed that HFD-fed female mice were protected from insulin resistance and hepatic steatosis compared to males, despite similar body weight gains. Females were particularly protected from renal dysfunction, oxidative stress, and tubular lipid accumulation. Both HFD-fed male and female mice presented dyslipidemia, but lipidomic analysis highlighted differential renal lipid profiles. While both sexes presented similar neutral lipid accumulation with obesity, only males showed increased levels of ceramides and phospholipids. Remarkably, protection against renal lipotoxicity in females was associated with enhanced renal adiponectin and AMP-activated protein kinase (AMPK) signaling. Circulating adiponectin and its renal receptor levels were significantly lower in obese males, but were maintained in females. This observation correlated with the maintained basal AMPK activity in obese female mice compared to males. Conclusions: Collectively, our findings suggest that female mice are protected from obesity-induced renal dysfunction and lipotoxicity associated with enhanced adiponectin and AMPK signaling compared to males.","author":[{"dropping-particle":"","family":"Juszczak","given":"Florian","non-dropping-particle":"","parse-names":false,"suffix":""},{"dropping-particle":"","family":"Pierre","given":"Louise","non-dropping-particle":"","parse-names":false,"suffix":""},{"dropping-particle":"","family":"Decarnoncle","given":"Morgane","non-dropping-particle":"","parse-names":false,"suffix":""},{"dropping-particle":"","family":"Jadot","given":"Inès","non-dropping-particle":"","parse-names":false,"suffix":""},{"dropping-particle":"","family":"Martin","given":"Blanche","non-dropping-particle":"","parse-names":false,"suffix":""},{"dropping-particle":"","family":"Botton","given":"Olivia","non-dropping-particle":"","parse-names":false,"suffix":""},{"dropping-particle":"","family":"Caron","given":"Nathalie","non-dropping-particle":"","parse-names":false,"suffix":""},{"dropping-particle":"","family":"Dehairs","given":"Jonas","non-dropping-particle":"","parse-names":false,"suffix":""},{"dropping-particle":"V.","family":"Swinnen","given":"Johannes","non-dropping-particle":"","parse-names":false,"suffix":""},{"dropping-particle":"","family":"Declèves","given":"Anne Emilie","non-dropping-particle":"","parse-names":false,"suffix":""}],"container-title":"Biology of Sex Differences","id":"ITEM-2","issue":"1","issued":{"date-parts":[["2023"]]},"page":"1-18","publisher":"BioMed Central","title":"Sex differences in obesity-induced renal lipid accumulation revealed by lipidomics: a role of adiponectin/AMPK axis","type":"article-journal","volume":"14"},"uris":["http://www.mendeley.com/documents/?uuid=5d2fc9a0-dc2c-4c63-9bad-f98b59aa7e76"]}],"mendeley":{"formattedCitation":"&lt;sup&gt;13,18&lt;/sup&gt;","plainTextFormattedCitation":"13,18","previouslyFormattedCitation":"&lt;sup&gt;13,18&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D27D77" w:rsidRPr="002539EF">
        <w:rPr>
          <w:rFonts w:ascii="Times New Roman" w:hAnsi="Times New Roman" w:cs="Times New Roman"/>
          <w:noProof/>
          <w:sz w:val="24"/>
          <w:szCs w:val="24"/>
          <w:lang w:val="en-US"/>
        </w:rPr>
        <w:t>13,18</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Notably, </w:t>
      </w:r>
      <w:r w:rsidR="00D46F79" w:rsidRPr="00405F18">
        <w:rPr>
          <w:rFonts w:ascii="Times New Roman" w:hAnsi="Times New Roman" w:cs="Times New Roman"/>
          <w:sz w:val="24"/>
          <w:szCs w:val="24"/>
          <w:lang w:val="en-US"/>
        </w:rPr>
        <w:t>we show</w:t>
      </w:r>
      <w:r w:rsidR="0052587D" w:rsidRPr="00405F18">
        <w:rPr>
          <w:rFonts w:ascii="Times New Roman" w:hAnsi="Times New Roman" w:cs="Times New Roman"/>
          <w:sz w:val="24"/>
          <w:szCs w:val="24"/>
          <w:lang w:val="en-US"/>
        </w:rPr>
        <w:t>ed</w:t>
      </w:r>
      <w:r w:rsidR="00D46F79" w:rsidRPr="00405F18">
        <w:rPr>
          <w:rFonts w:ascii="Times New Roman" w:hAnsi="Times New Roman" w:cs="Times New Roman"/>
          <w:sz w:val="24"/>
          <w:szCs w:val="24"/>
          <w:lang w:val="en-US"/>
        </w:rPr>
        <w:t xml:space="preserve"> that </w:t>
      </w:r>
      <w:r w:rsidRPr="00405F18">
        <w:rPr>
          <w:rFonts w:ascii="Times New Roman" w:hAnsi="Times New Roman" w:cs="Times New Roman"/>
          <w:sz w:val="24"/>
          <w:szCs w:val="24"/>
          <w:lang w:val="en-US"/>
        </w:rPr>
        <w:t xml:space="preserve">lysosomal dysfunction is an early event of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xml:space="preserve"> as it </w:t>
      </w:r>
      <w:r w:rsidR="00493822" w:rsidRPr="00405F18">
        <w:rPr>
          <w:rFonts w:ascii="Times New Roman" w:hAnsi="Times New Roman" w:cs="Times New Roman"/>
          <w:sz w:val="24"/>
          <w:szCs w:val="24"/>
          <w:lang w:val="en-US"/>
        </w:rPr>
        <w:t>occurred</w:t>
      </w:r>
      <w:r w:rsidRPr="00405F18">
        <w:rPr>
          <w:rFonts w:ascii="Times New Roman" w:hAnsi="Times New Roman" w:cs="Times New Roman"/>
          <w:sz w:val="24"/>
          <w:szCs w:val="24"/>
          <w:lang w:val="en-US"/>
        </w:rPr>
        <w:t xml:space="preserve"> as soon as 6 h after PA</w:t>
      </w:r>
      <w:r w:rsidR="006E1FA3" w:rsidRPr="00405F18">
        <w:rPr>
          <w:rFonts w:ascii="Times New Roman" w:hAnsi="Times New Roman" w:cs="Times New Roman"/>
          <w:sz w:val="24"/>
          <w:szCs w:val="24"/>
          <w:lang w:val="en-US"/>
        </w:rPr>
        <w:t xml:space="preserve"> exposure</w:t>
      </w:r>
      <w:r w:rsidRPr="00405F18">
        <w:rPr>
          <w:rFonts w:ascii="Times New Roman" w:hAnsi="Times New Roman" w:cs="Times New Roman"/>
          <w:sz w:val="24"/>
          <w:szCs w:val="24"/>
          <w:lang w:val="en-US"/>
        </w:rPr>
        <w:t>. At that time</w:t>
      </w:r>
      <w:r w:rsidR="001A5640" w:rsidRPr="00405F18">
        <w:rPr>
          <w:rFonts w:ascii="Times New Roman" w:hAnsi="Times New Roman" w:cs="Times New Roman"/>
          <w:sz w:val="24"/>
          <w:szCs w:val="24"/>
          <w:lang w:val="en-US"/>
        </w:rPr>
        <w:t xml:space="preserve"> point</w:t>
      </w:r>
      <w:r w:rsidRPr="00405F18">
        <w:rPr>
          <w:rFonts w:ascii="Times New Roman" w:hAnsi="Times New Roman" w:cs="Times New Roman"/>
          <w:sz w:val="24"/>
          <w:szCs w:val="24"/>
          <w:lang w:val="en-US"/>
        </w:rPr>
        <w:t xml:space="preserve">, the mitochondrial network </w:t>
      </w:r>
      <w:r w:rsidR="00611794"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 xml:space="preserve">s not </w:t>
      </w:r>
      <w:r w:rsidR="006141E2" w:rsidRPr="00405F18">
        <w:rPr>
          <w:rFonts w:ascii="Times New Roman" w:hAnsi="Times New Roman" w:cs="Times New Roman"/>
          <w:sz w:val="24"/>
          <w:szCs w:val="24"/>
          <w:lang w:val="en-US"/>
        </w:rPr>
        <w:t>modified,</w:t>
      </w:r>
      <w:r w:rsidRPr="00405F18">
        <w:rPr>
          <w:rFonts w:ascii="Times New Roman" w:hAnsi="Times New Roman" w:cs="Times New Roman"/>
          <w:sz w:val="24"/>
          <w:szCs w:val="24"/>
          <w:lang w:val="en-US"/>
        </w:rPr>
        <w:t xml:space="preserve"> and LD</w:t>
      </w:r>
      <w:r w:rsidR="00D94717"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w:t>
      </w:r>
      <w:r w:rsidR="00EA1805" w:rsidRPr="00405F18">
        <w:rPr>
          <w:rFonts w:ascii="Times New Roman" w:hAnsi="Times New Roman" w:cs="Times New Roman"/>
          <w:sz w:val="24"/>
          <w:szCs w:val="24"/>
          <w:lang w:val="en-US"/>
        </w:rPr>
        <w:t xml:space="preserve">were </w:t>
      </w:r>
      <w:r w:rsidRPr="00405F18">
        <w:rPr>
          <w:rFonts w:ascii="Times New Roman" w:hAnsi="Times New Roman" w:cs="Times New Roman"/>
          <w:sz w:val="24"/>
          <w:szCs w:val="24"/>
          <w:lang w:val="en-US"/>
        </w:rPr>
        <w:t xml:space="preserve">barely detectable. </w:t>
      </w:r>
      <w:r w:rsidR="000E566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everal mechanisms have been proposed to explain FA-mediated lysosomal </w:t>
      </w:r>
      <w:r w:rsidR="003601F8" w:rsidRPr="00405F18">
        <w:rPr>
          <w:rFonts w:ascii="Times New Roman" w:hAnsi="Times New Roman" w:cs="Times New Roman"/>
          <w:sz w:val="24"/>
          <w:szCs w:val="24"/>
          <w:lang w:val="en-US"/>
        </w:rPr>
        <w:t>alkalinization</w:t>
      </w:r>
      <w:r w:rsidR="00443C1F" w:rsidRPr="00405F18">
        <w:rPr>
          <w:rFonts w:ascii="Times New Roman" w:hAnsi="Times New Roman" w:cs="Times New Roman"/>
          <w:sz w:val="24"/>
          <w:szCs w:val="24"/>
          <w:lang w:val="en-US"/>
        </w:rPr>
        <w:t>.</w:t>
      </w:r>
      <w:r w:rsidR="00210D73" w:rsidRPr="00405F18">
        <w:rPr>
          <w:rFonts w:ascii="Times New Roman" w:hAnsi="Times New Roman" w:cs="Times New Roman"/>
          <w:sz w:val="24"/>
          <w:szCs w:val="24"/>
          <w:lang w:val="en-US"/>
        </w:rPr>
        <w:t xml:space="preserve"> </w:t>
      </w:r>
      <w:r w:rsidR="00CD3185" w:rsidRPr="00405F18">
        <w:rPr>
          <w:rFonts w:ascii="Times New Roman" w:hAnsi="Times New Roman" w:cs="Times New Roman"/>
          <w:sz w:val="24"/>
          <w:szCs w:val="24"/>
          <w:lang w:val="en-US"/>
        </w:rPr>
        <w:t xml:space="preserve">While </w:t>
      </w:r>
      <w:r w:rsidR="00210D73" w:rsidRPr="00405F18">
        <w:rPr>
          <w:rFonts w:ascii="Times New Roman" w:hAnsi="Times New Roman" w:cs="Times New Roman"/>
          <w:sz w:val="24"/>
          <w:szCs w:val="24"/>
          <w:lang w:val="en-US"/>
        </w:rPr>
        <w:t>lysosomal calcium homeostasis</w:t>
      </w:r>
      <w:r w:rsidR="007422FB" w:rsidRPr="00405F18">
        <w:rPr>
          <w:rFonts w:ascii="Times New Roman" w:hAnsi="Times New Roman" w:cs="Times New Roman"/>
          <w:sz w:val="24"/>
          <w:szCs w:val="24"/>
          <w:lang w:val="en-US"/>
        </w:rPr>
        <w:t xml:space="preserve"> alterations</w:t>
      </w:r>
      <w:r w:rsidR="00CD3185" w:rsidRPr="00405F18">
        <w:rPr>
          <w:rFonts w:ascii="Times New Roman" w:hAnsi="Times New Roman" w:cs="Times New Roman"/>
          <w:sz w:val="24"/>
          <w:szCs w:val="24"/>
          <w:lang w:val="en-US"/>
        </w:rPr>
        <w:t xml:space="preserve"> have been proposed to play a role</w:t>
      </w:r>
      <w:r w:rsidR="002539EF">
        <w:rPr>
          <w:rFonts w:ascii="Times New Roman" w:hAnsi="Times New Roman" w:cs="Times New Roman"/>
          <w:sz w:val="24"/>
          <w:szCs w:val="24"/>
          <w:lang w:val="en-US"/>
        </w:rPr>
        <w:t xml:space="preserve"> [</w:t>
      </w:r>
      <w:r w:rsidR="0081048C" w:rsidRPr="002539EF">
        <w:rPr>
          <w:rFonts w:ascii="Times New Roman" w:hAnsi="Times New Roman" w:cs="Times New Roman"/>
          <w:sz w:val="24"/>
          <w:szCs w:val="24"/>
          <w:lang w:val="en-US"/>
        </w:rPr>
        <w:fldChar w:fldCharType="begin" w:fldLock="1"/>
      </w:r>
      <w:r w:rsidR="000A6C2B" w:rsidRPr="002539EF">
        <w:rPr>
          <w:rFonts w:ascii="Times New Roman" w:hAnsi="Times New Roman" w:cs="Times New Roman"/>
          <w:sz w:val="24"/>
          <w:szCs w:val="24"/>
          <w:lang w:val="en-US"/>
        </w:rPr>
        <w:instrText>ADDIN CSL_CITATION {"citationItems":[{"id":"ITEM-1","itemData":{"DOI":"10.1038/s42255-021-00368-w","ISSN":"25225812","PMID":"33758420","abstract":"TFEB, a key regulator of lysosomal biogenesis and autophagy, is induced not only by nutritional deficiency but also by organelle stress. Here, we find that Tfeb and its downstream genes are upregulated together with lipofuscin accumulation in adipose tissue macrophages (ATMs) of obese mice or humans, suggestive of obesity-associated lysosomal dysfunction/stress in ATMs. Macrophage-specific TFEB-overexpressing mice display complete abrogation of diet-induced obesity, adipose tissue inflammation and insulin resistance, which is independent of autophagy, but dependent on TFEB-induced GDF15 expression. Palmitic acid induces Gdf15 expression through lysosomal Ca2+-mediated TFEB nuclear translocation in response to lysosomal stress. In contrast, mice fed a high-fat diet with macrophage-specific Tfeb deletion show aggravated adipose tissue inflammation and insulin resistance, accompanied by reduced GDF15 level. Finally, we observe activation of TFEB–GDF15 in ATMs of obese humans as a consequence of lysosomal stress. These findings highlight the importance of the TFEB–GDF15 axis as a lysosomal stress response in obesity or metabolic syndrome and as a promising therapeutic target for treatment of these conditions.","author":[{"dropping-particle":"","family":"Kim","given":"Jinyoung","non-dropping-particle":"","parse-names":false,"suffix":""},{"dropping-particle":"","family":"Kim","given":"Seong Hun","non-dropping-particle":"","parse-names":false,"suffix":""},{"dropping-particle":"","family":"Kang","given":"Hyereen","non-dropping-particle":"","parse-names":false,"suffix":""},{"dropping-particle":"","family":"Lee","given":"Soyeon","non-dropping-particle":"","parse-names":false,"suffix":""},{"dropping-particle":"","family":"Park","given":"Shi Young","non-dropping-particle":"","parse-names":false,"suffix":""},{"dropping-particle":"","family":"Cho","given":"Yoonil","non-dropping-particle":"","parse-names":false,"suffix":""},{"dropping-particle":"","family":"Lim","given":"Yu Mi","non-dropping-particle":"","parse-names":false,"suffix":""},{"dropping-particle":"","family":"Ahn","given":"Ji Woong","non-dropping-particle":"","parse-names":false,"suffix":""},{"dropping-particle":"","family":"Kim","given":"Young Hwan","non-dropping-particle":"","parse-names":false,"suffix":""},{"dropping-particle":"","family":"Chung","given":"Seungsoo","non-dropping-particle":"","parse-names":false,"suffix":""},{"dropping-particle":"","family":"Choi","given":"Cheol Soo","non-dropping-particle":"","parse-names":false,"suffix":""},{"dropping-particle":"","family":"Jang","given":"Yeon Jin","non-dropping-particle":"","parse-names":false,"suffix":""},{"dropping-particle":"","family":"Park","given":"Hye Soon","non-dropping-particle":"","parse-names":false,"suffix":""},{"dropping-particle":"","family":"Heo","given":"Yoonseok","non-dropping-particle":"","parse-names":false,"suffix":""},{"dropping-particle":"","family":"Kim","given":"Kook Hwan","non-dropping-particle":"","parse-names":false,"suffix":""},{"dropping-particle":"","family":"Lee","given":"Myung Shik","non-dropping-particle":"","parse-names":false,"suffix":""}],"container-title":"Nature Metabolism","id":"ITEM-1","issue":"3","issued":{"date-parts":[["2021"]]},"page":"410-427","publisher":"Springer US","title":"TFEB–GDF15 axis protects against obesity and insulin resistance as a lysosomal stress response","type":"article-journal","volume":"3"},"uris":["http://www.mendeley.com/documents/?uuid=dc454b5b-0ed3-4bcd-ad82-93f5faa2b7e8"]},{"id":"ITEM-2","itemData":{"DOI":"10.1038/s41420-023-01379-0","ISSN":"20587716","abstract":"While the mechanism of lipotoxicity by palmitic acid (PA), an effector of metabolic stress in vitro and in vivo, has been extensively investigated, molecular details of lipotoxicity are still not fully characterized. Since recent studies reported that PA can exert lysosomal stress in addition to well-known ER and mitochondrial stress, we studied the role of lysosomal events in lipotoxicity by PA, focusing on lysosomal Ca2+. We found that PA induced accumulation of mitochondrial ROS and that mitochondrial ROS induced release of lysosomal Ca2+ due to lysosomal Ca2+ exit channel activation. Lysosomal Ca2+ release led to increased cytosolic Ca2+ which induced mitochondrial permeability transition (mPT). Chelation of cytoplasmic Ca2+ or blockade of mPT with olesoxime or decylubiquinone (DUB) suppressed lipotoxicity. Lysosomal Ca2+ release led to reduced lysosomal Ca2+ content which was replenished by ER Ca2+, the largest intracellular Ca2+ reservoir (ER → lysosome Ca2+ refilling), which in turn activated store-operated Ca2+ entry (SOCE). Inhibition of ER → lysosome Ca2+ refilling by blockade of ER Ca2+ exit channel using dantrolene or inhibition of SOCE using BTP2 inhibited lipotoxicity in vitro. Dantrolene or DUB also inhibited lipotoxic death of hepatocytes in vivo induced by administration of ethyl palmitate together with LPS. These results suggest a novel pathway of lipotoxicity characterized by mPT due to lysosomal Ca2+ release which was supplemented by ER → lysosome Ca2+ refilling and subsequent SOCE, and also suggest the potential role of modulation of ER → lysosome Ca2+ refilling by dantrolene or other blockers of ER Ca2+ exit channels in disease conditions characterized by lipotoxicity such as metabolic syndrome, diabetes, cardiomyopathy or nonalcoholic steatohepatitis.","author":[{"dropping-particle":"","family":"Oh","given":"Soo Jin","non-dropping-particle":"","parse-names":false,"suffix":""},{"dropping-particle":"","family":"Hwang","given":"Yeseong","non-dropping-particle":"","parse-names":false,"suffix":""},{"dropping-particle":"","family":"Hur","given":"Kyu Yeon","non-dropping-particle":"","parse-names":false,"suffix":""},{"dropping-particle":"","family":"Lee","given":"Myung Shik","non-dropping-particle":"","parse-names":false,"suffix":""}],"container-title":"Cell Death Discovery","id":"ITEM-2","issue":"1","issued":{"date-parts":[["2023"]]},"publisher":"Springer US","title":"Lysosomal Ca2+ as a mediator of palmitate-induced lipotoxicity","type":"article-journal","volume":"9"},"uris":["http://www.mendeley.com/documents/?uuid=53bd5bdf-d259-4c44-9c6f-83b7472cb740"]}],"mendeley":{"formattedCitation":"&lt;sup&gt;25,53&lt;/sup&gt;","plainTextFormattedCitation":"25,53","previouslyFormattedCitation":"&lt;sup&gt;25,53&lt;/sup&gt;"},"properties":{"noteIndex":0},"schema":"https://github.com/citation-style-language/schema/raw/master/csl-citation.json"}</w:instrText>
      </w:r>
      <w:r w:rsidR="0081048C" w:rsidRPr="002539EF">
        <w:rPr>
          <w:rFonts w:ascii="Times New Roman" w:hAnsi="Times New Roman" w:cs="Times New Roman"/>
          <w:sz w:val="24"/>
          <w:szCs w:val="24"/>
          <w:lang w:val="en-US"/>
        </w:rPr>
        <w:fldChar w:fldCharType="separate"/>
      </w:r>
      <w:r w:rsidR="0081048C" w:rsidRPr="002539EF">
        <w:rPr>
          <w:rFonts w:ascii="Times New Roman" w:hAnsi="Times New Roman" w:cs="Times New Roman"/>
          <w:noProof/>
          <w:sz w:val="24"/>
          <w:szCs w:val="24"/>
          <w:lang w:val="en-US"/>
        </w:rPr>
        <w:t>25,53</w:t>
      </w:r>
      <w:r w:rsidR="0081048C"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CD3185" w:rsidRPr="00405F18">
        <w:rPr>
          <w:rFonts w:ascii="Times New Roman" w:hAnsi="Times New Roman" w:cs="Times New Roman"/>
          <w:sz w:val="24"/>
          <w:szCs w:val="24"/>
          <w:lang w:val="en-US"/>
        </w:rPr>
        <w:t xml:space="preserve">, </w:t>
      </w:r>
      <w:r w:rsidR="00ED5A1D" w:rsidRPr="00405F18">
        <w:rPr>
          <w:rFonts w:ascii="Times New Roman" w:hAnsi="Times New Roman" w:cs="Times New Roman"/>
          <w:sz w:val="24"/>
          <w:szCs w:val="24"/>
          <w:lang w:val="en-US"/>
        </w:rPr>
        <w:t>several studies</w:t>
      </w:r>
      <w:r w:rsidR="0081048C" w:rsidRPr="00405F18">
        <w:rPr>
          <w:rFonts w:ascii="Times New Roman" w:hAnsi="Times New Roman" w:cs="Times New Roman"/>
          <w:sz w:val="24"/>
          <w:szCs w:val="24"/>
          <w:lang w:val="en-US"/>
        </w:rPr>
        <w:t xml:space="preserve"> directly demonstrated the involvement of the</w:t>
      </w:r>
      <w:r w:rsidR="007422FB" w:rsidRPr="00405F18">
        <w:rPr>
          <w:rFonts w:ascii="Times New Roman" w:hAnsi="Times New Roman" w:cs="Times New Roman"/>
          <w:sz w:val="24"/>
          <w:szCs w:val="24"/>
          <w:lang w:val="en-US"/>
        </w:rPr>
        <w:t xml:space="preserve"> lysosomal</w:t>
      </w:r>
      <w:r w:rsidR="0081048C" w:rsidRPr="00405F18">
        <w:rPr>
          <w:rFonts w:ascii="Times New Roman" w:hAnsi="Times New Roman" w:cs="Times New Roman"/>
          <w:sz w:val="24"/>
          <w:szCs w:val="24"/>
          <w:lang w:val="en-US"/>
        </w:rPr>
        <w:t xml:space="preserve"> </w:t>
      </w:r>
      <w:r w:rsidR="000B592D">
        <w:rPr>
          <w:rFonts w:ascii="Times New Roman" w:hAnsi="Times New Roman" w:cs="Times New Roman"/>
          <w:sz w:val="24"/>
          <w:szCs w:val="24"/>
          <w:lang w:val="en-US"/>
        </w:rPr>
        <w:t>V</w:t>
      </w:r>
      <w:r w:rsidR="00FB6C5F" w:rsidRPr="00405F18">
        <w:rPr>
          <w:rFonts w:ascii="Times New Roman" w:hAnsi="Times New Roman" w:cs="Times New Roman"/>
          <w:sz w:val="24"/>
          <w:szCs w:val="24"/>
          <w:lang w:val="en-US"/>
        </w:rPr>
        <w:t>-ATPase</w:t>
      </w:r>
      <w:r w:rsidR="002539EF">
        <w:rPr>
          <w:rFonts w:ascii="Times New Roman" w:hAnsi="Times New Roman" w:cs="Times New Roman"/>
          <w:sz w:val="24"/>
          <w:szCs w:val="24"/>
          <w:lang w:val="en-US"/>
        </w:rPr>
        <w:t xml:space="preserve"> [</w:t>
      </w:r>
      <w:r w:rsidR="000A6C2B" w:rsidRPr="002539EF">
        <w:rPr>
          <w:rFonts w:ascii="Times New Roman" w:hAnsi="Times New Roman" w:cs="Times New Roman"/>
          <w:sz w:val="24"/>
          <w:szCs w:val="24"/>
          <w:lang w:val="en-US"/>
        </w:rPr>
        <w:fldChar w:fldCharType="begin" w:fldLock="1"/>
      </w:r>
      <w:r w:rsidR="00CC79C0" w:rsidRPr="002539EF">
        <w:rPr>
          <w:rFonts w:ascii="Times New Roman" w:hAnsi="Times New Roman" w:cs="Times New Roman"/>
          <w:sz w:val="24"/>
          <w:szCs w:val="24"/>
          <w:lang w:val="en-US"/>
        </w:rPr>
        <w:instrText>ADDIN CSL_CITATION {"citationItems":[{"id":"ITEM-1","itemData":{"DOI":"10.2337/db16-0727","ISSN":"1939327X","PMID":"28302654","abstract":"Dietary fat overconsumption leads to myocardial lipid accumulation through mechanisms that are incompletely resolved. Previously, we identified increased translocation of the fatty acid transporter CD36 from its endosomal storage compartment to the sarcolemma as the primary mechanism of excessive myocellular lipid import. Here, we show that increased CD36 translocation is caused by alkalinization of endosomes resulting from inhibition of proton pumping activity of vacuolar-type H+-ATPase (v-ATPase). Endosomal alkalinization was observed in hearts from rats fed a lard-based high-fat diet and in rodent and human cardiomyocytes upon palmitate overexposure, and appeared as an early lipid-induced event preceding the onset of insulin resistance. Either genetic or pharmacological inhibition of v-ATPase in cardiomyocytes exposed to low palmitate concentrations reduced insulin sensitivity and cardiomyocyte contractility, which was rescued by CD36 silencing. The mechanism of palmitate-induced v-ATPase inhibition involved its dissociation into two parts: the cytosolic V1 and the integral membrane Vo subcomplex. Interestingly, oleate also inhibits v-ATPase function, yielding triacylglycerol accumulation but not insulin resistance. In conclusion, lipid oversupply increases CD36-mediated lipid uptake that directly impairs v-ATPase function. This feeds forward to enhanced CD36 translocation and further increased lipid uptake. In the case of palmitate, its accelerated uptake ultimately precipitates into cardiac insulin resistance and contractile dysfunction.","author":[{"dropping-particle":"","family":"Liu","given":"Yilin","non-dropping-particle":"","parse-names":false,"suffix":""},{"dropping-particle":"","family":"Steinbusch","given":"Laura K.M.","non-dropping-particle":"","parse-names":false,"suffix":""},{"dropping-particle":"","family":"Nabben","given":"Miranda","non-dropping-particle":"","parse-names":false,"suffix":""},{"dropping-particle":"","family":"Kapsokalyvas","given":"Dimitris","non-dropping-particle":"","parse-names":false,"suffix":""},{"dropping-particle":"","family":"Zandvoort","given":"Marc","non-dropping-particle":"Van","parse-names":false,"suffix":""},{"dropping-particle":"","family":"Schönleitner","given":"Patrick","non-dropping-particle":"","parse-names":false,"suffix":""},{"dropping-particle":"","family":"Antoons","given":"Gudrun","non-dropping-particle":"","parse-names":false,"suffix":""},{"dropping-particle":"","family":"Simons","given":"Peter J.","non-dropping-particle":"","parse-names":false,"suffix":""},{"dropping-particle":"","family":"Coumans","given":"Will A.","non-dropping-particle":"","parse-names":false,"suffix":""},{"dropping-particle":"","family":"Geomini","given":"Amber","non-dropping-particle":"","parse-names":false,"suffix":""},{"dropping-particle":"","family":"Chanda","given":"Dipanjan","non-dropping-particle":"","parse-names":false,"suffix":""},{"dropping-particle":"","family":"Glatz","given":"Jan F.C.","non-dropping-particle":"","parse-names":false,"suffix":""},{"dropping-particle":"","family":"Neumann","given":"Dietbert","non-dropping-particle":"","parse-names":false,"suffix":""},{"dropping-particle":"","family":"Luiken","given":"Joost J.F.P.","non-dropping-particle":"","parse-names":false,"suffix":""}],"container-title":"Diabetes","id":"ITEM-1","issue":"6","issued":{"date-parts":[["2017"]]},"page":"1521-1534","title":"Palmitate-induced vacuolar-type H+-ATPase inhibition feeds forward into insulin resistance and contractile dysfunction","type":"article-journal","volume":"66"},"uris":["http://www.mendeley.com/documents/?uuid=ee734df3-c011-430c-809f-a56959db6c03"]}],"mendeley":{"formattedCitation":"&lt;sup&gt;54&lt;/sup&gt;","plainTextFormattedCitation":"54","previouslyFormattedCitation":"&lt;sup&gt;54&lt;/sup&gt;"},"properties":{"noteIndex":0},"schema":"https://github.com/citation-style-language/schema/raw/master/csl-citation.json"}</w:instrText>
      </w:r>
      <w:r w:rsidR="000A6C2B" w:rsidRPr="002539EF">
        <w:rPr>
          <w:rFonts w:ascii="Times New Roman" w:hAnsi="Times New Roman" w:cs="Times New Roman"/>
          <w:sz w:val="24"/>
          <w:szCs w:val="24"/>
          <w:lang w:val="en-US"/>
        </w:rPr>
        <w:fldChar w:fldCharType="separate"/>
      </w:r>
      <w:r w:rsidR="000A6C2B" w:rsidRPr="002539EF">
        <w:rPr>
          <w:rFonts w:ascii="Times New Roman" w:hAnsi="Times New Roman" w:cs="Times New Roman"/>
          <w:noProof/>
          <w:sz w:val="24"/>
          <w:szCs w:val="24"/>
          <w:lang w:val="en-US"/>
        </w:rPr>
        <w:t>54</w:t>
      </w:r>
      <w:r w:rsidR="000A6C2B"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FB6C5F" w:rsidRPr="00405F18">
        <w:rPr>
          <w:rFonts w:ascii="Times New Roman" w:hAnsi="Times New Roman" w:cs="Times New Roman"/>
          <w:sz w:val="24"/>
          <w:szCs w:val="24"/>
          <w:lang w:val="en-US"/>
        </w:rPr>
        <w:t xml:space="preserve">. </w:t>
      </w:r>
      <w:r w:rsidR="007422FB" w:rsidRPr="00405F18">
        <w:rPr>
          <w:rFonts w:ascii="Times New Roman" w:hAnsi="Times New Roman" w:cs="Times New Roman"/>
          <w:sz w:val="24"/>
          <w:szCs w:val="24"/>
          <w:lang w:val="en-US"/>
        </w:rPr>
        <w:t xml:space="preserve">An </w:t>
      </w:r>
      <w:r w:rsidR="007422FB" w:rsidRPr="00405F18">
        <w:rPr>
          <w:rFonts w:ascii="Times New Roman" w:hAnsi="Times New Roman" w:cs="Times New Roman"/>
          <w:sz w:val="24"/>
          <w:szCs w:val="24"/>
          <w:lang w:val="en-US"/>
        </w:rPr>
        <w:lastRenderedPageBreak/>
        <w:t>inhibition of this</w:t>
      </w:r>
      <w:r w:rsidR="00FB6C5F" w:rsidRPr="00405F18">
        <w:rPr>
          <w:rFonts w:ascii="Times New Roman" w:hAnsi="Times New Roman" w:cs="Times New Roman"/>
          <w:sz w:val="24"/>
          <w:szCs w:val="24"/>
          <w:lang w:val="en-US"/>
        </w:rPr>
        <w:t xml:space="preserve"> pump has been shown </w:t>
      </w:r>
      <w:r w:rsidR="007422FB" w:rsidRPr="00405F18">
        <w:rPr>
          <w:rFonts w:ascii="Times New Roman" w:hAnsi="Times New Roman" w:cs="Times New Roman"/>
          <w:sz w:val="24"/>
          <w:szCs w:val="24"/>
          <w:lang w:val="en-US"/>
        </w:rPr>
        <w:t>upon</w:t>
      </w:r>
      <w:r w:rsidR="00FB6C5F" w:rsidRPr="00405F18">
        <w:rPr>
          <w:rFonts w:ascii="Times New Roman" w:hAnsi="Times New Roman" w:cs="Times New Roman"/>
          <w:sz w:val="24"/>
          <w:szCs w:val="24"/>
          <w:lang w:val="en-US"/>
        </w:rPr>
        <w:t xml:space="preserve"> </w:t>
      </w:r>
      <w:proofErr w:type="spellStart"/>
      <w:r w:rsidR="00FB6C5F" w:rsidRPr="00405F18">
        <w:rPr>
          <w:rFonts w:ascii="Times New Roman" w:hAnsi="Times New Roman" w:cs="Times New Roman"/>
          <w:sz w:val="24"/>
          <w:szCs w:val="24"/>
          <w:lang w:val="en-US"/>
        </w:rPr>
        <w:t>lipotoxicity</w:t>
      </w:r>
      <w:proofErr w:type="spellEnd"/>
      <w:r w:rsidR="00FB6C5F" w:rsidRPr="00405F18">
        <w:rPr>
          <w:rFonts w:ascii="Times New Roman" w:hAnsi="Times New Roman" w:cs="Times New Roman"/>
          <w:sz w:val="24"/>
          <w:szCs w:val="24"/>
          <w:lang w:val="en-US"/>
        </w:rPr>
        <w:t xml:space="preserve"> </w:t>
      </w:r>
      <w:r w:rsidR="00351C21" w:rsidRPr="00405F18">
        <w:rPr>
          <w:rFonts w:ascii="Times New Roman" w:hAnsi="Times New Roman" w:cs="Times New Roman"/>
          <w:sz w:val="24"/>
          <w:szCs w:val="24"/>
          <w:lang w:val="en-US"/>
        </w:rPr>
        <w:t>due</w:t>
      </w:r>
      <w:r w:rsidR="00FB6C5F" w:rsidRPr="00405F18">
        <w:rPr>
          <w:rFonts w:ascii="Times New Roman" w:hAnsi="Times New Roman" w:cs="Times New Roman"/>
          <w:sz w:val="24"/>
          <w:szCs w:val="24"/>
          <w:lang w:val="en-US"/>
        </w:rPr>
        <w:t xml:space="preserve"> to excessive</w:t>
      </w:r>
      <w:r w:rsidR="00351C21" w:rsidRPr="00405F18">
        <w:rPr>
          <w:rFonts w:ascii="Times New Roman" w:hAnsi="Times New Roman" w:cs="Times New Roman"/>
          <w:sz w:val="24"/>
          <w:szCs w:val="24"/>
          <w:lang w:val="en-US"/>
        </w:rPr>
        <w:t xml:space="preserve"> disassembly of</w:t>
      </w:r>
      <w:r w:rsidR="00210D73" w:rsidRPr="00405F18">
        <w:rPr>
          <w:rFonts w:ascii="Times New Roman" w:hAnsi="Times New Roman" w:cs="Times New Roman"/>
          <w:sz w:val="24"/>
          <w:szCs w:val="24"/>
          <w:lang w:val="en-US"/>
        </w:rPr>
        <w:t xml:space="preserve"> </w:t>
      </w:r>
      <w:r w:rsidR="00AA7C5B" w:rsidRPr="00405F18">
        <w:rPr>
          <w:rFonts w:ascii="Times New Roman" w:hAnsi="Times New Roman" w:cs="Times New Roman"/>
          <w:sz w:val="24"/>
          <w:szCs w:val="24"/>
          <w:lang w:val="en-US"/>
        </w:rPr>
        <w:t xml:space="preserve">the </w:t>
      </w:r>
      <w:r w:rsidR="007422FB" w:rsidRPr="00405F18">
        <w:rPr>
          <w:rFonts w:ascii="Times New Roman" w:hAnsi="Times New Roman" w:cs="Times New Roman"/>
          <w:sz w:val="24"/>
          <w:szCs w:val="24"/>
          <w:lang w:val="en-US"/>
        </w:rPr>
        <w:t>soluble hydrolytic V</w:t>
      </w:r>
      <w:r w:rsidR="007422FB" w:rsidRPr="000C58B4">
        <w:rPr>
          <w:rFonts w:ascii="Times New Roman" w:hAnsi="Times New Roman" w:cs="Times New Roman"/>
          <w:sz w:val="24"/>
          <w:szCs w:val="24"/>
          <w:vertAlign w:val="subscript"/>
          <w:lang w:val="en-US"/>
        </w:rPr>
        <w:t>1</w:t>
      </w:r>
      <w:r w:rsidR="007422FB" w:rsidRPr="00405F18">
        <w:rPr>
          <w:rFonts w:ascii="Times New Roman" w:hAnsi="Times New Roman" w:cs="Times New Roman"/>
          <w:sz w:val="24"/>
          <w:szCs w:val="24"/>
          <w:lang w:val="en-US"/>
        </w:rPr>
        <w:t xml:space="preserve"> </w:t>
      </w:r>
      <w:r w:rsidR="00E11F6C">
        <w:rPr>
          <w:rFonts w:ascii="Times New Roman" w:hAnsi="Times New Roman" w:cs="Times New Roman"/>
          <w:sz w:val="24"/>
          <w:szCs w:val="24"/>
          <w:lang w:val="en-US"/>
        </w:rPr>
        <w:t>domain</w:t>
      </w:r>
      <w:r w:rsidR="00E11F6C" w:rsidRPr="00405F18">
        <w:rPr>
          <w:rFonts w:ascii="Times New Roman" w:hAnsi="Times New Roman" w:cs="Times New Roman"/>
          <w:sz w:val="24"/>
          <w:szCs w:val="24"/>
          <w:lang w:val="en-US"/>
        </w:rPr>
        <w:t xml:space="preserve"> </w:t>
      </w:r>
      <w:r w:rsidR="007422FB" w:rsidRPr="00405F18">
        <w:rPr>
          <w:rFonts w:ascii="Times New Roman" w:hAnsi="Times New Roman" w:cs="Times New Roman"/>
          <w:sz w:val="24"/>
          <w:szCs w:val="24"/>
          <w:lang w:val="en-US"/>
        </w:rPr>
        <w:t xml:space="preserve">from the </w:t>
      </w:r>
      <w:r w:rsidR="00AA7C5B" w:rsidRPr="00405F18">
        <w:rPr>
          <w:rFonts w:ascii="Times New Roman" w:hAnsi="Times New Roman" w:cs="Times New Roman"/>
          <w:sz w:val="24"/>
          <w:szCs w:val="24"/>
          <w:lang w:val="en-US"/>
        </w:rPr>
        <w:t>membrane-associated V</w:t>
      </w:r>
      <w:r w:rsidR="00AA7C5B" w:rsidRPr="000C58B4">
        <w:rPr>
          <w:rFonts w:ascii="Times New Roman" w:hAnsi="Times New Roman" w:cs="Times New Roman"/>
          <w:sz w:val="24"/>
          <w:szCs w:val="24"/>
          <w:vertAlign w:val="subscript"/>
          <w:lang w:val="en-US"/>
        </w:rPr>
        <w:t>0</w:t>
      </w:r>
      <w:r w:rsidR="00AA7C5B" w:rsidRPr="00405F18">
        <w:rPr>
          <w:rFonts w:ascii="Times New Roman" w:hAnsi="Times New Roman" w:cs="Times New Roman"/>
          <w:sz w:val="24"/>
          <w:szCs w:val="24"/>
          <w:lang w:val="en-US"/>
        </w:rPr>
        <w:t xml:space="preserve"> </w:t>
      </w:r>
      <w:r w:rsidR="00FF735D" w:rsidRPr="00405F18">
        <w:rPr>
          <w:rFonts w:ascii="Times New Roman" w:hAnsi="Times New Roman" w:cs="Times New Roman"/>
          <w:sz w:val="24"/>
          <w:szCs w:val="24"/>
          <w:lang w:val="en-US"/>
        </w:rPr>
        <w:t xml:space="preserve">as a result of its </w:t>
      </w:r>
      <w:r w:rsidR="00FB6C5F" w:rsidRPr="00405F18">
        <w:rPr>
          <w:rFonts w:ascii="Times New Roman" w:hAnsi="Times New Roman" w:cs="Times New Roman"/>
          <w:sz w:val="24"/>
          <w:szCs w:val="24"/>
          <w:lang w:val="en-US"/>
        </w:rPr>
        <w:t>palmitoylation</w:t>
      </w:r>
      <w:r w:rsidR="002539EF">
        <w:rPr>
          <w:rFonts w:ascii="Times New Roman" w:hAnsi="Times New Roman" w:cs="Times New Roman"/>
          <w:sz w:val="24"/>
          <w:szCs w:val="24"/>
          <w:lang w:val="en-US"/>
        </w:rPr>
        <w:t xml:space="preserve"> [</w:t>
      </w:r>
      <w:r w:rsidR="00CC79C0" w:rsidRPr="002539EF">
        <w:rPr>
          <w:rFonts w:ascii="Times New Roman" w:hAnsi="Times New Roman" w:cs="Times New Roman"/>
          <w:sz w:val="24"/>
          <w:szCs w:val="24"/>
          <w:lang w:val="en-US"/>
        </w:rPr>
        <w:fldChar w:fldCharType="begin" w:fldLock="1"/>
      </w:r>
      <w:r w:rsidR="002C2047" w:rsidRPr="002539EF">
        <w:rPr>
          <w:rFonts w:ascii="Times New Roman" w:hAnsi="Times New Roman" w:cs="Times New Roman"/>
          <w:sz w:val="24"/>
          <w:szCs w:val="24"/>
          <w:lang w:val="en-US"/>
        </w:rPr>
        <w:instrText>ADDIN CSL_CITATION {"citationItems":[{"id":"ITEM-1","itemData":{"abstract":"Lysosomal pH regulation is impaired in virtually all lysosomal storage disorders (LSDs). However, the mechanism of this defect remains unexplained. The vacuolar H+-transporting ATPase (v-ATPase), a multi-subunit protein-complex, regulates endosomal/lysosomal pH. The reversible assembly of its membrane-bound V0 sector and cytosolic V1 sector regulates acidification of the lysosomes. Infantile Neuronal Ceroid Lipofuscinoses (INCL) is a neurodegenerative LSD caused by mutations in the CLN1 gene encoding palmitoyl-protein thioesterase-1(PPT1), a depalmitoylating enzyme. Dynamic palmitoylation (palmitoylation-depalmitoylation) is critical for regulating the functions of many proteins, which requires palmitoyl-acyltransferases (PATs) for palmitoylation and palmitoyl-protein thioesterases (PPTs) for depalmitoylation. Using Ppt1-/- mice that mimic INCL, we uncovered that subunit a1 of V0-ATPase (V0a1) requires palmitoylation on Cys-25 for localization to endosomal/lysosomal membrane. V0a1 is transported via clathrin/AP2 pathway from plasma membrane to early endosomes where PPT1-deficiency suppressed depalmitoylation impairing clathrin/AP2/V0a1 dissociation. This defect prevented interaction of V0a1 with AP3, essential for trafficking to lysosomes and clathrin/AP2/V0a1 was recycled back to the plasma membrane. Consequently, disruption of V0/V1 assembly on lysosomal membrane suppressed V-ATPase activity, essential for pH regulation. Importantly, a PPT1-mimetic, NtBuHA, ameliorated these defects. Our findings uncover a novel mechanism underlying increased lysosomal pH in INCL and suggest that varying factors impairing V-ATPase activity may disrupt lysosomal pH regulation in other LSDs.","author":[{"dropping-particle":"","family":"Maria Bagh DR, Goutam Chandra, Shiyong Peng, Zhongjian Zhang","given":"Anil Mukherjee","non-dropping-particle":"","parse-names":false,"suffix":""}],"container-title":"The FASEB Journal","id":"ITEM-1","issued":{"date-parts":[["2015"]]},"title":"A lysosomal targeting defect of V0a1 suppresses V-ATPase activity elevating lysosomal pH in Ppt1-/- mice: amelioration by NtBuHA","type":"article-journal"},"uris":["http://www.mendeley.com/documents/?uuid=1d6d683e-c303-416b-bf96-e4586f7b37c0"]},{"id":"ITEM-2","itemData":{"DOI":"10.1038/ncomms14612","ISSN":"20411723","PMID":"28266544","abstract":"Defective lysosomal acidification contributes to virtually all lysosomal storage disorders (LSDs) and to common neurodegenerative diseases like Alzheimer's and Parkinson's. Despite its fundamental importance, the mechanism(s) underlying this defect remains unclear. The v-ATPase, a multisubunit protein complex composed of cytosolic V1-sector and lysosomal membrane-anchored V0-sector, regulates lysosomal acidification. Mutations in the CLN1 gene, encoding PPT1, cause a devastating neurodegenerative LSD, INCL. Here we report that in Cln1-/- mice, which mimic INCL, reduced v-ATPase activity correlates with elevated lysosomal pH. Moreover, v-ATPase subunit a1 of the V0 sector (V0a1) requires palmitoylation for interacting with adaptor protein-2 (AP-2) and AP-3, respectively, for trafficking to the lysosomal membrane. Notably, treatment of Cln1-/- mice with a thioesterase (Ppt1)-mimetic, NtBuHA, ameliorated this defect. Our findings reveal an unanticipated role of Cln1 in regulating lysosomal targeting of V0a1 and suggest that varying factors adversely affecting v-ATPase function dysregulate lysosomal acidification in other LSDs and common neurodegenerative diseases.","author":[{"dropping-particle":"","family":"Bagh","given":"Maria B.","non-dropping-particle":"","parse-names":false,"suffix":""},{"dropping-particle":"","family":"Peng","given":"Shiyong","non-dropping-particle":"","parse-names":false,"suffix":""},{"dropping-particle":"","family":"Chandra","given":"Goutam","non-dropping-particle":"","parse-names":false,"suffix":""},{"dropping-particle":"","family":"Zhang","given":"Zhongjian","non-dropping-particle":"","parse-names":false,"suffix":""},{"dropping-particle":"","family":"Singh","given":"Satya P.","non-dropping-particle":"","parse-names":false,"suffix":""},{"dropping-particle":"","family":"Pattabiraman","given":"Nagarajan","non-dropping-particle":"","parse-names":false,"suffix":""},{"dropping-particle":"","family":"Liu","given":"Aiyi","non-dropping-particle":"","parse-names":false,"suffix":""},{"dropping-particle":"","family":"Mukherjee","given":"Anil B.","non-dropping-particle":"","parse-names":false,"suffix":""}],"container-title":"Nature Communications","id":"ITEM-2","issued":{"date-parts":[["2017"]]},"publisher":"Nature Publishing Group","title":"Misrouting of v-ATPase subunit V0a1 dysregulates lysosomal acidification in a neurodegenerative lysosomal storage disease model","type":"article-journal","volume":"8"},"uris":["http://www.mendeley.com/documents/?uuid=353e5050-2443-4b32-9ee1-1d1dc78d753f"]}],"mendeley":{"formattedCitation":"&lt;sup&gt;55,56&lt;/sup&gt;","plainTextFormattedCitation":"55,56","previouslyFormattedCitation":"&lt;sup&gt;55,56&lt;/sup&gt;"},"properties":{"noteIndex":0},"schema":"https://github.com/citation-style-language/schema/raw/master/csl-citation.json"}</w:instrText>
      </w:r>
      <w:r w:rsidR="00CC79C0" w:rsidRPr="002539EF">
        <w:rPr>
          <w:rFonts w:ascii="Times New Roman" w:hAnsi="Times New Roman" w:cs="Times New Roman"/>
          <w:sz w:val="24"/>
          <w:szCs w:val="24"/>
          <w:lang w:val="en-US"/>
        </w:rPr>
        <w:fldChar w:fldCharType="separate"/>
      </w:r>
      <w:r w:rsidR="00CC79C0" w:rsidRPr="002539EF">
        <w:rPr>
          <w:rFonts w:ascii="Times New Roman" w:hAnsi="Times New Roman" w:cs="Times New Roman"/>
          <w:noProof/>
          <w:sz w:val="24"/>
          <w:szCs w:val="24"/>
          <w:lang w:val="en-US"/>
        </w:rPr>
        <w:t>55,56</w:t>
      </w:r>
      <w:r w:rsidR="00CC79C0"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2C2047" w:rsidRPr="00405F18">
        <w:rPr>
          <w:rFonts w:ascii="Times New Roman" w:hAnsi="Times New Roman" w:cs="Times New Roman"/>
          <w:sz w:val="24"/>
          <w:szCs w:val="24"/>
          <w:lang w:val="en-US"/>
        </w:rPr>
        <w:t xml:space="preserve"> or</w:t>
      </w:r>
      <w:r w:rsidR="00FB6C5F" w:rsidRPr="00405F18">
        <w:rPr>
          <w:rFonts w:ascii="Times New Roman" w:hAnsi="Times New Roman" w:cs="Times New Roman"/>
          <w:sz w:val="24"/>
          <w:szCs w:val="24"/>
          <w:lang w:val="en-US"/>
        </w:rPr>
        <w:t xml:space="preserve"> oxidative denaturation</w:t>
      </w:r>
      <w:r w:rsidR="002539EF">
        <w:rPr>
          <w:rFonts w:ascii="Times New Roman" w:hAnsi="Times New Roman" w:cs="Times New Roman"/>
          <w:sz w:val="24"/>
          <w:szCs w:val="24"/>
          <w:lang w:val="en-US"/>
        </w:rPr>
        <w:t xml:space="preserve"> [</w:t>
      </w:r>
      <w:r w:rsidR="00FB6C5F" w:rsidRPr="002539EF">
        <w:rPr>
          <w:rFonts w:ascii="Times New Roman" w:hAnsi="Times New Roman" w:cs="Times New Roman"/>
          <w:sz w:val="24"/>
          <w:szCs w:val="24"/>
          <w:lang w:val="en-US"/>
        </w:rPr>
        <w:fldChar w:fldCharType="begin" w:fldLock="1"/>
      </w:r>
      <w:r w:rsidR="00FB6C5F" w:rsidRPr="002539EF">
        <w:rPr>
          <w:rFonts w:ascii="Times New Roman" w:hAnsi="Times New Roman" w:cs="Times New Roman"/>
          <w:sz w:val="24"/>
          <w:szCs w:val="24"/>
          <w:lang w:val="en-US"/>
        </w:rPr>
        <w:instrText>ADDIN CSL_CITATION {"citationItems":[{"id":"ITEM-1","itemData":{"DOI":"10.1194/jlr.M055152","ISSN":"15397262","PMID":"25529920","abstract":"Autophagy is a catabolic process involved in maintaining energy and organelle homeostasis. The relationship between obesity and the regulation of autophagy is cell type specific. Despite adverse consequences of obesity on cardiac structure and function, the contribution of altered cardiac autophagy in response to fatty acid overload is incompletely understood. Here, we report the suppression of autophagosome clearance and the activation of NADPH oxidase (Nox)2 in both high fat-fed murine hearts and palmitate-treated H9C2 cardiomyocytes (CMs). Defective autophagosome clearance is secondary to superoxide-dependent impairment of lysosomal acidification and enzyme activity in palmitate-treated CMs. Inhibition of Nox2 prevented superoxide overproduction, restored lysosome acidification and enzyme activity, and reduced autophagosome accumulation in palmitate-treated CMs. Palmitate-induced Nox2 activation was dependent on the activation of classical protein kinase Cs (PKCs), specifi cally PKCβII. These findings reveal a novel mechanism linking lipotoxicity with a PKCβ-Nox2-mediated impairment in pH-dependent lysosomal enzyme activity that diminishes autophagic turnover in CMs.","author":[{"dropping-particle":"","family":"Jaishy","given":"Bharat","non-dropping-particle":"","parse-names":false,"suffix":""},{"dropping-particle":"","family":"Zhang","given":"Quanjiang","non-dropping-particle":"","parse-names":false,"suffix":""},{"dropping-particle":"","family":"Chung","given":"Heaseung S.","non-dropping-particle":"","parse-names":false,"suffix":""},{"dropping-particle":"","family":"Riehle","given":"Christian","non-dropping-particle":"","parse-names":false,"suffix":""},{"dropping-particle":"","family":"Soto","given":"Jamie","non-dropping-particle":"","parse-names":false,"suffix":""},{"dropping-particle":"","family":"Jenkins","given":"Stephen","non-dropping-particle":"","parse-names":false,"suffix":""},{"dropping-particle":"","family":"Abel","given":"Patrick","non-dropping-particle":"","parse-names":false,"suffix":""},{"dropping-particle":"","family":"Cowart","given":"L. Ashley","non-dropping-particle":"","parse-names":false,"suffix":""},{"dropping-particle":"","family":"Eyk","given":"Jennifer E.","non-dropping-particle":"Van","parse-names":false,"suffix":""},{"dropping-particle":"","family":"Abel","given":"E. Dale","non-dropping-particle":"","parse-names":false,"suffix":""}],"container-title":"Journal of Lipid Research","id":"ITEM-1","issue":"3","issued":{"date-parts":[["2015"]]},"page":"546-561","publisher":"Â© 2015 ASBMB. Currently published by Elsevier Inc; originally published by American Society for Biochemistry and Molecular Biology.","title":"Lipid-induced NOX2 activation inhibits autophagic flux by impairing lysosomal enzyme activity","type":"article-journal","volume":"56"},"uris":["http://www.mendeley.com/documents/?uuid=fecde6ec-c605-470d-9aae-32b653d7f56d"]}],"mendeley":{"formattedCitation":"&lt;sup&gt;26&lt;/sup&gt;","plainTextFormattedCitation":"26","previouslyFormattedCitation":"&lt;sup&gt;26&lt;/sup&gt;"},"properties":{"noteIndex":0},"schema":"https://github.com/citation-style-language/schema/raw/master/csl-citation.json"}</w:instrText>
      </w:r>
      <w:r w:rsidR="00FB6C5F" w:rsidRPr="002539EF">
        <w:rPr>
          <w:rFonts w:ascii="Times New Roman" w:hAnsi="Times New Roman" w:cs="Times New Roman"/>
          <w:sz w:val="24"/>
          <w:szCs w:val="24"/>
          <w:lang w:val="en-US"/>
        </w:rPr>
        <w:fldChar w:fldCharType="separate"/>
      </w:r>
      <w:r w:rsidR="00FB6C5F" w:rsidRPr="002539EF">
        <w:rPr>
          <w:rFonts w:ascii="Times New Roman" w:hAnsi="Times New Roman" w:cs="Times New Roman"/>
          <w:noProof/>
          <w:sz w:val="24"/>
          <w:szCs w:val="24"/>
          <w:lang w:val="en-US"/>
        </w:rPr>
        <w:t>26</w:t>
      </w:r>
      <w:r w:rsidR="00FB6C5F"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FB6C5F" w:rsidRPr="00405F18">
        <w:rPr>
          <w:rFonts w:ascii="Times New Roman" w:hAnsi="Times New Roman" w:cs="Times New Roman"/>
          <w:sz w:val="24"/>
          <w:szCs w:val="24"/>
          <w:lang w:val="en-US"/>
        </w:rPr>
        <w:t>.</w:t>
      </w:r>
      <w:r w:rsidR="002C2047" w:rsidRPr="00405F18">
        <w:rPr>
          <w:rFonts w:ascii="Times New Roman" w:hAnsi="Times New Roman" w:cs="Times New Roman"/>
          <w:sz w:val="24"/>
          <w:szCs w:val="24"/>
          <w:lang w:val="en-US"/>
        </w:rPr>
        <w:t xml:space="preserve"> </w:t>
      </w:r>
      <w:r w:rsidR="0013263A" w:rsidRPr="00405F18">
        <w:rPr>
          <w:rFonts w:ascii="Times New Roman" w:hAnsi="Times New Roman" w:cs="Times New Roman"/>
          <w:sz w:val="24"/>
          <w:szCs w:val="24"/>
          <w:lang w:val="en-US"/>
        </w:rPr>
        <w:t>T</w:t>
      </w:r>
      <w:r w:rsidRPr="00405F18">
        <w:rPr>
          <w:rFonts w:ascii="Times New Roman" w:hAnsi="Times New Roman" w:cs="Times New Roman"/>
          <w:sz w:val="24"/>
          <w:szCs w:val="24"/>
          <w:lang w:val="en-US"/>
        </w:rPr>
        <w:t>he relevance</w:t>
      </w:r>
      <w:r w:rsidR="00FB6C5F" w:rsidRPr="00405F18">
        <w:rPr>
          <w:rFonts w:ascii="Times New Roman" w:hAnsi="Times New Roman" w:cs="Times New Roman"/>
          <w:sz w:val="24"/>
          <w:szCs w:val="24"/>
          <w:lang w:val="en-US"/>
        </w:rPr>
        <w:t xml:space="preserve"> of these mechanisms</w:t>
      </w:r>
      <w:r w:rsidRPr="00405F18">
        <w:rPr>
          <w:rFonts w:ascii="Times New Roman" w:hAnsi="Times New Roman" w:cs="Times New Roman"/>
          <w:sz w:val="24"/>
          <w:szCs w:val="24"/>
          <w:lang w:val="en-US"/>
        </w:rPr>
        <w:t xml:space="preserve"> in </w:t>
      </w:r>
      <w:r w:rsidR="0013263A" w:rsidRPr="00405F18">
        <w:rPr>
          <w:rFonts w:ascii="Times New Roman" w:hAnsi="Times New Roman" w:cs="Times New Roman"/>
          <w:sz w:val="24"/>
          <w:szCs w:val="24"/>
          <w:lang w:val="en-US"/>
        </w:rPr>
        <w:t>our experimental conditions</w:t>
      </w:r>
      <w:r w:rsidRPr="00405F18">
        <w:rPr>
          <w:rFonts w:ascii="Times New Roman" w:hAnsi="Times New Roman" w:cs="Times New Roman"/>
          <w:sz w:val="24"/>
          <w:szCs w:val="24"/>
          <w:lang w:val="en-US"/>
        </w:rPr>
        <w:t xml:space="preserve"> remain</w:t>
      </w:r>
      <w:r w:rsidR="0052587D"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to be determined. </w:t>
      </w:r>
      <w:bookmarkStart w:id="7" w:name="_Hlk172798565"/>
      <w:r w:rsidR="004A2BDA" w:rsidRPr="00405F18">
        <w:rPr>
          <w:rFonts w:ascii="Times New Roman" w:hAnsi="Times New Roman" w:cs="Times New Roman"/>
          <w:sz w:val="24"/>
          <w:szCs w:val="24"/>
          <w:lang w:val="en-US"/>
        </w:rPr>
        <w:t>L</w:t>
      </w:r>
      <w:r w:rsidR="00E2210F" w:rsidRPr="00405F18">
        <w:rPr>
          <w:rFonts w:ascii="Times New Roman" w:hAnsi="Times New Roman" w:cs="Times New Roman"/>
          <w:sz w:val="24"/>
          <w:szCs w:val="24"/>
          <w:lang w:val="en-US"/>
        </w:rPr>
        <w:t xml:space="preserve">ysosomal alkalinization </w:t>
      </w:r>
      <w:r w:rsidR="004A2BDA" w:rsidRPr="00405F18">
        <w:rPr>
          <w:rFonts w:ascii="Times New Roman" w:hAnsi="Times New Roman" w:cs="Times New Roman"/>
          <w:sz w:val="24"/>
          <w:szCs w:val="24"/>
          <w:lang w:val="en-US"/>
        </w:rPr>
        <w:t>wa</w:t>
      </w:r>
      <w:r w:rsidR="00E2210F" w:rsidRPr="00405F18">
        <w:rPr>
          <w:rFonts w:ascii="Times New Roman" w:hAnsi="Times New Roman" w:cs="Times New Roman"/>
          <w:sz w:val="24"/>
          <w:szCs w:val="24"/>
          <w:lang w:val="en-US"/>
        </w:rPr>
        <w:t>s concomitant with LMP in PTECs exposed to PA</w:t>
      </w:r>
      <w:r w:rsidR="00EB56A8" w:rsidRPr="00405F18">
        <w:rPr>
          <w:rFonts w:ascii="Times New Roman" w:hAnsi="Times New Roman" w:cs="Times New Roman"/>
          <w:sz w:val="24"/>
          <w:szCs w:val="24"/>
          <w:lang w:val="en-US"/>
        </w:rPr>
        <w:t xml:space="preserve">; both </w:t>
      </w:r>
      <w:r w:rsidR="0047342C" w:rsidRPr="00405F18">
        <w:rPr>
          <w:rFonts w:ascii="Times New Roman" w:hAnsi="Times New Roman" w:cs="Times New Roman"/>
          <w:sz w:val="24"/>
          <w:szCs w:val="24"/>
          <w:lang w:val="en-US"/>
        </w:rPr>
        <w:t xml:space="preserve">are tightly interconnected as </w:t>
      </w:r>
      <w:r w:rsidR="00A01342" w:rsidRPr="00405F18">
        <w:rPr>
          <w:rFonts w:ascii="Times New Roman" w:hAnsi="Times New Roman" w:cs="Times New Roman"/>
          <w:sz w:val="24"/>
          <w:szCs w:val="24"/>
          <w:lang w:val="en-US"/>
        </w:rPr>
        <w:t xml:space="preserve">the </w:t>
      </w:r>
      <w:r w:rsidR="0047342C" w:rsidRPr="00405F18">
        <w:rPr>
          <w:rFonts w:ascii="Times New Roman" w:hAnsi="Times New Roman" w:cs="Times New Roman"/>
          <w:sz w:val="24"/>
          <w:szCs w:val="24"/>
          <w:lang w:val="en-US"/>
        </w:rPr>
        <w:t>rupture</w:t>
      </w:r>
      <w:r w:rsidR="00A01342" w:rsidRPr="00405F18">
        <w:rPr>
          <w:rFonts w:ascii="Times New Roman" w:hAnsi="Times New Roman" w:cs="Times New Roman"/>
          <w:sz w:val="24"/>
          <w:szCs w:val="24"/>
          <w:lang w:val="en-US"/>
        </w:rPr>
        <w:t xml:space="preserve"> of</w:t>
      </w:r>
      <w:r w:rsidR="0047342C" w:rsidRPr="00405F18">
        <w:rPr>
          <w:rFonts w:ascii="Times New Roman" w:hAnsi="Times New Roman" w:cs="Times New Roman"/>
          <w:sz w:val="24"/>
          <w:szCs w:val="24"/>
          <w:lang w:val="en-US"/>
        </w:rPr>
        <w:t xml:space="preserve"> lysosomal membranes </w:t>
      </w:r>
      <w:r w:rsidR="002174B6" w:rsidRPr="00405F18">
        <w:rPr>
          <w:rFonts w:ascii="Times New Roman" w:hAnsi="Times New Roman" w:cs="Times New Roman"/>
          <w:sz w:val="24"/>
          <w:szCs w:val="24"/>
          <w:lang w:val="en-US"/>
        </w:rPr>
        <w:t>dissipates</w:t>
      </w:r>
      <w:r w:rsidR="0047342C" w:rsidRPr="00405F18">
        <w:rPr>
          <w:rFonts w:ascii="Times New Roman" w:hAnsi="Times New Roman" w:cs="Times New Roman"/>
          <w:sz w:val="24"/>
          <w:szCs w:val="24"/>
          <w:lang w:val="en-US"/>
        </w:rPr>
        <w:t xml:space="preserve"> the proton gradien</w:t>
      </w:r>
      <w:r w:rsidR="002174B6" w:rsidRPr="00405F18">
        <w:rPr>
          <w:rFonts w:ascii="Times New Roman" w:hAnsi="Times New Roman" w:cs="Times New Roman"/>
          <w:sz w:val="24"/>
          <w:szCs w:val="24"/>
          <w:lang w:val="en-US"/>
        </w:rPr>
        <w:t>t</w:t>
      </w:r>
      <w:r w:rsidR="0047342C" w:rsidRPr="00405F18">
        <w:rPr>
          <w:rFonts w:ascii="Times New Roman" w:hAnsi="Times New Roman" w:cs="Times New Roman"/>
          <w:sz w:val="24"/>
          <w:szCs w:val="24"/>
          <w:lang w:val="en-US"/>
        </w:rPr>
        <w:t xml:space="preserve">. </w:t>
      </w:r>
      <w:r w:rsidR="004A2BDA" w:rsidRPr="00405F18">
        <w:rPr>
          <w:rFonts w:ascii="Times New Roman" w:hAnsi="Times New Roman" w:cs="Times New Roman"/>
          <w:sz w:val="24"/>
          <w:szCs w:val="24"/>
          <w:lang w:val="en-US"/>
        </w:rPr>
        <w:t>S</w:t>
      </w:r>
      <w:r w:rsidR="00790B24" w:rsidRPr="00405F18">
        <w:rPr>
          <w:rFonts w:ascii="Times New Roman" w:hAnsi="Times New Roman" w:cs="Times New Roman"/>
          <w:sz w:val="24"/>
          <w:szCs w:val="24"/>
          <w:lang w:val="en-US"/>
        </w:rPr>
        <w:t>everal s</w:t>
      </w:r>
      <w:r w:rsidR="0047342C" w:rsidRPr="00405F18">
        <w:rPr>
          <w:rFonts w:ascii="Times New Roman" w:hAnsi="Times New Roman" w:cs="Times New Roman"/>
          <w:sz w:val="24"/>
          <w:szCs w:val="24"/>
          <w:lang w:val="en-US"/>
        </w:rPr>
        <w:t>tudies have shown tha</w:t>
      </w:r>
      <w:r w:rsidR="009674C9" w:rsidRPr="00405F18">
        <w:rPr>
          <w:rFonts w:ascii="Times New Roman" w:hAnsi="Times New Roman" w:cs="Times New Roman"/>
          <w:sz w:val="24"/>
          <w:szCs w:val="24"/>
          <w:lang w:val="en-US"/>
        </w:rPr>
        <w:t>t the</w:t>
      </w:r>
      <w:r w:rsidR="0047342C" w:rsidRPr="00405F18">
        <w:rPr>
          <w:rFonts w:ascii="Times New Roman" w:hAnsi="Times New Roman" w:cs="Times New Roman"/>
          <w:sz w:val="24"/>
          <w:szCs w:val="24"/>
          <w:lang w:val="en-US"/>
        </w:rPr>
        <w:t xml:space="preserve"> disruption of lysosomal pH </w:t>
      </w:r>
      <w:r w:rsidR="004A2BDA" w:rsidRPr="00405F18">
        <w:rPr>
          <w:rFonts w:ascii="Times New Roman" w:hAnsi="Times New Roman" w:cs="Times New Roman"/>
          <w:sz w:val="24"/>
          <w:szCs w:val="24"/>
          <w:lang w:val="en-US"/>
        </w:rPr>
        <w:t xml:space="preserve">in control conditions </w:t>
      </w:r>
      <w:r w:rsidR="009674C9" w:rsidRPr="00405F18">
        <w:rPr>
          <w:rFonts w:ascii="Times New Roman" w:hAnsi="Times New Roman" w:cs="Times New Roman"/>
          <w:sz w:val="24"/>
          <w:szCs w:val="24"/>
          <w:lang w:val="en-US"/>
        </w:rPr>
        <w:t>by</w:t>
      </w:r>
      <w:r w:rsidR="004A2BDA" w:rsidRPr="00405F18">
        <w:rPr>
          <w:rFonts w:ascii="Times New Roman" w:hAnsi="Times New Roman" w:cs="Times New Roman"/>
          <w:sz w:val="24"/>
          <w:szCs w:val="24"/>
          <w:lang w:val="en-US"/>
        </w:rPr>
        <w:t xml:space="preserve"> </w:t>
      </w:r>
      <w:proofErr w:type="spellStart"/>
      <w:r w:rsidR="004A2BDA" w:rsidRPr="00405F18">
        <w:rPr>
          <w:rFonts w:ascii="Times New Roman" w:hAnsi="Times New Roman" w:cs="Times New Roman"/>
          <w:sz w:val="24"/>
          <w:szCs w:val="24"/>
          <w:lang w:val="en-US"/>
        </w:rPr>
        <w:t>lysosomotropic</w:t>
      </w:r>
      <w:proofErr w:type="spellEnd"/>
      <w:r w:rsidR="004A2BDA" w:rsidRPr="00405F18">
        <w:rPr>
          <w:rFonts w:ascii="Times New Roman" w:hAnsi="Times New Roman" w:cs="Times New Roman"/>
          <w:sz w:val="24"/>
          <w:szCs w:val="24"/>
          <w:lang w:val="en-US"/>
        </w:rPr>
        <w:t xml:space="preserve"> drugs </w:t>
      </w:r>
      <w:r w:rsidR="0047342C" w:rsidRPr="00405F18">
        <w:rPr>
          <w:rFonts w:ascii="Times New Roman" w:hAnsi="Times New Roman" w:cs="Times New Roman"/>
          <w:sz w:val="24"/>
          <w:szCs w:val="24"/>
          <w:lang w:val="en-US"/>
        </w:rPr>
        <w:t>is not sufficient to trigger LMP</w:t>
      </w:r>
      <w:r w:rsidR="004A2BDA" w:rsidRPr="00405F18">
        <w:rPr>
          <w:rFonts w:ascii="Times New Roman" w:hAnsi="Times New Roman" w:cs="Times New Roman"/>
          <w:sz w:val="24"/>
          <w:szCs w:val="24"/>
          <w:lang w:val="en-US"/>
        </w:rPr>
        <w:t xml:space="preserve"> despite causing</w:t>
      </w:r>
      <w:r w:rsidR="0047342C" w:rsidRPr="00405F18">
        <w:rPr>
          <w:rFonts w:ascii="Times New Roman" w:hAnsi="Times New Roman" w:cs="Times New Roman"/>
          <w:sz w:val="24"/>
          <w:szCs w:val="24"/>
          <w:lang w:val="en-US"/>
        </w:rPr>
        <w:t xml:space="preserve"> lysosomal enlargement and inhibition of degradative capacity</w:t>
      </w:r>
      <w:r w:rsidR="002539EF">
        <w:rPr>
          <w:rFonts w:ascii="Times New Roman" w:hAnsi="Times New Roman" w:cs="Times New Roman"/>
          <w:sz w:val="24"/>
          <w:szCs w:val="24"/>
          <w:lang w:val="en-US"/>
        </w:rPr>
        <w:t xml:space="preserve"> [</w:t>
      </w:r>
      <w:r w:rsidR="004A2BDA"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{"citationItems":[{"id":"ITEM-1","itemData":{"DOI":"10.1016/j.mito.2014.06.006","ISSN":"18728278","PMID":"24984038","abstract":"Late endocytic compartments include late endosomes, lysosomes and hybrid organelles. In the acidic lumen, cargo material derived from endocytosed and phagocytosed extracellular material and autophagy-derived intracellular material is degraded. In the event of lysosomal membrane permeabilization (LMP), the function of endo/lysosomal compartment is affected and the luminal contents are released into the cytosol to various extents. LMP can be a result of osmotic lysis or direct membranolytic activity of the compounds that accumulate in the lumen of endo/lysosomes. In addition to several synthetic compounds, such as dipeptide methyl esters and lysosomotropic detergents, endogenous agents that can cause LMP include ROS and lipid metabolites such as sphingosine and phosphatidic acid. Depending on the cell type and the dose, LMP can initiate the lysosomal apoptotic pathway, pyroptosis or necrosis. LMP can also amplify cell death signaling that was initiated outside the endocytic compartment, and hamper cell recovery via autophagy. However, mechanisms that connect LMP with cell death signaling are poorly understood, with the exception of the proteolytic activation of Bid by aspartic cathepsin D and cysteine cathepsins. Determination of LMP in a cell model system is methodologically challenging. Even more difficult is to prove that LMP is the primary event leading to cell death. Nevertheless, LMP may prove to be a valuable approach in therapy, either as a trigger of cell death or as a mechanism of therapeutic drug release in the case of delivery systems that target the endocytic pathway.","author":[{"dropping-particle":"","family":"Repnik","given":"Urška","non-dropping-particle":"","parse-names":false,"suffix":""},{"dropping-particle":"","family":"Hafner Česen","given":"Maruša","non-dropping-particle":"","parse-names":false,"suffix":""},{"dropping-particle":"","family":"Turk","given":"Boris","non-dropping-particle":"","parse-names":false,"suffix":""}],"container-title":"Mitochondrion","id":"ITEM-1","issue":"Part A","issued":{"date-parts":[["2014"]]},"page":"49-57","title":"Lysosomal membrane permeabilization in cell death: Concepts and challenges","type":"article-journal","volume":"19"},"uris":["http://www.mendeley.com/documents/?uuid=e5d105f1-92fb-4f3a-bafc-e92b79345993"]},{"id":"ITEM-2","itemData":{"DOI":"10.1083/jcb.104.5.1223","ISSN":"00219525","PMID":"3571330","abstract":"The sensitivity of cultured human and hamster fibroblast cells to killing by the lysosomotropic detergent N-dodecylimidazole (C12-Im) was investigated as a function of cellular levels of general lysosomal hydrolase activity, and specifically of cysteine cathepsin activity. Fibroblasts from patients with mucolipidosis II (I-cell disease) lack mannose-6-phosphate-containing proteins, and therefore possess only 10-15% of the normal level of most lysosomal hydrolases. I-cell fibroblasts are about one-half as sensitive to killing by C12-Im as are normal human fibroblasts. Overall lysosomal enzyme levels of CHO cells were experimentally manipulated in several ways without affecting cell viability: (a) Growth in the presence of 10 mM ammonium chloride resulted in a gradual decrease in lysosomal enzyme content to 10-20% of control values within 3 d. Subsequent removal of ammonium chloride from the growth medium resulted in an increase in lysosomal enzymes, to ~125% of control values within 24 h. (b) Treatment with 80 mM sucrose caused extensive vacuolization within 2 h; lysosomal enzyme levels remained at control levels for at least 6 h, but increased 15-fold after 24 h of treatment. (c) Treatment with concanavalin A (50 μg/ml) also caused rapid (within 2 h) vacuolation with a sevenfold rise in lysosomal enzyme levels occurring only after 24 h. The sensitivity of these experimentally manipulated cells to killing by C12-Im always paralleled the measured intracellular lysosomal enzyme levels: lower levels were associated with decreased sensitivity while higher levels were associated with increased sensitivity, regardless of the degree of vacuolization of the cells. The cytotoxicity of the cysteine proteases (chiefly cathepsin L in our cells) was tested by inactivating them with the irreversible inhibitor E-64 (100 μg/ml). Cell viability, protein levels, and other lysosomal enzymes were unaffected, but cysteine cathepsin activity was reduced to &lt;20% of control values. E-64-treated cells were almost completely resistant to C12-Im treatment, although lysosomal disruption appeared normal by fluorescent visualization of Lucifer yellow CH-loaded cells. It is concluded that cysteine cathepsins are the major or sole cytotoxic agents released from lysosomes by C12-Im. These observations also confirm the previous conclusions that C12-Im kills cells as a consequence of lysosomal disruption.","author":[{"dropping-particle":"","family":"Wilson","given":"P. D.","non-dropping-particle":"","parse-names":false,"suffix":""},{"dropping-particle":"","family":"Firestone","given":"R. A.","non-dropping-particle":"","parse-names":false,"suffix":""},{"dropping-particle":"","family":"Lenard","given":"J.","non-dropping-particle":"","parse-names":false,"suffix":""}],"container-title":"Journal of Cell Biology","id":"ITEM-2","issue":"5","issued":{"date-parts":[["1987"]]},"page":"1223-1229","title":"The role of lysosomal enzymes in killing of mammalian cells by the lysosomotropic detergent N-dodecylimidazole","type":"article-journal","volume":"104"},"uris":["http://www.mendeley.com/documents/?uuid=49cdbcb7-9415-4078-a5b3-00b9b7cdb96c"]},{"id":"ITEM-3","itemData":{"DOI":"10.1172/JCI33700C1","ISSN":"00219738","author":[{"dropping-particle":"","family":"Maclean","given":"Kirsteen H.","non-dropping-particle":"","parse-names":false,"suffix":""},{"dropping-particle":"","family":"Dorsey","given":"Frank C.","non-dropping-particle":"","parse-names":false,"suffix":""},{"dropping-particle":"","family":"Cleveland","given":"John L.","non-dropping-particle":"","parse-names":false,"suffix":""},{"dropping-particle":"","family":"Kastan","given":"Michael B.","non-dropping-particle":"","parse-names":false,"suffix":""}],"container-title":"Journal of Clinical Investigation","id":"ITEM-3","issue":"4","issued":{"date-parts":[["2008"]]},"page":"1584","title":"Targeting lysosomal degradation induces p53-dependent cell death and prevents cancer in mouse models of lymphomagenesis (Journal of Clinical Investigation (2008) 118, (79-88) DOI: 10.1172/JCI33700)","type":"article-journal","volume":"118"},"uris":["http://www.mendeley.com/documents/?uuid=19998bbe-3d0d-4092-97da-8b05490c0656"]}],"mendeley":{"formattedCitation":"&lt;sup&gt;57–59&lt;/sup&gt;","plainTextFormattedCitation":"57–59","previouslyFormattedCitation":"&lt;sup&gt;57–59&lt;/sup&gt;"},"properties":{"noteIndex":0},"schema":"https://github.com/citation-style-language/schema/raw/master/csl-citation.json"}</w:instrText>
      </w:r>
      <w:r w:rsidR="004A2BDA"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57–59</w:t>
      </w:r>
      <w:r w:rsidR="004A2BDA"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47342C" w:rsidRPr="00405F18">
        <w:rPr>
          <w:rFonts w:ascii="Times New Roman" w:hAnsi="Times New Roman" w:cs="Times New Roman"/>
          <w:sz w:val="24"/>
          <w:szCs w:val="24"/>
          <w:lang w:val="en-US"/>
        </w:rPr>
        <w:t xml:space="preserve">. </w:t>
      </w:r>
      <w:r w:rsidR="004A2BDA" w:rsidRPr="00405F18">
        <w:rPr>
          <w:rFonts w:ascii="Times New Roman" w:hAnsi="Times New Roman" w:cs="Times New Roman"/>
          <w:sz w:val="24"/>
          <w:szCs w:val="24"/>
          <w:lang w:val="en-US"/>
        </w:rPr>
        <w:t>On the one hand, i</w:t>
      </w:r>
      <w:r w:rsidR="002174B6" w:rsidRPr="00405F18">
        <w:rPr>
          <w:rFonts w:ascii="Times New Roman" w:hAnsi="Times New Roman" w:cs="Times New Roman"/>
          <w:sz w:val="24"/>
          <w:szCs w:val="24"/>
          <w:lang w:val="en-US"/>
        </w:rPr>
        <w:t xml:space="preserve">t suggests that additional mechanisms occur </w:t>
      </w:r>
      <w:r w:rsidR="004A2BDA" w:rsidRPr="00405F18">
        <w:rPr>
          <w:rFonts w:ascii="Times New Roman" w:hAnsi="Times New Roman" w:cs="Times New Roman"/>
          <w:sz w:val="24"/>
          <w:szCs w:val="24"/>
          <w:lang w:val="en-US"/>
        </w:rPr>
        <w:t>and</w:t>
      </w:r>
      <w:r w:rsidR="002174B6" w:rsidRPr="00405F18">
        <w:rPr>
          <w:rFonts w:ascii="Times New Roman" w:hAnsi="Times New Roman" w:cs="Times New Roman"/>
          <w:sz w:val="24"/>
          <w:szCs w:val="24"/>
          <w:lang w:val="en-US"/>
        </w:rPr>
        <w:t xml:space="preserve"> alter the permeability of lysosomal membranes in PA-treated cells</w:t>
      </w:r>
      <w:r w:rsidR="004A2BDA" w:rsidRPr="00405F18">
        <w:rPr>
          <w:rFonts w:ascii="Times New Roman" w:hAnsi="Times New Roman" w:cs="Times New Roman"/>
          <w:sz w:val="24"/>
          <w:szCs w:val="24"/>
          <w:lang w:val="en-US"/>
        </w:rPr>
        <w:t xml:space="preserve">. On the other hand, we showed that lysosomes are highly solicited in conditions of </w:t>
      </w:r>
      <w:proofErr w:type="spellStart"/>
      <w:r w:rsidR="004A2BDA" w:rsidRPr="00405F18">
        <w:rPr>
          <w:rFonts w:ascii="Times New Roman" w:hAnsi="Times New Roman" w:cs="Times New Roman"/>
          <w:sz w:val="24"/>
          <w:szCs w:val="24"/>
          <w:lang w:val="en-US"/>
        </w:rPr>
        <w:t>lipotoxicity</w:t>
      </w:r>
      <w:proofErr w:type="spellEnd"/>
      <w:r w:rsidR="004A2BDA" w:rsidRPr="00405F18">
        <w:rPr>
          <w:rFonts w:ascii="Times New Roman" w:hAnsi="Times New Roman" w:cs="Times New Roman"/>
          <w:sz w:val="24"/>
          <w:szCs w:val="24"/>
          <w:lang w:val="en-US"/>
        </w:rPr>
        <w:t xml:space="preserve"> in</w:t>
      </w:r>
      <w:r w:rsidR="00B227C2" w:rsidRPr="00405F18">
        <w:rPr>
          <w:rFonts w:ascii="Times New Roman" w:hAnsi="Times New Roman" w:cs="Times New Roman"/>
          <w:sz w:val="24"/>
          <w:szCs w:val="24"/>
          <w:lang w:val="en-US"/>
        </w:rPr>
        <w:t xml:space="preserve"> PTECs, their alkalinization lead</w:t>
      </w:r>
      <w:r w:rsidR="00B66FFC" w:rsidRPr="00405F18">
        <w:rPr>
          <w:rFonts w:ascii="Times New Roman" w:hAnsi="Times New Roman" w:cs="Times New Roman"/>
          <w:sz w:val="24"/>
          <w:szCs w:val="24"/>
          <w:lang w:val="en-US"/>
        </w:rPr>
        <w:t>s</w:t>
      </w:r>
      <w:r w:rsidR="00B227C2" w:rsidRPr="00405F18">
        <w:rPr>
          <w:rFonts w:ascii="Times New Roman" w:hAnsi="Times New Roman" w:cs="Times New Roman"/>
          <w:sz w:val="24"/>
          <w:szCs w:val="24"/>
          <w:lang w:val="en-US"/>
        </w:rPr>
        <w:t xml:space="preserve"> to accumulation of substrates at higher rates </w:t>
      </w:r>
      <w:r w:rsidR="00B66FFC" w:rsidRPr="00405F18">
        <w:rPr>
          <w:rFonts w:ascii="Times New Roman" w:hAnsi="Times New Roman" w:cs="Times New Roman"/>
          <w:sz w:val="24"/>
          <w:szCs w:val="24"/>
          <w:lang w:val="en-US"/>
        </w:rPr>
        <w:t xml:space="preserve">(notably </w:t>
      </w:r>
      <w:proofErr w:type="spellStart"/>
      <w:r w:rsidR="00B66FFC" w:rsidRPr="00405F18">
        <w:rPr>
          <w:rFonts w:ascii="Times New Roman" w:hAnsi="Times New Roman" w:cs="Times New Roman"/>
          <w:sz w:val="24"/>
          <w:szCs w:val="24"/>
          <w:lang w:val="en-US"/>
        </w:rPr>
        <w:t>Ub</w:t>
      </w:r>
      <w:proofErr w:type="spellEnd"/>
      <w:r w:rsidR="00B66FFC" w:rsidRPr="00405F18">
        <w:rPr>
          <w:rFonts w:ascii="Times New Roman" w:hAnsi="Times New Roman" w:cs="Times New Roman"/>
          <w:sz w:val="24"/>
          <w:szCs w:val="24"/>
          <w:lang w:val="en-US"/>
        </w:rPr>
        <w:t xml:space="preserve"> aggregates) which may induce LMP due to </w:t>
      </w:r>
      <w:r w:rsidR="00B227C2" w:rsidRPr="00405F18">
        <w:rPr>
          <w:rFonts w:ascii="Times New Roman" w:hAnsi="Times New Roman" w:cs="Times New Roman"/>
          <w:sz w:val="24"/>
          <w:szCs w:val="24"/>
          <w:lang w:val="en-US"/>
        </w:rPr>
        <w:t>excessive expansion</w:t>
      </w:r>
      <w:bookmarkEnd w:id="7"/>
      <w:r w:rsidR="00B227C2" w:rsidRPr="00405F18">
        <w:rPr>
          <w:rFonts w:ascii="Times New Roman" w:hAnsi="Times New Roman" w:cs="Times New Roman"/>
          <w:sz w:val="24"/>
          <w:szCs w:val="24"/>
          <w:lang w:val="en-US"/>
        </w:rPr>
        <w:t>.</w:t>
      </w:r>
      <w:r w:rsidR="00B66FFC" w:rsidRPr="00405F18">
        <w:rPr>
          <w:rFonts w:ascii="Times New Roman" w:hAnsi="Times New Roman" w:cs="Times New Roman"/>
          <w:sz w:val="24"/>
          <w:szCs w:val="24"/>
          <w:lang w:val="en-US"/>
        </w:rPr>
        <w:t xml:space="preserve"> Finally, b</w:t>
      </w:r>
      <w:r w:rsidRPr="00405F18">
        <w:rPr>
          <w:rFonts w:ascii="Times New Roman" w:hAnsi="Times New Roman" w:cs="Times New Roman"/>
          <w:sz w:val="24"/>
          <w:szCs w:val="24"/>
          <w:lang w:val="en-US"/>
        </w:rPr>
        <w:t xml:space="preserve">ecause many degradative pathways converge to lysosomes, </w:t>
      </w:r>
      <w:r w:rsidR="00B66FFC" w:rsidRPr="00405F18">
        <w:rPr>
          <w:rFonts w:ascii="Times New Roman" w:hAnsi="Times New Roman" w:cs="Times New Roman"/>
          <w:sz w:val="24"/>
          <w:szCs w:val="24"/>
          <w:lang w:val="en-US"/>
        </w:rPr>
        <w:t>their alkalinization</w:t>
      </w:r>
      <w:r w:rsidRPr="00405F18">
        <w:rPr>
          <w:rFonts w:ascii="Times New Roman" w:hAnsi="Times New Roman" w:cs="Times New Roman"/>
          <w:sz w:val="24"/>
          <w:szCs w:val="24"/>
          <w:lang w:val="en-US"/>
        </w:rPr>
        <w:t xml:space="preserve"> </w:t>
      </w:r>
      <w:proofErr w:type="gramStart"/>
      <w:r w:rsidRPr="00405F18">
        <w:rPr>
          <w:rFonts w:ascii="Times New Roman" w:hAnsi="Times New Roman" w:cs="Times New Roman"/>
          <w:sz w:val="24"/>
          <w:szCs w:val="24"/>
          <w:lang w:val="en-US"/>
        </w:rPr>
        <w:t>exacerbate</w:t>
      </w:r>
      <w:proofErr w:type="gramEnd"/>
      <w:r w:rsidRPr="00405F18">
        <w:rPr>
          <w:rFonts w:ascii="Times New Roman" w:hAnsi="Times New Roman" w:cs="Times New Roman"/>
          <w:sz w:val="24"/>
          <w:szCs w:val="24"/>
          <w:lang w:val="en-US"/>
        </w:rPr>
        <w:t xml:space="preserve"> cell function decline secondary to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It is perfectly illustrated by studies using lysosomal acidifying nanoparticles. Upon lipid challenge, lysosomal delivery of protons restores cathepsin L activity, autophagic flux but also cell homeostasis and function in cultured hepatocytes and β-cells</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{"citationItems":[{"id":"ITEM-1","itemData":{"DOI":"10.1083/jcb.201511042","ISSN":"15408140","PMID":"27377248","abstract":"In pancreatic β-cells, liver hepatocytes, and cardiomyocytes, chronic exposure to high levels of fatty acids (lipotoxicity) inhibits autophagic flux and concomitantly decreases lysosomal acidity. Whether impaired lysosomal acidification is causally inhibiting autophagic flux and cellular functions could not, up to the present, be determined because of the lack of an approach to modify lysosomal acidity. To address this question, lysosome-localizing nanoparticles are described that, upon UV photoactivation, enable controlled acidification of impaired lysosomes. The photoactivatable, acidifying nanoparticles (paNPs) demonstrate lysosomal uptake in INS1 and mouse β-cells. Photoactivation of paNPs in fatty acid- treated INS1 cells enhances lysosomal acidity and function while decreasing p62 and LC3-II levels, indicating rescue of autophagic flux upon acute lysosomal acidification. Furthermore, paNPs improve glucose-stimulated insulin secretion that is reduced under lipotoxicity in INS1 cells and mouse islets. These results establish a causative role for impaired lysosomal acidification in the deregulation of autophagy and β-cell function under lipotoxicity.","author":[{"dropping-particle":"","family":"Trudeau","given":"Kyle M.","non-dropping-particle":"","parse-names":false,"suffix":""},{"dropping-particle":"","family":"Colby","given":"Aaron H.","non-dropping-particle":"","parse-names":false,"suffix":""},{"dropping-particle":"","family":"Zeng","given":"Jialiu","non-dropping-particle":"","parse-names":false,"suffix":""},{"dropping-particle":"","family":"Las","given":"Guy","non-dropping-particle":"","parse-names":false,"suffix":""},{"dropping-particle":"","family":"Feng","given":"Jiazuo H.","non-dropping-particle":"","parse-names":false,"suffix":""},{"dropping-particle":"","family":"Grinstaff","given":"Mark W.","non-dropping-particle":"","parse-names":false,"suffix":""},{"dropping-particle":"","family":"Shirihai","given":"Orian S.","non-dropping-particle":"","parse-names":false,"suffix":""}],"container-title":"Journal of Cell Biology","id":"ITEM-1","issue":"1","issued":{"date-parts":[["2016"]]},"page":"25-34","title":"Lysosome acidification by photoactivated nanoparticles restores autophagy under lipotoxicity","type":"article-journal","volume":"214"},"uris":["http://www.mendeley.com/documents/?uuid=e726864f-0f44-41ba-b87c-93b6cab2cc98"]}],"mendeley":{"formattedCitation":"&lt;sup&gt;60&lt;/sup&gt;","plainTextFormattedCitation":"60","previouslyFormattedCitation":"&lt;sup&gt;60&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60</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One step further, acidifying nanoparticles injected in HFD-fed animals reverse dyslipidemia, </w:t>
      </w:r>
      <w:r w:rsidR="00765801" w:rsidRPr="00405F18">
        <w:rPr>
          <w:rFonts w:ascii="Times New Roman" w:hAnsi="Times New Roman" w:cs="Times New Roman"/>
          <w:sz w:val="24"/>
          <w:szCs w:val="24"/>
          <w:lang w:val="en-US"/>
        </w:rPr>
        <w:t>hyperglycemia</w:t>
      </w:r>
      <w:r w:rsidRPr="00405F18">
        <w:rPr>
          <w:rFonts w:ascii="Times New Roman" w:hAnsi="Times New Roman" w:cs="Times New Roman"/>
          <w:sz w:val="24"/>
          <w:szCs w:val="24"/>
          <w:lang w:val="en-US"/>
        </w:rPr>
        <w:t>, hepatic steatosis and inflammation</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{"citationItems":[{"id":"ITEM-1","itemData":{"DOI":"10.1038/s41467-023-38165-6","ISSN":"20411723","PMID":"37142604","abstract":"Non-alcoholic fatty liver disease (NAFLD) is the most common liver disease in the world. High levels of free fatty acids in the liver impair hepatic lysosomal acidification and reduce autophagic flux. We investigate whether restoration of lysosomal function in NAFLD recovers autophagic flux, mitochondrial function, and insulin sensitivity. Here, we report the synthesis of novel biodegradable acid-activated acidifying nanoparticles (acNPs) as a lysosome targeting treatment to restore lysosomal acidity and autophagy. The acNPs, composed of fluorinated polyesters, remain inactive at plasma pH, and only become activated in lysosomes after endocytosis. Specifically, they degrade at pH of ~6 characteristic of dysfunctional lysosomes, to further acidify and enhance the function of lysosomes. In established in vivo high fat diet mouse models of NAFLD, re-acidification of lysosomes via acNP treatment restores autophagy and mitochondria function to lean, healthy levels. This restoration, concurrent with reversal of fasting hyperglycemia and hepatic steatosis, indicates the potential use of acNPs as a first-in-kind therapeutic for NAFLD.","author":[{"dropping-particle":"","family":"Zeng","given":"Jialiu","non-dropping-particle":"","parse-names":false,"suffix":""},{"dropping-particle":"","family":"Acin-Perez","given":"Rebeca","non-dropping-particle":"","parse-names":false,"suffix":""},{"dropping-particle":"","family":"Assali","given":"Essam A.","non-dropping-particle":"","parse-names":false,"suffix":""},{"dropping-particle":"","family":"Martin","given":"Andrew","non-dropping-particle":"","parse-names":false,"suffix":""},{"dropping-particle":"","family":"Brownstein","given":"Alexandra J.","non-dropping-particle":"","parse-names":false,"suffix":""},{"dropping-particle":"","family":"Petcherski","given":"Anton","non-dropping-particle":"","parse-names":false,"suffix":""},{"dropping-particle":"","family":"Fernández-del-Rio","given":"Lucía","non-dropping-particle":"","parse-names":false,"suffix":""},{"dropping-particle":"","family":"Xiao","given":"Ruiqing","non-dropping-particle":"","parse-names":false,"suffix":""},{"dropping-particle":"","family":"Lo","given":"Chih Hung","non-dropping-particle":"","parse-names":false,"suffix":""},{"dropping-particle":"","family":"Shum","given":"Michaël","non-dropping-particle":"","parse-names":false,"suffix":""},{"dropping-particle":"","family":"Liesa","given":"Marc","non-dropping-particle":"","parse-names":false,"suffix":""},{"dropping-particle":"","family":"Han","given":"Xue","non-dropping-particle":"","parse-names":false,"suffix":""},{"dropping-particle":"","family":"Shirihai","given":"Orian S.","non-dropping-particle":"","parse-names":false,"suffix":""},{"dropping-particle":"","family":"Grinstaff","given":"Mark W.","non-dropping-particle":"","parse-names":false,"suffix":""}],"container-title":"Nature Communications","id":"ITEM-1","issue":"1","issued":{"date-parts":[["2023"]]},"publisher":"Springer US","title":"Restoration of lysosomal acidification rescues autophagy and metabolic dysfunction in non-alcoholic fatty liver disease","type":"article-journal","volume":"14"},"uris":["http://www.mendeley.com/documents/?uuid=7331ae57-19a7-49a9-917e-b772d42faf54"]}],"mendeley":{"formattedCitation":"&lt;sup&gt;61&lt;/sup&gt;","plainTextFormattedCitation":"61","previouslyFormattedCitation":"&lt;sup&gt;61&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61</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In this regard, we pointed out AMPK as another valuable target to protect lysosomes against the deleterious effect of </w:t>
      </w:r>
      <w:bookmarkStart w:id="8" w:name="_Hlk157431680"/>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w:t>
      </w:r>
    </w:p>
    <w:p w14:paraId="6A1443A0" w14:textId="57D19B14" w:rsidR="00F303C0" w:rsidRPr="00405F18" w:rsidRDefault="00F303C0" w:rsidP="002539EF">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AMPK activity </w:t>
      </w:r>
      <w:r w:rsidR="0052587D" w:rsidRPr="00405F18">
        <w:rPr>
          <w:rFonts w:ascii="Times New Roman" w:hAnsi="Times New Roman" w:cs="Times New Roman"/>
          <w:sz w:val="24"/>
          <w:szCs w:val="24"/>
          <w:lang w:val="en-US"/>
        </w:rPr>
        <w:t>ha</w:t>
      </w:r>
      <w:r w:rsidRPr="00405F18">
        <w:rPr>
          <w:rFonts w:ascii="Times New Roman" w:hAnsi="Times New Roman" w:cs="Times New Roman"/>
          <w:sz w:val="24"/>
          <w:szCs w:val="24"/>
          <w:lang w:val="en-US"/>
        </w:rPr>
        <w:t>s</w:t>
      </w:r>
      <w:r w:rsidR="0052587D" w:rsidRPr="00405F18">
        <w:rPr>
          <w:rFonts w:ascii="Times New Roman" w:hAnsi="Times New Roman" w:cs="Times New Roman"/>
          <w:sz w:val="24"/>
          <w:szCs w:val="24"/>
          <w:lang w:val="en-US"/>
        </w:rPr>
        <w:t xml:space="preserve"> been</w:t>
      </w:r>
      <w:r w:rsidRPr="00405F18">
        <w:rPr>
          <w:rFonts w:ascii="Times New Roman" w:hAnsi="Times New Roman" w:cs="Times New Roman"/>
          <w:sz w:val="24"/>
          <w:szCs w:val="24"/>
          <w:lang w:val="en-US"/>
        </w:rPr>
        <w:t xml:space="preserve"> previously shown to be impaired in the kidneys of mice</w:t>
      </w:r>
      <w:r w:rsidR="002539EF">
        <w:rPr>
          <w:rFonts w:ascii="Times New Roman" w:hAnsi="Times New Roman" w:cs="Times New Roman"/>
          <w:sz w:val="24"/>
          <w:szCs w:val="24"/>
          <w:lang w:val="en-US"/>
        </w:rPr>
        <w:t xml:space="preserve"> [</w:t>
      </w:r>
      <w:r w:rsidR="00707E22"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{"citationItems":[{"id":"ITEM-1","itemData":{"DOI":"10.1681/ASN.2011010026","ISSN":"10466673","PMID":"21921143","abstract":"The mechanisms underlying the association between obesity and progressive renal disease are not well understood. Exposure to a high-fat diet decreases levels of the cellular energy sensor AMPK in many organs, including the kidney, but whether AMPK contributes to the pathophysiology of kidney disease induced by a high-fat diet is unknown. In this study, we randomly assigned C57BL/6J mice to a standard or high-fat diet. After 1 week, mice fed a high-fat diet exhibited an increase in body weight, renal hypertrophy, an increase in urine H 2O 2 and urine MCP-1, and a decrease in circulating adiponectin levels and renal AMPK activity. Urine ACR progressively increased after 4 weeks of a high-fat diet. After 12 weeks, kidneys of mice fed a high-fat diet demonstrated a marked increase in markers of fibrosis and inflammation, and AMPK activity remained significantly suppressed. To determine whether inhibition of AMPK activity explained these renal effects, we administered an AMPK activator along with a high-fat diet for 1 week. Although AMPK activation did not abrogate the weight gain, it reduced the renal hypertrophy, urine H 2O 2, and urine and renal MCP-1. In vitro, AMPK activation completely inhibited the induction of MCP-1 by palmitic acid in mesangial cells. In conclusion, these data suggest that the energy sensor AMPK mediates the early renal effects of a high-fat diet. Copyright © 2011 by the American Society of Nephrology.","author":[{"dropping-particle":"","family":"Declèves","given":"Anne Emilie","non-dropping-particle":"","parse-names":false,"suffix":""},{"dropping-particle":"V.","family":"Mathew","given":"Anna","non-dropping-particle":"","parse-names":false,"suffix":""},{"dropping-particle":"","family":"Cunard","given":"Robyn","non-dropping-particle":"","parse-names":false,"suffix":""},{"dropping-particle":"","family":"Sharma","given":"Kumar","non-dropping-particle":"","parse-names":false,"suffix":""}],"container-title":"Journal of the American Society of Nephrology","id":"ITEM-1","issue":"10","issued":{"date-parts":[["2011"]]},"page":"1846-1855","title":"AMPK mediates the initiation of kidney disease induced by a high-fat diet","type":"article-journal","volume":"22"},"uris":["http://www.mendeley.com/documents/?uuid=833cfb7a-0222-459f-8c98-cafc48c006fd"]},{"id":"ITEM-2","itemData":{"DOI":"10.1172/JCI66218","ISSN":"00219738","abstract":"Diabetic microvascular complications have been considered to be mediated by a glucose-driven increase in mitochondrial superoxide anion production. Here, we report that superoxide production was reduced in the kidneys of a steptozotocin-induced mouse model of type 1 diabetes, as assessed by in vivo real-time transcutaneous fluorescence, confocal microscopy, and electron paramagnetic resonance analysis. Reduction of mitochondrial biogenesis and phosphorylation of pyruvate dehydrogenase (PDH) were observed in kidneys from diabetic mice. These observations were consistent with an overall reduction of mitochondrial glucose oxidation. Activity of AMPK, the major energy-sensing enzyme, was reduced in kidneys from both diabetic mice and humans. Mitochondrial biogenesis, PDH activity, and mitochondrial complex activity were rescued by treatment with the AMPK activator 5-aminoimidazole-4-carboxamide-1-β-D- ribofuranoside (AICAR). AICAR treatment induced superoxide production and was linked with glomerular matrix and albuminuria reduction in the diabetic kidney. Furthermore, diabetic heterozygous superoxide dismutase 2 (Sod2+/-) mice had no evidence of increased renal disease, and Ampka2-/- mice had increased albuminuria that was not reduced with AICAR treatment. Reduction of mitochondrial superoxide production with rotenone was sufficient to reduce AMPK phosphorylation in mouse kidneys. Taken together, these results demonstrate that diabetic kidneys have reduced superoxide and mitochondrial biogenesis and activation of AMPK enhances superoxide production and mitochondrial function while reducing disease activity.","author":[{"dropping-particle":"","family":"Dugan","given":"Laura L.","non-dropping-particle":"","parse-names":false,"suffix":""},{"dropping-particle":"","family":"You","given":"Young Hyun","non-dropping-particle":"","parse-names":false,"suffix":""},{"dropping-particle":"","family":"Ali","given":"Sameh S.","non-dropping-particle":"","parse-names":false,"suffix":""},{"dropping-particle":"","family":"Diamond-Stanic","given":"Maggie","non-dropping-particle":"","parse-names":false,"suffix":""},{"dropping-particle":"","family":"Miyamoto","given":"Satoshi","non-dropping-particle":"","parse-names":false,"suffix":""},{"dropping-particle":"","family":"DeCleves","given":"Anne Emilie","non-dropping-particle":"","parse-names":false,"suffix":""},{"dropping-particle":"","family":"Andreyev","given":"Aleksander","non-dropping-particle":"","parse-names":false,"suffix":""},{"dropping-particle":"","family":"Quach","given":"Tammy","non-dropping-particle":"","parse-names":false,"suffix":""},{"dropping-particle":"","family":"Ly","given":"San","non-dropping-particle":"","parse-names":false,"suffix":""},{"dropping-particle":"","family":"Shekhtman","given":"Grigory","non-dropping-particle":"","parse-names":false,"suffix":""},{"dropping-particle":"","family":"Nguyen","given":"William","non-dropping-particle":"","parse-names":false,"suffix":""},{"dropping-particle":"","family":"Chepetan","given":"Andre","non-dropping-particle":"","parse-names":false,"suffix":""},{"dropping-particle":"","family":"Le","given":"Thuy P.","non-dropping-particle":"","parse-names":false,"suffix":""},{"dropping-particle":"","family":"Wang","given":"Lin","non-dropping-particle":"","parse-names":false,"suffix":""},{"dropping-particle":"","family":"Xu","given":"Ming","non-dropping-particle":"","parse-names":false,"suffix":""},{"dropping-particle":"","family":"Paik","given":"Kacie P.","non-dropping-particle":"","parse-names":false,"suffix":""},{"dropping-particle":"","family":"Fogo","given":"Agnes","non-dropping-particle":"","parse-names":false,"suffix":""},{"dropping-particle":"","family":"Viollet","given":"Benoit","non-dropping-particle":"","parse-names":false,"suffix":""},{"dropping-particle":"","family":"Murphy","given":"Anne","non-dropping-particle":"","parse-names":false,"suffix":""},{"dropping-particle":"","family":"Brosius","given":"Frank","non-dropping-particle":"","parse-names":false,"suffix":""},{"dropping-particle":"","family":"Naviaux","given":"Robert K.","non-dropping-particle":"","parse-names":false,"suffix":""},{"dropping-particle":"","family":"Sharma","given":"Kumar","non-dropping-particle":"","parse-names":false,"suffix":""}],"container-title":"Journal of Clinical Investigation","id":"ITEM-2","issue":"11","issued":{"date-parts":[["2013"]]},"page":"4888-4899","title":"AMPK dysregulation promotes diabetes-related reduction of superoxide and mitochondrial function","type":"article-journal","volume":"123"},"uris":["http://www.mendeley.com/documents/?uuid=18188925-f012-4241-92d8-3065fd2b57a0"]}],"mendeley":{"formattedCitation":"&lt;sup&gt;15,16&lt;/sup&gt;","plainTextFormattedCitation":"15,16","previouslyFormattedCitation":"&lt;sup&gt;15,16&lt;/sup&gt;"},"properties":{"noteIndex":0},"schema":"https://github.com/citation-style-language/schema/raw/master/csl-citation.json"}</w:instrText>
      </w:r>
      <w:r w:rsidR="00707E22"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15,16</w:t>
      </w:r>
      <w:r w:rsidR="00707E22"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934E3D" w:rsidRPr="00405F18">
        <w:rPr>
          <w:rFonts w:ascii="Times New Roman" w:hAnsi="Times New Roman" w:cs="Times New Roman"/>
          <w:sz w:val="24"/>
          <w:szCs w:val="24"/>
          <w:lang w:val="en-US"/>
        </w:rPr>
        <w:t>and patients</w:t>
      </w:r>
      <w:r w:rsidR="002539EF">
        <w:rPr>
          <w:rFonts w:ascii="Times New Roman" w:hAnsi="Times New Roman" w:cs="Times New Roman"/>
          <w:sz w:val="24"/>
          <w:szCs w:val="24"/>
          <w:lang w:val="en-US"/>
        </w:rPr>
        <w:t xml:space="preserve"> [</w:t>
      </w:r>
      <w:r w:rsidR="00707E22" w:rsidRPr="002539EF">
        <w:rPr>
          <w:rFonts w:ascii="Times New Roman" w:hAnsi="Times New Roman" w:cs="Times New Roman"/>
          <w:sz w:val="24"/>
          <w:szCs w:val="24"/>
          <w:lang w:val="en-US"/>
        </w:rPr>
        <w:fldChar w:fldCharType="begin" w:fldLock="1"/>
      </w:r>
      <w:r w:rsidR="00707E22" w:rsidRPr="002539EF">
        <w:rPr>
          <w:rFonts w:ascii="Times New Roman" w:hAnsi="Times New Roman" w:cs="Times New Roman"/>
          <w:sz w:val="24"/>
          <w:szCs w:val="24"/>
          <w:lang w:val="en-US"/>
        </w:rPr>
        <w:instrText>ADDIN CSL_CITATION {"citationItems":[{"id":"ITEM-1","itemData":{"DOI":"10.1039/c7mb00167c","ISSN":"17422051","abstract":"Diabetic kidney disease (DKD) is the leading cause of ESRD; however, early intervention can greatly prevent the progression of DKD; thus, sensitive biomarkers for DKD are still required. This study was aimed at the identification of potential biomarkers and revelation of underlying pathways in DKD patients by non-targeted metabolomics. Gas chromatography-mass spectrometry was used to analyze urine obtained from the control and type 2 diabetes mellitus (T2DM) and DKD patients, and the renal histological changes in DKD patients were assessed. The DKD group showed increased level of uric acid, 1,5-anhydroglucitol, hippuric acid, stearic acid, and palmitic acid and reduced level of uracil, glycine, aconitic acid, isocitric acid, 4-hydroxybutyrate, 2-deoxyerythritol, and glycolic acid as compared to the control and T2DM groups. Further analysis indicated that many of the changed metabolites were involved in mitochondrial and fatty acid (FA) metabolism, and combined mitochondrial and FA metabolites showed better diagnosis values for DKD. Histological results confirmed that renal expression of key proteins was reduced in DKD patients with respect to mitochondrial biogenesis (PGC-1α, p-AMPK) and FA oxidation (PPAR-α, CPT-1) as compared to that in the control and T2DM groups. This study highlighted that both mitochondrial and FA metabolism were disturbed in DKD, and thus, they could serve as combined biomarkers for the prediction of DKD.","author":[{"dropping-particle":"","family":"Li","given":"Ling","non-dropping-particle":"","parse-names":false,"suffix":""},{"dropping-particle":"","family":"Wang","given":"Chengshi","non-dropping-particle":"","parse-names":false,"suffix":""},{"dropping-particle":"","family":"Yang","given":"Hongliu","non-dropping-particle":"","parse-names":false,"suffix":""},{"dropping-particle":"","family":"Liu","given":"Shuyun","non-dropping-particle":"","parse-names":false,"suffix":""},{"dropping-particle":"","family":"Lu","given":"Yanrong","non-dropping-particle":"","parse-names":false,"suffix":""},{"dropping-particle":"","family":"Fu","given":"Ping","non-dropping-particle":"","parse-names":false,"suffix":""},{"dropping-particle":"","family":"Liu","given":"Jingping","non-dropping-particle":"","parse-names":false,"suffix":""}],"container-title":"Molecular BioSystems","id":"ITEM-1","issue":"11","issued":{"date-parts":[["2017"]]},"page":"2392-2400","title":"Metabolomics reveal mitochondrial and fatty acid metabolism disorders that contribute to the development of DKD in T2DM patients","type":"article-journal","volume":"13"},"uris":["http://www.mendeley.com/documents/?uuid=0b1a2c0c-be9b-4a06-9d7a-37677f1f3fb1"]}],"mendeley":{"formattedCitation":"&lt;sup&gt;17&lt;/sup&gt;","plainTextFormattedCitation":"17","previouslyFormattedCitation":"&lt;sup&gt;17&lt;/sup&gt;"},"properties":{"noteIndex":0},"schema":"https://github.com/citation-style-language/schema/raw/master/csl-citation.json"}</w:instrText>
      </w:r>
      <w:r w:rsidR="00707E22" w:rsidRPr="002539EF">
        <w:rPr>
          <w:rFonts w:ascii="Times New Roman" w:hAnsi="Times New Roman" w:cs="Times New Roman"/>
          <w:sz w:val="24"/>
          <w:szCs w:val="24"/>
          <w:lang w:val="en-US"/>
        </w:rPr>
        <w:fldChar w:fldCharType="separate"/>
      </w:r>
      <w:r w:rsidR="00707E22" w:rsidRPr="002539EF">
        <w:rPr>
          <w:rFonts w:ascii="Times New Roman" w:hAnsi="Times New Roman" w:cs="Times New Roman"/>
          <w:noProof/>
          <w:sz w:val="24"/>
          <w:szCs w:val="24"/>
          <w:lang w:val="en-US"/>
        </w:rPr>
        <w:t>17</w:t>
      </w:r>
      <w:r w:rsidR="00707E22"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934E3D" w:rsidRPr="00405F18">
        <w:rPr>
          <w:rFonts w:ascii="Times New Roman" w:hAnsi="Times New Roman" w:cs="Times New Roman"/>
          <w:sz w:val="24"/>
          <w:szCs w:val="24"/>
          <w:lang w:val="en-US"/>
        </w:rPr>
        <w:t xml:space="preserve"> </w:t>
      </w:r>
      <w:r w:rsidR="00707E22" w:rsidRPr="00405F18">
        <w:rPr>
          <w:rFonts w:ascii="Times New Roman" w:hAnsi="Times New Roman" w:cs="Times New Roman"/>
          <w:sz w:val="24"/>
          <w:szCs w:val="24"/>
          <w:lang w:val="en-US"/>
        </w:rPr>
        <w:t>with</w:t>
      </w:r>
      <w:r w:rsidR="00D1246E" w:rsidRPr="00405F18">
        <w:rPr>
          <w:rFonts w:ascii="Times New Roman" w:hAnsi="Times New Roman" w:cs="Times New Roman"/>
          <w:sz w:val="24"/>
          <w:szCs w:val="24"/>
          <w:lang w:val="en-US"/>
        </w:rPr>
        <w:t xml:space="preserve"> metabolic </w:t>
      </w:r>
      <w:r w:rsidRPr="00405F18">
        <w:rPr>
          <w:rFonts w:ascii="Times New Roman" w:hAnsi="Times New Roman" w:cs="Times New Roman"/>
          <w:sz w:val="24"/>
          <w:szCs w:val="24"/>
          <w:lang w:val="en-US"/>
        </w:rPr>
        <w:t>CKD. The present study demonstrate</w:t>
      </w:r>
      <w:r w:rsidR="0052587D"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xml:space="preserve"> the direct effect of </w:t>
      </w:r>
      <w:bookmarkEnd w:id="8"/>
      <w:r w:rsidRPr="00405F18">
        <w:rPr>
          <w:rFonts w:ascii="Times New Roman" w:hAnsi="Times New Roman" w:cs="Times New Roman"/>
          <w:sz w:val="24"/>
          <w:szCs w:val="24"/>
          <w:lang w:val="en-US"/>
        </w:rPr>
        <w:t>PA on the diminution of AMPK activity in PTEC</w:t>
      </w:r>
      <w:r w:rsidR="003B7DEE"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likely as part </w:t>
      </w:r>
      <w:r w:rsidR="000F3D33" w:rsidRPr="00405F18">
        <w:rPr>
          <w:rFonts w:ascii="Times New Roman" w:hAnsi="Times New Roman" w:cs="Times New Roman"/>
          <w:sz w:val="24"/>
          <w:szCs w:val="24"/>
          <w:lang w:val="en-US"/>
        </w:rPr>
        <w:t xml:space="preserve">of </w:t>
      </w:r>
      <w:r w:rsidRPr="00405F18">
        <w:rPr>
          <w:rFonts w:ascii="Times New Roman" w:hAnsi="Times New Roman" w:cs="Times New Roman"/>
          <w:sz w:val="24"/>
          <w:szCs w:val="24"/>
          <w:lang w:val="en-US"/>
        </w:rPr>
        <w:t>a nutrient stress</w:t>
      </w:r>
      <w:r w:rsidR="00EF44B4" w:rsidRPr="00405F18">
        <w:rPr>
          <w:rFonts w:ascii="Times New Roman" w:hAnsi="Times New Roman" w:cs="Times New Roman"/>
          <w:sz w:val="24"/>
          <w:szCs w:val="24"/>
          <w:lang w:val="en-US"/>
        </w:rPr>
        <w:t xml:space="preserve"> response</w:t>
      </w:r>
      <w:r w:rsidRPr="00405F18">
        <w:rPr>
          <w:rFonts w:ascii="Times New Roman" w:hAnsi="Times New Roman" w:cs="Times New Roman"/>
          <w:sz w:val="24"/>
          <w:szCs w:val="24"/>
          <w:lang w:val="en-US"/>
        </w:rPr>
        <w:t>. Indeed, PA uptake is associated with higher β-oxidation rates, reduced AMP:ATP and higher NADH production</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Pr="002539EF">
        <w:rPr>
          <w:rFonts w:ascii="Times New Roman" w:hAnsi="Times New Roman" w:cs="Times New Roman"/>
          <w:sz w:val="24"/>
          <w:szCs w:val="24"/>
          <w:lang w:val="en-US"/>
        </w:rPr>
        <w:instrText>ADDIN CSL_CITATION {"citationItems":[{"id":"ITEM-1","itemData":{"DOI":"10.1038/nrneph.2017.107","ISSN":"1759-5061","abstract":"The kidney requires a large number of mitochondria to remove waste from the blood and regulate fluid and electrolyte balance. Mitochondria provide the energy to drive these important functions and can adapt to different metabolic conditions through a number of signalling pathways (for example, mechanistic target of rapamycin (mTOR) and AMP-activated protein kinase (AMPK) pathways) that activate the transcriptional co-activator peroxisome proliferator-activated receptor-γ co-activator 1α (PGC1α), and by balancing mitochondrial dynamics and energetics to maintain mitochondrial homeostasis. Mitochondrial dysfunction leads to a decrease in ATP production, alterations in cellular functions and structure, and the loss of renal function. Persistent mitochondrial dysfunction has a role in the early stages and progression of renal diseases, such as acute kidney injury (AKI) and diabetic nephropathy, as it disrupts mitochondrial homeostasis and thus normal kidney function. Improving mitochondrial homeostasis and function has the potential to restore renal function, and administering compounds that stimulate mitochondrial biogenesis can restore mitochondrial and renal function in mouse models of AKI and diabetes mellitus. Furthermore, inhibiting the fission protein dynamin 1-like protein (DRP1) might ameliorate ischaemic renal injury by blocking mitochondrial fission.","author":[{"dropping-particle":"","family":"Bhargava","given":"Pallavi","non-dropping-particle":"","parse-names":false,"suffix":""},{"dropping-particle":"","family":"Schnellmann","given":"Rick G.","non-dropping-particle":"","parse-names":false,"suffix":""}],"container-title":"Nature Reviews Nephrology","id":"ITEM-1","issue":"10","issued":{"date-parts":[["2017","10","14"]]},"page":"629-646","publisher":"Nature Publishing Group","title":"Mitochondrial energetics in the kidney","type":"article-journal","volume":"13"},"uris":["http://www.mendeley.com/documents/?uuid=59383f10-05a6-4e9e-9ccc-2741bee883c8"]}],"mendeley":{"formattedCitation":"&lt;sup&gt;1&lt;/sup&gt;","plainTextFormattedCitation":"1","previouslyFormattedCitation":"&lt;sup&gt;1&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Pr="002539EF">
        <w:rPr>
          <w:rFonts w:ascii="Times New Roman" w:hAnsi="Times New Roman" w:cs="Times New Roman"/>
          <w:noProof/>
          <w:sz w:val="24"/>
          <w:szCs w:val="24"/>
          <w:lang w:val="en-US"/>
        </w:rPr>
        <w:t>1</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Emerging evidence also describe</w:t>
      </w:r>
      <w:r w:rsidR="003F0551">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a role for lysosomes in the regulation </w:t>
      </w:r>
      <w:r w:rsidRPr="00405F18">
        <w:rPr>
          <w:rFonts w:ascii="Times New Roman" w:hAnsi="Times New Roman" w:cs="Times New Roman"/>
          <w:sz w:val="24"/>
          <w:szCs w:val="24"/>
          <w:lang w:val="en-US"/>
        </w:rPr>
        <w:lastRenderedPageBreak/>
        <w:t xml:space="preserve">of energy-sensor pathways. Starvation is sensed by the lysosomal </w:t>
      </w:r>
      <w:r w:rsidR="00C732B8">
        <w:rPr>
          <w:rFonts w:ascii="Times New Roman" w:hAnsi="Times New Roman" w:cs="Times New Roman"/>
          <w:sz w:val="24"/>
          <w:szCs w:val="24"/>
          <w:lang w:val="en-US"/>
        </w:rPr>
        <w:t>V</w:t>
      </w:r>
      <w:r w:rsidRPr="00405F18">
        <w:rPr>
          <w:rFonts w:ascii="Times New Roman" w:hAnsi="Times New Roman" w:cs="Times New Roman"/>
          <w:sz w:val="24"/>
          <w:szCs w:val="24"/>
          <w:lang w:val="en-US"/>
        </w:rPr>
        <w:t>-ATPase-</w:t>
      </w:r>
      <w:proofErr w:type="spellStart"/>
      <w:r w:rsidRPr="00405F18">
        <w:rPr>
          <w:rFonts w:ascii="Times New Roman" w:hAnsi="Times New Roman" w:cs="Times New Roman"/>
          <w:sz w:val="24"/>
          <w:szCs w:val="24"/>
          <w:lang w:val="en-US"/>
        </w:rPr>
        <w:t>Ragulator</w:t>
      </w:r>
      <w:proofErr w:type="spellEnd"/>
      <w:r w:rsidRPr="00405F18">
        <w:rPr>
          <w:rFonts w:ascii="Times New Roman" w:hAnsi="Times New Roman" w:cs="Times New Roman"/>
          <w:sz w:val="24"/>
          <w:szCs w:val="24"/>
          <w:lang w:val="en-US"/>
        </w:rPr>
        <w:t xml:space="preserve"> complex which facilitate</w:t>
      </w:r>
      <w:r w:rsidR="003F0551">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AMP-dependent </w:t>
      </w:r>
      <w:r w:rsidR="003F0551">
        <w:rPr>
          <w:rFonts w:ascii="Times New Roman" w:hAnsi="Times New Roman" w:cs="Times New Roman"/>
          <w:sz w:val="24"/>
          <w:szCs w:val="24"/>
          <w:lang w:val="en-US"/>
        </w:rPr>
        <w:t>STK11/</w:t>
      </w:r>
      <w:r w:rsidRPr="00405F18">
        <w:rPr>
          <w:rFonts w:ascii="Times New Roman" w:hAnsi="Times New Roman" w:cs="Times New Roman"/>
          <w:sz w:val="24"/>
          <w:szCs w:val="24"/>
          <w:lang w:val="en-US"/>
        </w:rPr>
        <w:t>LKB1-mediated AMPK activation</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BC4F67" w:rsidRPr="002539EF">
        <w:rPr>
          <w:rFonts w:ascii="Times New Roman" w:hAnsi="Times New Roman" w:cs="Times New Roman"/>
          <w:sz w:val="24"/>
          <w:szCs w:val="24"/>
          <w:lang w:val="en-US"/>
        </w:rPr>
        <w:instrText>ADDIN CSL_CITATION {"citationItems":[{"id":"ITEM-1","itemData":{"DOI":"10.1016/j.cmet.2014.06.014","ISSN":"19327420","PMID":"25002183","abstract":"AMPK and mTOR play principal roles in governing metabolic programs; however, mechanisms underlying the coordination of the two inversely regulated kinases remain unclear. In this study we found, most surprisingly, that the late endosomal/lysosomal protein complex v-ATPase-Ragulator, essential for activation of mTORC1, is also required for AMPK activation. We also uncovered that AMPK is a residential protein of late endosome/lysosome. Under glucose starvation, the v-ATPase-Ragulator complex is accessible to AXIN/LKB1 for AMPK activation. Concurrently, the guanine nucleotide exchange factor (GEF) activity of Ragulator toward RAG is inhibited by AXIN, causing dissociation from endosome and inactivation of mTORC1. We have thus revealed that the v-ATPase-Ragulator complex is also an initiating sensor for energy stress and meanwhile serves as an endosomal docking site for LKB1-mediated AMPK activation by forming the v-ATPase-Ragulator-AXIN/LKB1-AMPK complex, thereby providing a switch between catabolism and anabolism. Our current study also emphasizes a general role of late endosome/lysosome in controlling metabolic programs. © 2014 Elsevier Inc.","author":[{"dropping-particle":"","family":"Zhang","given":"Chen Song","non-dropping-particle":"","parse-names":false,"suffix":""},{"dropping-particle":"","family":"Jiang","given":"Bin","non-dropping-particle":"","parse-names":false,"suffix":""},{"dropping-particle":"","family":"Li","given":"Mengqi","non-dropping-particle":"","parse-names":false,"suffix":""},{"dropping-particle":"","family":"Zhu","given":"Mingjiang","non-dropping-particle":"","parse-names":false,"suffix":""},{"dropping-particle":"","family":"Peng","given":"Yongying","non-dropping-particle":"","parse-names":false,"suffix":""},{"dropping-particle":"","family":"Zhang","given":"Ya Lin","non-dropping-particle":"","parse-names":false,"suffix":""},{"dropping-particle":"","family":"Wu","given":"Yu Qing","non-dropping-particle":"","parse-names":false,"suffix":""},{"dropping-particle":"","family":"Li","given":"Terytty Yang","non-dropping-particle":"","parse-names":false,"suffix":""},{"dropping-particle":"","family":"Liang","given":"Yu","non-dropping-particle":"","parse-names":false,"suffix":""},{"dropping-particle":"","family":"Lu","given":"Zailian","non-dropping-particle":"","parse-names":false,"suffix":""},{"dropping-particle":"","family":"Lian","given":"Guili","non-dropping-particle":"","parse-names":false,"suffix":""},{"dropping-particle":"","family":"Liu","given":"Qing","non-dropping-particle":"","parse-names":false,"suffix":""},{"dropping-particle":"","family":"Guo","given":"Huiling","non-dropping-particle":"","parse-names":false,"suffix":""},{"dropping-particle":"","family":"Yin","given":"Zhenyu","non-dropping-particle":"","parse-names":false,"suffix":""},{"dropping-particle":"","family":"Ye","given":"Zhiyun","non-dropping-particle":"","parse-names":false,"suffix":""},{"dropping-particle":"","family":"Han","given":"Jiahuai","non-dropping-particle":"","parse-names":false,"suffix":""},{"dropping-particle":"","family":"Wu","given":"Jia Wei","non-dropping-particle":"","parse-names":false,"suffix":""},{"dropping-particle":"","family":"Yin","given":"Huiyong","non-dropping-particle":"","parse-names":false,"suffix":""},{"dropping-particle":"","family":"Lin","given":"Shu Yong","non-dropping-particle":"","parse-names":false,"suffix":""},{"dropping-particle":"","family":"Lin","given":"Sheng Cai","non-dropping-particle":"","parse-names":false,"suffix":""}],"container-title":"Cell Metabolism","id":"ITEM-1","issue":"3","issued":{"date-parts":[["2014"]]},"page":"526-540","publisher":"Elsevier Inc.","title":"The lysosomal v-ATPase-ragulator complex is a common activator for AMPK and mTORC1, acting as a switch between catabolism and anabolism","type":"article-journal","volume":"20"},"uris":["http://www.mendeley.com/documents/?uuid=e82b047a-45fe-4674-8b34-22ad80de9b79"]}],"mendeley":{"formattedCitation":"&lt;sup&gt;27&lt;/sup&gt;","plainTextFormattedCitation":"27","previouslyFormattedCitation":"&lt;sup&gt;27&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D27D77" w:rsidRPr="002539EF">
        <w:rPr>
          <w:rFonts w:ascii="Times New Roman" w:hAnsi="Times New Roman" w:cs="Times New Roman"/>
          <w:noProof/>
          <w:sz w:val="24"/>
          <w:szCs w:val="24"/>
          <w:lang w:val="en-US"/>
        </w:rPr>
        <w:t>27</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In conditions of high energy, </w:t>
      </w:r>
      <w:r w:rsidR="00E11F6C">
        <w:rPr>
          <w:rFonts w:ascii="Times New Roman" w:hAnsi="Times New Roman" w:cs="Times New Roman"/>
          <w:sz w:val="24"/>
          <w:szCs w:val="24"/>
          <w:lang w:val="en-US"/>
        </w:rPr>
        <w:t>STK11</w:t>
      </w:r>
      <w:r w:rsidRPr="00405F18">
        <w:rPr>
          <w:rFonts w:ascii="Times New Roman" w:hAnsi="Times New Roman" w:cs="Times New Roman"/>
          <w:sz w:val="24"/>
          <w:szCs w:val="24"/>
          <w:lang w:val="en-US"/>
        </w:rPr>
        <w:t xml:space="preserve"> is sequestered by AXIN in the cytosol preventing AMPK activation while the </w:t>
      </w:r>
      <w:r w:rsidR="00C732B8">
        <w:rPr>
          <w:rFonts w:ascii="Times New Roman" w:hAnsi="Times New Roman" w:cs="Times New Roman"/>
          <w:sz w:val="24"/>
          <w:szCs w:val="24"/>
          <w:lang w:val="en-US"/>
        </w:rPr>
        <w:t>V</w:t>
      </w:r>
      <w:r w:rsidRPr="00405F18">
        <w:rPr>
          <w:rFonts w:ascii="Times New Roman" w:hAnsi="Times New Roman" w:cs="Times New Roman"/>
          <w:sz w:val="24"/>
          <w:szCs w:val="24"/>
          <w:lang w:val="en-US"/>
        </w:rPr>
        <w:t>-ATPase-</w:t>
      </w:r>
      <w:proofErr w:type="spellStart"/>
      <w:r w:rsidRPr="00405F18">
        <w:rPr>
          <w:rFonts w:ascii="Times New Roman" w:hAnsi="Times New Roman" w:cs="Times New Roman"/>
          <w:sz w:val="24"/>
          <w:szCs w:val="24"/>
          <w:lang w:val="en-US"/>
        </w:rPr>
        <w:t>Ragulator</w:t>
      </w:r>
      <w:proofErr w:type="spellEnd"/>
      <w:r w:rsidRPr="00405F18">
        <w:rPr>
          <w:rFonts w:ascii="Times New Roman" w:hAnsi="Times New Roman" w:cs="Times New Roman"/>
          <w:sz w:val="24"/>
          <w:szCs w:val="24"/>
          <w:lang w:val="en-US"/>
        </w:rPr>
        <w:t xml:space="preserve"> complex activates </w:t>
      </w:r>
      <w:r w:rsidR="00344A78">
        <w:rPr>
          <w:rFonts w:ascii="Times New Roman" w:hAnsi="Times New Roman" w:cs="Times New Roman"/>
          <w:sz w:val="24"/>
          <w:szCs w:val="24"/>
          <w:lang w:val="en-US"/>
        </w:rPr>
        <w:t>M</w:t>
      </w:r>
      <w:r w:rsidRPr="00405F18">
        <w:rPr>
          <w:rFonts w:ascii="Times New Roman" w:hAnsi="Times New Roman" w:cs="Times New Roman"/>
          <w:sz w:val="24"/>
          <w:szCs w:val="24"/>
          <w:lang w:val="en-US"/>
        </w:rPr>
        <w:t xml:space="preserve">TORC1. This </w:t>
      </w:r>
      <w:r w:rsidR="009D70D8" w:rsidRPr="00405F18">
        <w:rPr>
          <w:rFonts w:ascii="Times New Roman" w:hAnsi="Times New Roman" w:cs="Times New Roman"/>
          <w:sz w:val="24"/>
          <w:szCs w:val="24"/>
          <w:lang w:val="en-US"/>
        </w:rPr>
        <w:t>signaling</w:t>
      </w:r>
      <w:r w:rsidRPr="00405F18">
        <w:rPr>
          <w:rFonts w:ascii="Times New Roman" w:hAnsi="Times New Roman" w:cs="Times New Roman"/>
          <w:sz w:val="24"/>
          <w:szCs w:val="24"/>
          <w:lang w:val="en-US"/>
        </w:rPr>
        <w:t xml:space="preserve"> pathway relies on precise regulation</w:t>
      </w:r>
      <w:r w:rsidR="009D70D8"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and we m</w:t>
      </w:r>
      <w:r w:rsidR="00B43D93" w:rsidRPr="00405F18">
        <w:rPr>
          <w:rFonts w:ascii="Times New Roman" w:hAnsi="Times New Roman" w:cs="Times New Roman"/>
          <w:sz w:val="24"/>
          <w:szCs w:val="24"/>
          <w:lang w:val="en-US"/>
        </w:rPr>
        <w:t>ight</w:t>
      </w:r>
      <w:r w:rsidRPr="00405F18">
        <w:rPr>
          <w:rFonts w:ascii="Times New Roman" w:hAnsi="Times New Roman" w:cs="Times New Roman"/>
          <w:sz w:val="24"/>
          <w:szCs w:val="24"/>
          <w:lang w:val="en-US"/>
        </w:rPr>
        <w:t xml:space="preserve"> extrapolate that the loss of acidification observed secondary to PA in PTEC</w:t>
      </w:r>
      <w:r w:rsidR="003B7DEE"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contributes to AMPK and </w:t>
      </w:r>
      <w:r w:rsidR="00344A78">
        <w:rPr>
          <w:rFonts w:ascii="Times New Roman" w:hAnsi="Times New Roman" w:cs="Times New Roman"/>
          <w:sz w:val="24"/>
          <w:szCs w:val="24"/>
          <w:lang w:val="en-US"/>
        </w:rPr>
        <w:t>M</w:t>
      </w:r>
      <w:r w:rsidRPr="00405F18">
        <w:rPr>
          <w:rFonts w:ascii="Times New Roman" w:hAnsi="Times New Roman" w:cs="Times New Roman"/>
          <w:sz w:val="24"/>
          <w:szCs w:val="24"/>
          <w:lang w:val="en-US"/>
        </w:rPr>
        <w:t xml:space="preserve">TORC1 activity changes. It is reinforced by evidence showing </w:t>
      </w:r>
      <w:r w:rsidR="00344A78">
        <w:rPr>
          <w:rFonts w:ascii="Times New Roman" w:hAnsi="Times New Roman" w:cs="Times New Roman"/>
          <w:sz w:val="24"/>
          <w:szCs w:val="24"/>
          <w:lang w:val="en-US"/>
        </w:rPr>
        <w:t>M</w:t>
      </w:r>
      <w:r w:rsidRPr="00405F18">
        <w:rPr>
          <w:rFonts w:ascii="Times New Roman" w:hAnsi="Times New Roman" w:cs="Times New Roman"/>
          <w:sz w:val="24"/>
          <w:szCs w:val="24"/>
          <w:lang w:val="en-US"/>
        </w:rPr>
        <w:t>TORC1 sequestration to lysosomes and hyperactivation in various lysosomal dysfunction and lysosomal storage disorders (LSD</w:t>
      </w:r>
      <w:r w:rsidR="00E11F6C">
        <w:rPr>
          <w:rFonts w:ascii="Times New Roman" w:hAnsi="Times New Roman" w:cs="Times New Roman"/>
          <w:sz w:val="24"/>
          <w:szCs w:val="24"/>
          <w:lang w:val="en-US"/>
        </w:rPr>
        <w:t>s</w:t>
      </w:r>
      <w:r w:rsidRPr="00405F18">
        <w:rPr>
          <w:rFonts w:ascii="Times New Roman" w:hAnsi="Times New Roman" w:cs="Times New Roman"/>
          <w:sz w:val="24"/>
          <w:szCs w:val="24"/>
          <w:lang w:val="en-US"/>
        </w:rPr>
        <w:t>)</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{"citationItems":[{"id":"ITEM-1","itemData":{"DOI":"10.1016/j.devcel.2020.11.016","ISSN":"18781551","PMID":"33308480","abstract":"Niemann-Pick type C is a devastating neurodegenerative disease caused by cholesterol buildup in lysosomes. Through organelle proteomics, Davis et al. identify degradative and structural defects of NPC lysosomes. Aberrant mTORC1 signaling drives lysosomal dysfunction downstream of cholesterol accumulation, and chemical and genetic mTORC1 inhibition restores organelle homeostasis in NPC cells.","author":[{"dropping-particle":"","family":"Davis","given":"Oliver B.","non-dropping-particle":"","parse-names":false,"suffix":""},{"dropping-particle":"","family":"Shin","given":"Hijai R.","non-dropping-particle":"","parse-names":false,"suffix":""},{"dropping-particle":"","family":"Lim","given":"Chun Yan","non-dropping-particle":"","parse-names":false,"suffix":""},{"dropping-particle":"","family":"Wu","given":"Emma Y.","non-dropping-particle":"","parse-names":false,"suffix":""},{"dropping-particle":"","family":"Kukurugya","given":"Matthew","non-dropping-particle":"","parse-names":false,"suffix":""},{"dropping-particle":"","family":"Maher","given":"Claire F.","non-dropping-particle":"","parse-names":false,"suffix":""},{"dropping-particle":"","family":"Perera","given":"Rushika M.","non-dropping-particle":"","parse-names":false,"suffix":""},{"dropping-particle":"","family":"Ordonez","given":"M. Paulina","non-dropping-particle":"","parse-names":false,"suffix":""},{"dropping-particle":"","family":"Zoncu","given":"Roberto","non-dropping-particle":"","parse-names":false,"suffix":""}],"container-title":"Developmental Cell","id":"ITEM-1","issue":"3","issued":{"date-parts":[["2021"]]},"page":"260-276.e7","publisher":"Elsevier Inc.","title":"NPC1-mTORC1 Signaling Couples Cholesterol Sensing to Organelle Homeostasis and Is a Targetable Pathway in Niemann-Pick Type C","type":"article-journal","volume":"56"},"uris":["http://www.mendeley.com/documents/?uuid=4405fbed-e04d-42a2-81fa-c5ef87d20b10"]},{"id":"ITEM-2","itemData":{"DOI":"10.1172/JCI94130","ISSN":"15588238","PMID":"28872463","abstract":"The mammalian target of rapamycin complex 1 (mTORC1) kinase promotes cell growth by activating biosynthetic pathways and suppressing catabolic pathways, particularly that of macroautophagy. A prerequisite for mTORC1 activation is its translocation to the lysosomal surface. Deregulation of mTORC1 has been associated with the pathogenesis of several diseases, but its role in skeletal disorders is largely unknown. Here, we show that enhanced mTORC1 signaling arrests bone growth in lysosomal storage disorders (LSDs). We found that lysosomal dysfunction induces a constitutive lysosomal association and consequent activation of mTORC1 in chondrocytes, the cells devoted to bone elongation. mTORC1 hyperphosphorylates the protein UV radiation resistance-associated gene (UVRAG), reducing the activity of the associated Beclin 1-Vps34 complex and thereby inhibiting phosphoinositide production. Limiting phosphoinositide production leads to a blockage of the autophagy flux in LSD chondrocytes. As a consequence, LSD chondrocytes fail to properly secrete collagens, the main components of the cartilage extracellular matrix. In mouse models of LSD, normalization of mTORC1 signaling or stimulation of the Beclin 1-Vps34-UVRAG complex rescued the autophagy flux, restored collagen levels in cartilage, and ameliorated the bone phenotype. Taken together, these data unveil a role for mTORC1 and autophagy in the pathogenesis of skeletal disorders and suggest potential therapeutic approaches for the treatment of LSDs.","author":[{"dropping-particle":"","family":"Bartolomeo","given":"Rosa","non-dropping-particle":"","parse-names":false,"suffix":""},{"dropping-particle":"","family":"Cinque","given":"Laura","non-dropping-particle":"","parse-names":false,"suffix":""},{"dropping-particle":"","family":"Leonibus","given":"Chiara","non-dropping-particle":"De","parse-names":false,"suffix":""},{"dropping-particle":"","family":"Forrester","given":"Alison","non-dropping-particle":"","parse-names":false,"suffix":""},{"dropping-particle":"","family":"Salzano","given":"Anna Chiara","non-dropping-particle":"","parse-names":false,"suffix":""},{"dropping-particle":"","family":"Monfregola","given":"Jlenia","non-dropping-particle":"","parse-names":false,"suffix":""},{"dropping-particle":"","family":"Gennaro","given":"Emanuela","non-dropping-particle":"De","parse-names":false,"suffix":""},{"dropping-particle":"","family":"Nusco","given":"Edoardo","non-dropping-particle":"","parse-names":false,"suffix":""},{"dropping-particle":"","family":"Azario","given":"Isabella","non-dropping-particle":"","parse-names":false,"suffix":""},{"dropping-particle":"","family":"Lanzara","given":"Carmela","non-dropping-particle":"","parse-names":false,"suffix":""},{"dropping-particle":"","family":"Serafini","given":"Marta","non-dropping-particle":"","parse-names":false,"suffix":""},{"dropping-particle":"","family":"Levine","given":"Beth","non-dropping-particle":"","parse-names":false,"suffix":""},{"dropping-particle":"","family":"Ballabio","given":"Andrea","non-dropping-particle":"","parse-names":false,"suffix":""},{"dropping-particle":"","family":"Settembre","given":"Carmine","non-dropping-particle":"","parse-names":false,"suffix":""}],"container-title":"Journal of Clinical Investigation","id":"ITEM-2","issue":"10","issued":{"date-parts":[["2017"]]},"page":"3717-3729","title":"MTORC1 hyperactivation arrests bone growth in lysosomal storage disorders by suppressing autophagy","type":"article-journal","volume":"127"},"uris":["http://www.mendeley.com/documents/?uuid=b9cd5904-5378-46d7-8929-8a33c434b1f7"]},{"id":"ITEM-3","itemData":{"DOI":"10.1038/s41467-023-39261-3","ISSN":"20411723","PMID":"37452023","abstract":"Differentiation is critical for cell fate decisions, but the signals involved remain unclear. The kidney proximal tubule (PT) cells reabsorb disulphide-rich proteins through endocytosis, generating cystine via lysosomal proteolysis. Here we report that defective cystine mobilization from lysosomes through cystinosin (CTNS), which is mutated in cystinosis, diverts PT cells towards growth and proliferation, disrupting their functions. Mechanistically, cystine storage stimulates Ragulator-Rag GTPase-dependent recruitment of mechanistic target of rapamycin complex 1 (mTORC1) and its constitutive activation. Re-introduction of CTNS restores nutrient-dependent regulation of mTORC1 in knockout cells, whereas cell-permeant analogues of L-cystine, accumulating within lysosomes, render wild-type cells resistant to nutrient withdrawal. Therapeutic mTORC1 inhibition corrects lysosome and differentiation downstream of cystine storage, and phenotypes in preclinical models of cystinosis. Thus, cystine serves as a lysosomal signal that tailors mTORC1 and metabolism to direct epithelial cell fate decisions. These results identify mechanisms and therapeutic targets for dysregulated homeostasis in cystinosis.","author":[{"dropping-particle":"","family":"Berquez","given":"Marine","non-dropping-particle":"","parse-names":false,"suffix":""},{"dropping-particle":"","family":"Chen","given":"Zhiyong","non-dropping-particle":"","parse-names":false,"suffix":""},{"dropping-particle":"","family":"Festa","given":"Beatrice Paola","non-dropping-particle":"","parse-names":false,"suffix":""},{"dropping-particle":"","family":"Krohn","given":"Patrick","non-dropping-particle":"","parse-names":false,"suffix":""},{"dropping-particle":"","family":"Keller","given":"Svenja Aline","non-dropping-particle":"","parse-names":false,"suffix":""},{"dropping-particle":"","family":"Parolo","given":"Silvia","non-dropping-particle":"","parse-names":false,"suffix":""},{"dropping-particle":"","family":"Korzinkin","given":"Mikhail","non-dropping-particle":"","parse-names":false,"suffix":""},{"dropping-particle":"","family":"Gaponova","given":"Anna","non-dropping-particle":"","parse-names":false,"suffix":""},{"dropping-particle":"","family":"Laczko","given":"Endre","non-dropping-particle":"","parse-names":false,"suffix":""},{"dropping-particle":"","family":"Domenici","given":"Enrico","non-dropping-particle":"","parse-names":false,"suffix":""},{"dropping-particle":"","family":"Devuyst","given":"Olivier","non-dropping-particle":"","parse-names":false,"suffix":""},{"dropping-particle":"","family":"Luciani","given":"Alessandro","non-dropping-particle":"","parse-names":false,"suffix":""}],"container-title":"Nature Communications","id":"ITEM-3","issue":"1","issued":{"date-parts":[["2023"]]},"publisher":"Springer US","title":"Lysosomal cystine export regulates mTORC1 signaling to guide kidney epithelial cell fate specialization","type":"article-journal","volume":"14"},"uris":["http://www.mendeley.com/documents/?uuid=99599317-f7ea-468e-9afb-7dcae72590a1"]}],"mendeley":{"formattedCitation":"&lt;sup&gt;62–64&lt;/sup&gt;","plainTextFormattedCitation":"62–64","previouslyFormattedCitation":"&lt;sup&gt;62–64&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62–64</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p>
    <w:p w14:paraId="4C93AC06" w14:textId="50FCE665" w:rsidR="00A62E52" w:rsidRPr="00405F18" w:rsidRDefault="00F303C0" w:rsidP="002539EF">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AMPK activation, either by AICAR or A769662, protect</w:t>
      </w:r>
      <w:r w:rsidR="00241AD8"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PTEC</w:t>
      </w:r>
      <w:r w:rsidR="003B7DEE"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against the </w:t>
      </w:r>
      <w:r w:rsidR="00BC24CC" w:rsidRPr="00405F18">
        <w:rPr>
          <w:rFonts w:ascii="Times New Roman" w:hAnsi="Times New Roman" w:cs="Times New Roman"/>
          <w:sz w:val="24"/>
          <w:szCs w:val="24"/>
          <w:lang w:val="en-US"/>
        </w:rPr>
        <w:t>defective</w:t>
      </w:r>
      <w:r w:rsidRPr="00405F18">
        <w:rPr>
          <w:rFonts w:ascii="Times New Roman" w:hAnsi="Times New Roman" w:cs="Times New Roman"/>
          <w:sz w:val="24"/>
          <w:szCs w:val="24"/>
          <w:lang w:val="en-US"/>
        </w:rPr>
        <w:t xml:space="preserve"> lysosomal acidification observed upon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Restoration of lysosomal pH strongly reduced</w:t>
      </w:r>
      <w:r w:rsidR="00241AD8" w:rsidRPr="00405F18">
        <w:rPr>
          <w:rFonts w:ascii="Times New Roman" w:hAnsi="Times New Roman" w:cs="Times New Roman"/>
          <w:sz w:val="24"/>
          <w:szCs w:val="24"/>
          <w:lang w:val="en-US"/>
        </w:rPr>
        <w:t xml:space="preserve"> the number of</w:t>
      </w:r>
      <w:r w:rsidRPr="00405F18">
        <w:rPr>
          <w:rFonts w:ascii="Times New Roman" w:hAnsi="Times New Roman" w:cs="Times New Roman"/>
          <w:sz w:val="24"/>
          <w:szCs w:val="24"/>
          <w:lang w:val="en-US"/>
        </w:rPr>
        <w:t xml:space="preserve"> autophagosome</w:t>
      </w:r>
      <w:r w:rsidR="00241AD8" w:rsidRPr="00405F18">
        <w:rPr>
          <w:rFonts w:ascii="Times New Roman" w:hAnsi="Times New Roman" w:cs="Times New Roman"/>
          <w:sz w:val="24"/>
          <w:szCs w:val="24"/>
          <w:lang w:val="en-US"/>
        </w:rPr>
        <w:t>s</w:t>
      </w:r>
      <w:r w:rsidR="006C115C"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proofErr w:type="spellStart"/>
      <w:r w:rsidRPr="00405F18">
        <w:rPr>
          <w:rFonts w:ascii="Times New Roman" w:hAnsi="Times New Roman" w:cs="Times New Roman"/>
          <w:sz w:val="24"/>
          <w:szCs w:val="24"/>
          <w:lang w:val="en-US"/>
        </w:rPr>
        <w:t>Ub</w:t>
      </w:r>
      <w:proofErr w:type="spellEnd"/>
      <w:r w:rsidRPr="00405F18">
        <w:rPr>
          <w:rFonts w:ascii="Times New Roman" w:hAnsi="Times New Roman" w:cs="Times New Roman"/>
          <w:sz w:val="24"/>
          <w:szCs w:val="24"/>
          <w:lang w:val="en-US"/>
        </w:rPr>
        <w:t xml:space="preserve"> aggregates</w:t>
      </w:r>
      <w:r w:rsidR="006C115C" w:rsidRPr="00405F18">
        <w:rPr>
          <w:rFonts w:ascii="Times New Roman" w:hAnsi="Times New Roman" w:cs="Times New Roman"/>
          <w:sz w:val="24"/>
          <w:szCs w:val="24"/>
          <w:lang w:val="en-US"/>
        </w:rPr>
        <w:t>, and prevent</w:t>
      </w:r>
      <w:r w:rsidR="0091402B" w:rsidRPr="00405F18">
        <w:rPr>
          <w:rFonts w:ascii="Times New Roman" w:hAnsi="Times New Roman" w:cs="Times New Roman"/>
          <w:sz w:val="24"/>
          <w:szCs w:val="24"/>
          <w:lang w:val="en-US"/>
        </w:rPr>
        <w:t>ed</w:t>
      </w:r>
      <w:r w:rsidR="006C115C" w:rsidRPr="00405F18">
        <w:rPr>
          <w:rFonts w:ascii="Times New Roman" w:hAnsi="Times New Roman" w:cs="Times New Roman"/>
          <w:sz w:val="24"/>
          <w:szCs w:val="24"/>
          <w:lang w:val="en-US"/>
        </w:rPr>
        <w:t xml:space="preserve"> </w:t>
      </w:r>
      <w:r w:rsidR="00B63100" w:rsidRPr="00405F18">
        <w:rPr>
          <w:rFonts w:ascii="Times New Roman" w:hAnsi="Times New Roman" w:cs="Times New Roman"/>
          <w:sz w:val="24"/>
          <w:szCs w:val="24"/>
          <w:lang w:val="en-US"/>
        </w:rPr>
        <w:t>LMP in PA-treated cells</w:t>
      </w:r>
      <w:r w:rsidRPr="00405F18">
        <w:rPr>
          <w:rFonts w:ascii="Times New Roman" w:hAnsi="Times New Roman" w:cs="Times New Roman"/>
          <w:sz w:val="24"/>
          <w:szCs w:val="24"/>
          <w:lang w:val="en-US"/>
        </w:rPr>
        <w:t xml:space="preserve">. As expected, AMPK activation </w:t>
      </w:r>
      <w:r w:rsidR="00241AD8"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s associated with stronger phosphorylation of AC</w:t>
      </w:r>
      <w:r w:rsidR="00FD42AC">
        <w:rPr>
          <w:rFonts w:ascii="Times New Roman" w:hAnsi="Times New Roman" w:cs="Times New Roman"/>
          <w:sz w:val="24"/>
          <w:szCs w:val="24"/>
          <w:lang w:val="en-US"/>
        </w:rPr>
        <w:t>A</w:t>
      </w:r>
      <w:r w:rsidRPr="00405F18">
        <w:rPr>
          <w:rFonts w:ascii="Times New Roman" w:hAnsi="Times New Roman" w:cs="Times New Roman"/>
          <w:sz w:val="24"/>
          <w:szCs w:val="24"/>
          <w:lang w:val="en-US"/>
        </w:rPr>
        <w:t xml:space="preserve">C, but no change </w:t>
      </w:r>
      <w:r w:rsidR="00241AD8" w:rsidRPr="00405F18">
        <w:rPr>
          <w:rFonts w:ascii="Times New Roman" w:hAnsi="Times New Roman" w:cs="Times New Roman"/>
          <w:sz w:val="24"/>
          <w:szCs w:val="24"/>
          <w:lang w:val="en-US"/>
        </w:rPr>
        <w:t>wa</w:t>
      </w:r>
      <w:r w:rsidRPr="00405F18">
        <w:rPr>
          <w:rFonts w:ascii="Times New Roman" w:hAnsi="Times New Roman" w:cs="Times New Roman"/>
          <w:sz w:val="24"/>
          <w:szCs w:val="24"/>
          <w:lang w:val="en-US"/>
        </w:rPr>
        <w:t>s observed regarding the phosphorylation of ULK1, and the reason behind remains to be determined. However, this finding supports our conclusion that autophagosome accumulation</w:t>
      </w:r>
      <w:r w:rsidR="00241AD8" w:rsidRPr="00405F18">
        <w:rPr>
          <w:rFonts w:ascii="Times New Roman" w:hAnsi="Times New Roman" w:cs="Times New Roman"/>
          <w:sz w:val="24"/>
          <w:szCs w:val="24"/>
          <w:lang w:val="en-US"/>
        </w:rPr>
        <w:t xml:space="preserve"> mainly</w:t>
      </w:r>
      <w:r w:rsidRPr="00405F18">
        <w:rPr>
          <w:rFonts w:ascii="Times New Roman" w:hAnsi="Times New Roman" w:cs="Times New Roman"/>
          <w:sz w:val="24"/>
          <w:szCs w:val="24"/>
          <w:lang w:val="en-US"/>
        </w:rPr>
        <w:t xml:space="preserve"> result</w:t>
      </w:r>
      <w:r w:rsidR="00241AD8"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from defective lysosomal degradation. The AMPK protection against the deleterious effect of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xml:space="preserve"> on lysosomes is also in line with our previous study show</w:t>
      </w:r>
      <w:r w:rsidR="00161C36" w:rsidRPr="00405F18">
        <w:rPr>
          <w:rFonts w:ascii="Times New Roman" w:hAnsi="Times New Roman" w:cs="Times New Roman"/>
          <w:sz w:val="24"/>
          <w:szCs w:val="24"/>
          <w:lang w:val="en-US"/>
        </w:rPr>
        <w:t>ing</w:t>
      </w:r>
      <w:r w:rsidRPr="00405F18">
        <w:rPr>
          <w:rFonts w:ascii="Times New Roman" w:hAnsi="Times New Roman" w:cs="Times New Roman"/>
          <w:sz w:val="24"/>
          <w:szCs w:val="24"/>
          <w:lang w:val="en-US"/>
        </w:rPr>
        <w:t xml:space="preserve"> that AICAR administration is associated with reduced lysosomal enlargement in proximal tubules of mice with obesity-induced CKD</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025345" w:rsidRPr="002539EF">
        <w:rPr>
          <w:rFonts w:ascii="Times New Roman" w:hAnsi="Times New Roman" w:cs="Times New Roman"/>
          <w:sz w:val="24"/>
          <w:szCs w:val="24"/>
          <w:lang w:val="en-US"/>
        </w:rPr>
        <w:instrText>ADDIN CSL_CITATION {"citationItems":[{"id":"ITEM-1","itemData":{"DOI":"10.1038/ki.2013.462","ISSN":"15231755","abstract":"AMP-Activated protein kinase (AMPK) is an important energy sensor that may be critical in regulating renal lipid accumulation. To evaluate the role of AMPK in mediating renal lipid accumulation, C57BL/6J mice were randomized to a standard diet, a high-fat diet, or a high-fat diet plus AICAR (an AMPK activator) for 14 weeks. Renal functional and structural studies along with electron microscopy were performed. Mice given the high-fat diet had proximal tubule injury with the presence of enlarged clear vacuoles, and multilaminar inclusions concurrent with an increase of tissue lipid and overloading of the lysosomal system. The margins of the clear vacuoles were positive for the endolysosomal marker, LAMP1, suggesting lysosome accumulation. Characterization of vesicles by special stains (Oil Red O, Nile Red, Luxol Fast Blue) and by electron microscopy showed they contained onion skin-like accumulations consistent with phospholipids. Moreover, cholesteryl esters and phosphatidylcholine-containing phospholipids were significantly increased in the kidneys of mice on a high-fat diet. AMPK activation with chronic AICAR treatment prevented the clinical and structural effects of high-fat diet. Thus, high-fat diet contributes to a dysfunction of the lysosomal system and altered lipid metabolism characterized by cholesterol and phospholipid accumulation in the kidney. AMPK activation normalizes the changes in renal lipid content despite chronic exposure to lipid challenge. © 2013 International Society of Nephrology.","author":[{"dropping-particle":"","family":"Declèves","given":"Anne Emilie","non-dropping-particle":"","parse-names":false,"suffix":""},{"dropping-particle":"","family":"Zolkipli","given":"Zarazuela","non-dropping-particle":"","parse-names":false,"suffix":""},{"dropping-particle":"","family":"Satriano","given":"Joseph","non-dropping-particle":"","parse-names":false,"suffix":""},{"dropping-particle":"","family":"Wang","given":"Lin","non-dropping-particle":"","parse-names":false,"suffix":""},{"dropping-particle":"","family":"Nakayama","given":"Tomohiro","non-dropping-particle":"","parse-names":false,"suffix":""},{"dropping-particle":"","family":"Rogac","given":"Mihael","non-dropping-particle":"","parse-names":false,"suffix":""},{"dropping-particle":"","family":"Le","given":"Thuy P.","non-dropping-particle":"","parse-names":false,"suffix":""},{"dropping-particle":"","family":"Nortier","given":"Joëlle L.","non-dropping-particle":"","parse-names":false,"suffix":""},{"dropping-particle":"","family":"Farquhar","given":"Marilyn G.","non-dropping-particle":"","parse-names":false,"suffix":""},{"dropping-particle":"","family":"Naviaux","given":"Robert K.","non-dropping-particle":"","parse-names":false,"suffix":""},{"dropping-particle":"","family":"Sharma","given":"Kumar","non-dropping-particle":"","parse-names":false,"suffix":""}],"container-title":"Kidney International","id":"ITEM-1","issue":"3","issued":{"date-parts":[["2014"]]},"page":"611-623","title":"Regulation of lipid accumulation by AMK-Activated kinase in high fat diet-induced kidney injury","type":"article-journal","volume":"85"},"uris":["http://www.mendeley.com/documents/?uuid=9cb854f8-4c3a-443a-ac96-2c8139bdbf52"]}],"mendeley":{"formattedCitation":"&lt;sup&gt;13&lt;/sup&gt;","plainTextFormattedCitation":"13","previouslyFormattedCitation":"&lt;sup&gt;13&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2500AB" w:rsidRPr="002539EF">
        <w:rPr>
          <w:rFonts w:ascii="Times New Roman" w:hAnsi="Times New Roman" w:cs="Times New Roman"/>
          <w:noProof/>
          <w:sz w:val="24"/>
          <w:szCs w:val="24"/>
          <w:lang w:val="en-US"/>
        </w:rPr>
        <w:t>13</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AMPK was found to be necessary for basal</w:t>
      </w:r>
      <w:r w:rsidR="00161C36" w:rsidRPr="00405F18">
        <w:rPr>
          <w:rFonts w:ascii="Times New Roman" w:hAnsi="Times New Roman" w:cs="Times New Roman"/>
          <w:sz w:val="24"/>
          <w:szCs w:val="24"/>
          <w:lang w:val="en-US"/>
        </w:rPr>
        <w:t xml:space="preserve"> lysosomal</w:t>
      </w:r>
      <w:r w:rsidRPr="00405F18">
        <w:rPr>
          <w:rFonts w:ascii="Times New Roman" w:hAnsi="Times New Roman" w:cs="Times New Roman"/>
          <w:sz w:val="24"/>
          <w:szCs w:val="24"/>
          <w:lang w:val="en-US"/>
        </w:rPr>
        <w:t xml:space="preserve"> function</w:t>
      </w:r>
      <w:r w:rsidR="0085291B" w:rsidRPr="00405F18">
        <w:rPr>
          <w:rFonts w:ascii="Times New Roman" w:hAnsi="Times New Roman" w:cs="Times New Roman"/>
          <w:sz w:val="24"/>
          <w:szCs w:val="24"/>
          <w:lang w:val="en-US"/>
        </w:rPr>
        <w:t>. T</w:t>
      </w:r>
      <w:r w:rsidRPr="00405F18">
        <w:rPr>
          <w:rFonts w:ascii="Times New Roman" w:hAnsi="Times New Roman" w:cs="Times New Roman"/>
          <w:sz w:val="24"/>
          <w:szCs w:val="24"/>
          <w:lang w:val="en-US"/>
        </w:rPr>
        <w:t>he suppression of the two</w:t>
      </w:r>
      <w:r w:rsidR="007A0401" w:rsidRPr="00405F18">
        <w:rPr>
          <w:rFonts w:ascii="Times New Roman" w:hAnsi="Times New Roman" w:cs="Times New Roman"/>
          <w:sz w:val="24"/>
          <w:szCs w:val="24"/>
          <w:lang w:val="en-US"/>
        </w:rPr>
        <w:t xml:space="preserve"> AMPK</w:t>
      </w:r>
      <w:r w:rsidRPr="00405F18">
        <w:rPr>
          <w:rFonts w:ascii="Times New Roman" w:hAnsi="Times New Roman" w:cs="Times New Roman"/>
          <w:sz w:val="24"/>
          <w:szCs w:val="24"/>
          <w:lang w:val="en-US"/>
        </w:rPr>
        <w:t xml:space="preserve"> catalytic units (</w:t>
      </w:r>
      <w:r w:rsidR="00E11F6C">
        <w:rPr>
          <w:rFonts w:ascii="Times New Roman" w:hAnsi="Times New Roman" w:cs="Times New Roman"/>
          <w:i/>
          <w:iCs/>
          <w:sz w:val="24"/>
          <w:szCs w:val="24"/>
          <w:lang w:val="en-US"/>
        </w:rPr>
        <w:t xml:space="preserve">prkaa1 </w:t>
      </w:r>
      <w:r w:rsidR="00E11F6C">
        <w:rPr>
          <w:rFonts w:ascii="Times New Roman" w:hAnsi="Times New Roman" w:cs="Times New Roman"/>
          <w:sz w:val="24"/>
          <w:szCs w:val="24"/>
          <w:lang w:val="en-US"/>
        </w:rPr>
        <w:t>[</w:t>
      </w:r>
      <w:r w:rsidR="008454AD" w:rsidRPr="00E537C0">
        <w:rPr>
          <w:rFonts w:ascii="Times New Roman" w:hAnsi="Times New Roman" w:cs="Times New Roman"/>
          <w:sz w:val="24"/>
          <w:szCs w:val="24"/>
          <w:lang w:val="en-US"/>
        </w:rPr>
        <w:t>protein kinase AMP-activated catalytic subunit alpha 1</w:t>
      </w:r>
      <w:r w:rsidR="00E11F6C">
        <w:rPr>
          <w:rFonts w:ascii="Times New Roman" w:hAnsi="Times New Roman" w:cs="Times New Roman"/>
          <w:sz w:val="24"/>
          <w:szCs w:val="24"/>
          <w:lang w:val="en-US"/>
        </w:rPr>
        <w:t>]</w:t>
      </w:r>
      <w:r w:rsidR="0085291B" w:rsidRPr="00405F18">
        <w:rPr>
          <w:rFonts w:ascii="Times New Roman" w:hAnsi="Times New Roman" w:cs="Times New Roman"/>
          <w:sz w:val="24"/>
          <w:szCs w:val="24"/>
          <w:lang w:val="en-US"/>
        </w:rPr>
        <w:t xml:space="preserve"> </w:t>
      </w:r>
      <w:r w:rsidR="00E11F6C">
        <w:rPr>
          <w:rFonts w:ascii="Times New Roman" w:hAnsi="Times New Roman" w:cs="Times New Roman"/>
          <w:i/>
          <w:iCs/>
          <w:sz w:val="24"/>
          <w:szCs w:val="24"/>
          <w:lang w:val="en-US"/>
        </w:rPr>
        <w:t>p</w:t>
      </w:r>
      <w:r w:rsidRPr="00405F18">
        <w:rPr>
          <w:rFonts w:ascii="Times New Roman" w:hAnsi="Times New Roman" w:cs="Times New Roman"/>
          <w:i/>
          <w:iCs/>
          <w:sz w:val="24"/>
          <w:szCs w:val="24"/>
          <w:lang w:val="en-US"/>
        </w:rPr>
        <w:t>rkaa2</w:t>
      </w:r>
      <w:r w:rsidRPr="00405F18">
        <w:rPr>
          <w:rFonts w:ascii="Times New Roman" w:hAnsi="Times New Roman" w:cs="Times New Roman"/>
          <w:sz w:val="24"/>
          <w:szCs w:val="24"/>
          <w:lang w:val="en-US"/>
        </w:rPr>
        <w:t xml:space="preserve"> double </w:t>
      </w:r>
      <w:r w:rsidR="0085291B" w:rsidRPr="00405F18">
        <w:rPr>
          <w:rFonts w:ascii="Times New Roman" w:hAnsi="Times New Roman" w:cs="Times New Roman"/>
          <w:sz w:val="24"/>
          <w:szCs w:val="24"/>
          <w:lang w:val="en-US"/>
        </w:rPr>
        <w:t>knockout</w:t>
      </w:r>
      <w:r w:rsidRPr="00405F18">
        <w:rPr>
          <w:rFonts w:ascii="Times New Roman" w:hAnsi="Times New Roman" w:cs="Times New Roman"/>
          <w:sz w:val="24"/>
          <w:szCs w:val="24"/>
          <w:lang w:val="en-US"/>
        </w:rPr>
        <w:t>) in mouse embryonic fibroblasts leads to defective lysosomal catalytic activity, loss of acidification and elevated calcium concentration</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BC4F67" w:rsidRPr="002539EF">
        <w:rPr>
          <w:rFonts w:ascii="Times New Roman" w:hAnsi="Times New Roman" w:cs="Times New Roman"/>
          <w:sz w:val="24"/>
          <w:szCs w:val="24"/>
          <w:lang w:val="en-US"/>
        </w:rPr>
        <w:instrText>ADDIN CSL_CITATION {"citationItems":[{"id":"ITEM-1","itemData":{"DOI":"10.1080/15548627.2019.1586256","ISSN":"15548635","PMID":"30917721","abstract":"Mitochondria are key organelles for cellular metabolism, and regulate several processes including cell death and macroautophagy/autophagy. Here, we show that mitochondrial respiratory chain (RC) deficiency deactivates AMP-activated protein kinase (AMPK, a key regulator of energy homeostasis) signaling in tissue and in cultured cells. The deactivation of AMPK in RC-deficiency is due to increased expression of the AMPK-inhibiting protein FLCN (folliculin). AMPK is found to be necessary for basal lysosomal function, and AMPK deactivation in RC-deficiency inhibits lysosomal function by decreasing the activity of the lysosomal Ca2+ channel MCOLN1 (mucolipin 1). MCOLN1 is regulated by phosphoinositide kinase PIKFYVE and its product PtdIns(3,5)P2, which is also decreased in RC-deficiency. Notably, reactivation of AMPK, in a PIKFYVE-dependent manner, or of MCOLN1 in RC-deficient cells, restores lysosomal hydrolytic capacity. Building on these data and the literature, we propose that downregulation of the AMPK-PIKFYVE-PtdIns(3,5)P2-MCOLN1 pathway causes lysosomal Ca2+ accumulation and impaired lysosomal catabolism. Besides unveiling a novel role of AMPK in lysosomal function, this study points to the mechanism that links mitochondrial malfunction to impaired lysosomal catabolism, underscoring the importance of AMPK and the complexity of organelle cross-talk in the regulation of cellular homeostasis. Abbreviation: ΔΨm: mitochondrial transmembrane potential; AMP: adenosine monophosphate; AMPK: AMP-activated protein kinase; ATG5: autophagy related 5; ATP: adenosine triphosphate; ATP6V0A1: ATPase, H+ transporting, lysosomal, V0 subbunit A1; ATP6V1A: ATPase, H+ transporting, lysosomal, V0 subbunit A; BSA: bovine serum albumin; CCCP: carbonyl cyanide-m-chlorophenylhydrazone; CREB1: cAMP response element binding protein 1; CTSD: cathepsin D; CTSF: cathepsin F; DMEM: Dulbecco’s modified Eagle’s medium; DMSO: dimethyl sulfoxide; EBSS: Earl’s balanced salt solution; ER: endoplasmic reticulum; FBS: fetal bovine serum; FCCP: carbonyl cyanide-p-trifluoromethoxyphenolhydrazone; GFP: green fluorescent protein; GPN: glycyl-L-phenylalanine 2-naphthylamide; LAMP1: lysosomal associated membrane protein 1; MAP1LC3B/LC3B: microtubule associated protein 1 light chain 3 beta; MCOLN1/TRPML1: mucolipin 1; MEF: mouse embryonic fibroblast; MITF: melanocyte inducing transcription factor; ML1N*2-GFP: probe used to detect PtdIns(3,5)P2 based on the transmembrane domain of MCOLN1; MTORC1: mec…","author":[{"dropping-particle":"","family":"Fernandez-Mosquera","given":"Lorena","non-dropping-particle":"","parse-names":false,"suffix":""},{"dropping-particle":"","family":"Yambire","given":"King Faisal","non-dropping-particle":"","parse-names":false,"suffix":""},{"dropping-particle":"","family":"Couto","given":"Renata","non-dropping-particle":"","parse-names":false,"suffix":""},{"dropping-particle":"","family":"Pereyra","given":"Leonardo","non-dropping-particle":"","parse-names":false,"suffix":""},{"dropping-particle":"","family":"Pabis","given":"Kamil","non-dropping-particle":"","parse-names":false,"suffix":""},{"dropping-particle":"","family":"Ponsford","given":"Amy H.","non-dropping-particle":"","parse-names":false,"suffix":""},{"dropping-particle":"V.","family":"Diogo","given":"Cátia","non-dropping-particle":"","parse-names":false,"suffix":""},{"dropping-particle":"","family":"Stagi","given":"Massimiliano","non-dropping-particle":"","parse-names":false,"suffix":""},{"dropping-particle":"","family":"Milosevic","given":"Ira","non-dropping-particle":"","parse-names":false,"suffix":""},{"dropping-particle":"","family":"Raimundo","given":"Nuno","non-dropping-particle":"","parse-names":false,"suffix":""}],"container-title":"Autophagy","id":"ITEM-1","issue":"9","issued":{"date-parts":[["2019"]]},"page":"1572-1591","publisher":"Taylor &amp; Francis","title":"Mitochondrial respiratory chain deficiency inhibits lysosomal hydrolysis","type":"article-journal","volume":"15"},"uris":["http://www.mendeley.com/documents/?uuid=1be5055e-5f65-44ba-abd0-b660f7654de6"]}],"mendeley":{"formattedCitation":"&lt;sup&gt;29&lt;/sup&gt;","plainTextFormattedCitation":"29","previouslyFormattedCitation":"&lt;sup&gt;29&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D27D77" w:rsidRPr="002539EF">
        <w:rPr>
          <w:rFonts w:ascii="Times New Roman" w:hAnsi="Times New Roman" w:cs="Times New Roman"/>
          <w:noProof/>
          <w:sz w:val="24"/>
          <w:szCs w:val="24"/>
          <w:lang w:val="en-US"/>
        </w:rPr>
        <w:t>29</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bookmarkStart w:id="9" w:name="_Hlk172798675"/>
      <w:r w:rsidRPr="00405F18">
        <w:rPr>
          <w:rFonts w:ascii="Times New Roman" w:hAnsi="Times New Roman" w:cs="Times New Roman"/>
          <w:sz w:val="24"/>
          <w:szCs w:val="24"/>
          <w:lang w:val="en-US"/>
        </w:rPr>
        <w:t xml:space="preserve">Mechanistically, how AMPK </w:t>
      </w:r>
      <w:r w:rsidR="00493822" w:rsidRPr="00405F18">
        <w:rPr>
          <w:rFonts w:ascii="Times New Roman" w:hAnsi="Times New Roman" w:cs="Times New Roman"/>
          <w:sz w:val="24"/>
          <w:szCs w:val="24"/>
          <w:lang w:val="en-US"/>
        </w:rPr>
        <w:t xml:space="preserve">pharmacological </w:t>
      </w:r>
      <w:r w:rsidR="00920C3D" w:rsidRPr="00405F18">
        <w:rPr>
          <w:rFonts w:ascii="Times New Roman" w:hAnsi="Times New Roman" w:cs="Times New Roman"/>
          <w:sz w:val="24"/>
          <w:szCs w:val="24"/>
          <w:lang w:val="en-US"/>
        </w:rPr>
        <w:t>activation</w:t>
      </w:r>
      <w:r w:rsidRPr="00405F18">
        <w:rPr>
          <w:rFonts w:ascii="Times New Roman" w:hAnsi="Times New Roman" w:cs="Times New Roman"/>
          <w:sz w:val="24"/>
          <w:szCs w:val="24"/>
          <w:lang w:val="en-US"/>
        </w:rPr>
        <w:t xml:space="preserve"> prevent</w:t>
      </w:r>
      <w:r w:rsidR="00F75DA9"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PA-induced </w:t>
      </w:r>
      <w:r w:rsidR="00EF44B4" w:rsidRPr="00405F18">
        <w:rPr>
          <w:rFonts w:ascii="Times New Roman" w:hAnsi="Times New Roman" w:cs="Times New Roman"/>
          <w:sz w:val="24"/>
          <w:szCs w:val="24"/>
          <w:lang w:val="en-US"/>
        </w:rPr>
        <w:t xml:space="preserve">defective </w:t>
      </w:r>
      <w:r w:rsidRPr="00405F18">
        <w:rPr>
          <w:rFonts w:ascii="Times New Roman" w:hAnsi="Times New Roman" w:cs="Times New Roman"/>
          <w:sz w:val="24"/>
          <w:szCs w:val="24"/>
          <w:lang w:val="en-US"/>
        </w:rPr>
        <w:t xml:space="preserve">lysosomal </w:t>
      </w:r>
      <w:r w:rsidR="00EF44B4" w:rsidRPr="00405F18">
        <w:rPr>
          <w:rFonts w:ascii="Times New Roman" w:hAnsi="Times New Roman" w:cs="Times New Roman"/>
          <w:sz w:val="24"/>
          <w:szCs w:val="24"/>
          <w:lang w:val="en-US"/>
        </w:rPr>
        <w:t>acidification</w:t>
      </w:r>
      <w:r w:rsidR="00914427" w:rsidRPr="00405F18">
        <w:rPr>
          <w:rFonts w:ascii="Times New Roman" w:hAnsi="Times New Roman" w:cs="Times New Roman"/>
          <w:sz w:val="24"/>
          <w:szCs w:val="24"/>
          <w:lang w:val="en-US"/>
        </w:rPr>
        <w:t xml:space="preserve"> remains to be determined. The kinase </w:t>
      </w:r>
      <w:r w:rsidR="000710E9" w:rsidRPr="00405F18">
        <w:rPr>
          <w:rFonts w:ascii="Times New Roman" w:hAnsi="Times New Roman" w:cs="Times New Roman"/>
          <w:sz w:val="24"/>
          <w:szCs w:val="24"/>
          <w:lang w:val="en-US"/>
        </w:rPr>
        <w:t xml:space="preserve">activates </w:t>
      </w:r>
      <w:r w:rsidR="003F0551" w:rsidRPr="00E537C0">
        <w:rPr>
          <w:rFonts w:ascii="Times New Roman" w:hAnsi="Times New Roman" w:cs="Times New Roman"/>
          <w:sz w:val="24"/>
          <w:szCs w:val="24"/>
          <w:lang w:val="en-US"/>
        </w:rPr>
        <w:t>PIK</w:t>
      </w:r>
      <w:r w:rsidR="003F0551">
        <w:rPr>
          <w:rFonts w:ascii="Times New Roman" w:hAnsi="Times New Roman" w:cs="Times New Roman"/>
          <w:sz w:val="24"/>
          <w:szCs w:val="24"/>
          <w:lang w:val="en-US"/>
        </w:rPr>
        <w:t>FYVE</w:t>
      </w:r>
      <w:r w:rsidR="003F0551" w:rsidRPr="00405F18" w:rsidDel="003F0551">
        <w:rPr>
          <w:rFonts w:ascii="Times New Roman" w:hAnsi="Times New Roman" w:cs="Times New Roman"/>
          <w:sz w:val="24"/>
          <w:szCs w:val="24"/>
          <w:lang w:val="en-US"/>
        </w:rPr>
        <w:t xml:space="preserve"> </w:t>
      </w:r>
      <w:r w:rsidR="003F0551">
        <w:rPr>
          <w:rFonts w:ascii="Times New Roman" w:hAnsi="Times New Roman" w:cs="Times New Roman"/>
          <w:sz w:val="24"/>
          <w:szCs w:val="24"/>
          <w:lang w:val="en-US"/>
        </w:rPr>
        <w:t>(</w:t>
      </w:r>
      <w:r w:rsidR="00E537C0" w:rsidRPr="00405F18">
        <w:rPr>
          <w:rFonts w:ascii="Times New Roman" w:hAnsi="Times New Roman" w:cs="Times New Roman"/>
          <w:sz w:val="24"/>
          <w:szCs w:val="24"/>
          <w:lang w:val="en-US"/>
        </w:rPr>
        <w:t>phosph</w:t>
      </w:r>
      <w:r w:rsidR="00E537C0">
        <w:rPr>
          <w:rFonts w:ascii="Times New Roman" w:hAnsi="Times New Roman" w:cs="Times New Roman"/>
          <w:sz w:val="24"/>
          <w:szCs w:val="24"/>
          <w:lang w:val="en-US"/>
        </w:rPr>
        <w:t>o</w:t>
      </w:r>
      <w:r w:rsidR="00E537C0" w:rsidRPr="00405F18">
        <w:rPr>
          <w:rFonts w:ascii="Times New Roman" w:hAnsi="Times New Roman" w:cs="Times New Roman"/>
          <w:sz w:val="24"/>
          <w:szCs w:val="24"/>
          <w:lang w:val="en-US"/>
        </w:rPr>
        <w:t>inosit</w:t>
      </w:r>
      <w:r w:rsidR="00E537C0">
        <w:rPr>
          <w:rFonts w:ascii="Times New Roman" w:hAnsi="Times New Roman" w:cs="Times New Roman"/>
          <w:sz w:val="24"/>
          <w:szCs w:val="24"/>
          <w:lang w:val="en-US"/>
        </w:rPr>
        <w:t>ide kinase, FYVE-type zinc finger containing</w:t>
      </w:r>
      <w:r w:rsidRPr="00405F18">
        <w:rPr>
          <w:rFonts w:ascii="Times New Roman" w:hAnsi="Times New Roman" w:cs="Times New Roman"/>
          <w:sz w:val="24"/>
          <w:szCs w:val="24"/>
          <w:lang w:val="en-US"/>
        </w:rPr>
        <w:t>)</w:t>
      </w:r>
      <w:r w:rsidR="002539EF">
        <w:rPr>
          <w:rFonts w:ascii="Times New Roman" w:hAnsi="Times New Roman" w:cs="Times New Roman"/>
          <w:sz w:val="24"/>
          <w:szCs w:val="24"/>
          <w:lang w:val="en-US"/>
        </w:rPr>
        <w:t xml:space="preserve"> </w:t>
      </w:r>
      <w:r w:rsidR="000710E9" w:rsidRPr="00405F18">
        <w:rPr>
          <w:rFonts w:ascii="Times New Roman" w:hAnsi="Times New Roman" w:cs="Times New Roman"/>
          <w:sz w:val="24"/>
          <w:szCs w:val="24"/>
          <w:lang w:val="en-US"/>
        </w:rPr>
        <w:t xml:space="preserve">which </w:t>
      </w:r>
      <w:r w:rsidR="00335151" w:rsidRPr="00405F18">
        <w:rPr>
          <w:rFonts w:ascii="Times New Roman" w:hAnsi="Times New Roman" w:cs="Times New Roman"/>
          <w:sz w:val="24"/>
          <w:szCs w:val="24"/>
          <w:lang w:val="en-US"/>
        </w:rPr>
        <w:t>catalyzes</w:t>
      </w:r>
      <w:r w:rsidRPr="00405F18">
        <w:rPr>
          <w:rFonts w:ascii="Times New Roman" w:hAnsi="Times New Roman" w:cs="Times New Roman"/>
          <w:sz w:val="24"/>
          <w:szCs w:val="24"/>
          <w:lang w:val="en-US"/>
        </w:rPr>
        <w:t xml:space="preserve"> the phosphatidylinositol</w:t>
      </w:r>
      <w:r w:rsidR="00E11F6C">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3,5-bisphosphate </w:t>
      </w:r>
      <w:r w:rsidR="000710E9" w:rsidRPr="00405F18">
        <w:rPr>
          <w:rFonts w:ascii="Times New Roman" w:hAnsi="Times New Roman" w:cs="Times New Roman"/>
          <w:sz w:val="24"/>
          <w:szCs w:val="24"/>
          <w:lang w:val="en-US"/>
        </w:rPr>
        <w:t>synthesis needed for</w:t>
      </w:r>
      <w:r w:rsidR="006A7D83" w:rsidRPr="00405F18">
        <w:rPr>
          <w:rFonts w:ascii="Times New Roman" w:hAnsi="Times New Roman" w:cs="Times New Roman"/>
          <w:sz w:val="24"/>
          <w:szCs w:val="24"/>
          <w:lang w:val="en-US"/>
        </w:rPr>
        <w:t xml:space="preserve"> proper activity of</w:t>
      </w:r>
      <w:r w:rsidR="00751710" w:rsidRPr="00405F18">
        <w:rPr>
          <w:rFonts w:ascii="Times New Roman" w:hAnsi="Times New Roman" w:cs="Times New Roman"/>
          <w:sz w:val="24"/>
          <w:szCs w:val="24"/>
          <w:lang w:val="en-US"/>
        </w:rPr>
        <w:t xml:space="preserve"> </w:t>
      </w:r>
      <w:r w:rsidR="005F0F40">
        <w:rPr>
          <w:rFonts w:ascii="Times New Roman" w:hAnsi="Times New Roman" w:cs="Times New Roman"/>
          <w:sz w:val="24"/>
          <w:szCs w:val="24"/>
          <w:lang w:val="en-US"/>
        </w:rPr>
        <w:t xml:space="preserve">MCOLN1 </w:t>
      </w:r>
      <w:r w:rsidR="005F0F40">
        <w:rPr>
          <w:rFonts w:ascii="Times New Roman" w:hAnsi="Times New Roman" w:cs="Times New Roman"/>
          <w:sz w:val="24"/>
          <w:szCs w:val="24"/>
          <w:lang w:val="en-US"/>
        </w:rPr>
        <w:lastRenderedPageBreak/>
        <w:t>(</w:t>
      </w:r>
      <w:r w:rsidR="00E537C0" w:rsidRPr="00405F18">
        <w:rPr>
          <w:rFonts w:ascii="Times New Roman" w:hAnsi="Times New Roman" w:cs="Times New Roman"/>
          <w:sz w:val="24"/>
          <w:szCs w:val="24"/>
          <w:lang w:val="en-US"/>
        </w:rPr>
        <w:t>mucolipin</w:t>
      </w:r>
      <w:r w:rsidR="00E537C0">
        <w:rPr>
          <w:rFonts w:ascii="Times New Roman" w:hAnsi="Times New Roman" w:cs="Times New Roman"/>
          <w:sz w:val="24"/>
          <w:szCs w:val="24"/>
          <w:lang w:val="en-US"/>
        </w:rPr>
        <w:t xml:space="preserve"> TRP cation channel </w:t>
      </w:r>
      <w:r w:rsidR="00E537C0" w:rsidRPr="00405F18">
        <w:rPr>
          <w:rFonts w:ascii="Times New Roman" w:hAnsi="Times New Roman" w:cs="Times New Roman"/>
          <w:sz w:val="24"/>
          <w:szCs w:val="24"/>
          <w:lang w:val="en-US"/>
        </w:rPr>
        <w:t>1</w:t>
      </w:r>
      <w:r w:rsidR="00E537C0">
        <w:rPr>
          <w:rFonts w:ascii="Times New Roman" w:hAnsi="Times New Roman" w:cs="Times New Roman"/>
          <w:sz w:val="24"/>
          <w:szCs w:val="24"/>
          <w:lang w:val="en-US"/>
        </w:rPr>
        <w:t xml:space="preserve">) </w:t>
      </w:r>
      <w:r w:rsidR="006A7D83" w:rsidRPr="00405F18">
        <w:rPr>
          <w:rFonts w:ascii="Times New Roman" w:hAnsi="Times New Roman" w:cs="Times New Roman"/>
          <w:sz w:val="24"/>
          <w:szCs w:val="24"/>
          <w:lang w:val="en-US"/>
        </w:rPr>
        <w:t>and</w:t>
      </w:r>
      <w:r w:rsidRPr="00405F18">
        <w:rPr>
          <w:rFonts w:ascii="Times New Roman" w:hAnsi="Times New Roman" w:cs="Times New Roman"/>
          <w:sz w:val="24"/>
          <w:szCs w:val="24"/>
          <w:lang w:val="en-US"/>
        </w:rPr>
        <w:t xml:space="preserve"> lysosomal homeostasis</w:t>
      </w:r>
      <w:r w:rsidR="002539EF">
        <w:rPr>
          <w:rFonts w:ascii="Times New Roman" w:hAnsi="Times New Roman" w:cs="Times New Roman"/>
          <w:sz w:val="24"/>
          <w:szCs w:val="24"/>
          <w:lang w:val="en-US"/>
        </w:rPr>
        <w:t xml:space="preserve"> [</w:t>
      </w:r>
      <w:r w:rsidR="002539EF" w:rsidRPr="002539EF">
        <w:rPr>
          <w:rFonts w:ascii="Times New Roman" w:hAnsi="Times New Roman" w:cs="Times New Roman"/>
          <w:sz w:val="24"/>
          <w:szCs w:val="24"/>
          <w:lang w:val="en-US"/>
        </w:rPr>
        <w:fldChar w:fldCharType="begin" w:fldLock="1"/>
      </w:r>
      <w:r w:rsidR="002539EF" w:rsidRPr="002539EF">
        <w:rPr>
          <w:rFonts w:ascii="Times New Roman" w:hAnsi="Times New Roman" w:cs="Times New Roman"/>
          <w:sz w:val="24"/>
          <w:szCs w:val="24"/>
          <w:lang w:val="en-US"/>
        </w:rPr>
        <w:instrText>ADDIN CSL_CITATION {"citationItems":[{"id":"ITEM-1","itemData":{"DOI":"10.1042/BJ20130644","ISSN":"02646021","PMID":"23905686","abstract":"PIKfyve (FYVE domain-containing phosphatidylinositol 3- phosphate 5-kinase), the lipid kinase that phosphorylates PtdIns3P to PtdIns(3,5)P2, has been implicated in insulinstimulated glucose uptake. We investigated whether PIKfyve could also be involved in contraction/AMPK (AMP-activated protein kinase)-stimulated glucose uptake in skeletal muscle. Incubation of rat epitrochlearis muscles with YM201636, a selective PIKfyve inhibitor, reduced contraction- and AICAriboside (5-amino-4-imidazolecarboxamide riboside)-stimulated glucose uptake. Consistently, PIKfyve knockdown in C2C12 myotubes reduced AICAriboside-stimulated glucose transport. Furthermore, muscle contraction increased PtdIns(3,5)P2 levels and PIKfyve phosphorylation. AMPK phosphorylated PIKfyve at Ser307 both in vitro and in intact cells. Following subcellular fractionation, PIKfyve recovery in a crude intracellularmembrane fraction was increased in contracting versus resting muscles. Also in opossum kidney cells, wild-type, but not S307A mutant, PIKfyve was recruited to endosomal vesicles in response to AMPK activation. We propose that PIKfyve activity is required for the stimulation of skeletal muscle glucose uptake by contraction/AMPK activation. PIKfyve is a new AMPK substrate whose phosphorylation at Ser307 could promote PIKfyve translocation to endosomes for PtdIns(3,5)P2 synthesis to facilitate GLUT4 (glucose transporter 4) translocation. © 2013 Biochemical Society.","author":[{"dropping-particle":"","family":"Liu","given":"Yang","non-dropping-particle":"","parse-names":false,"suffix":""},{"dropping-particle":"","family":"Lai","given":"Yu Chiang","non-dropping-particle":"","parse-names":false,"suffix":""},{"dropping-particle":"V.","family":"Hill","given":"Elaine","non-dropping-particle":"","parse-names":false,"suffix":""},{"dropping-particle":"","family":"Tyteca","given":"Donatienne","non-dropping-particle":"","parse-names":false,"suffix":""},{"dropping-particle":"","family":"Carpentier","given":"Sarah","non-dropping-particle":"","parse-names":false,"suffix":""},{"dropping-particle":"","family":"Ingvaldsen","given":"Ada","non-dropping-particle":"","parse-names":false,"suffix":""},{"dropping-particle":"","family":"Vertommen","given":"Didier","non-dropping-particle":"","parse-names":false,"suffix":""},{"dropping-particle":"","family":"Lantier","given":"Louise","non-dropping-particle":"","parse-names":false,"suffix":""},{"dropping-particle":"","family":"Foretz","given":"Marc","non-dropping-particle":"","parse-names":false,"suffix":""},{"dropping-particle":"","family":"Dequiedt","given":"Franck","non-dropping-particle":"","parse-names":false,"suffix":""},{"dropping-particle":"","family":"Courtoy","given":"Pierre J.","non-dropping-particle":"","parse-names":false,"suffix":""},{"dropping-particle":"","family":"Erneux","given":"Christophe","non-dropping-particle":"","parse-names":false,"suffix":""},{"dropping-particle":"","family":"Viollet","given":"Benoit","non-dropping-particle":"","parse-names":false,"suffix":""},{"dropping-particle":"","family":"Shepherd","given":"Peter R.","non-dropping-particle":"","parse-names":false,"suffix":""},{"dropping-particle":"","family":"Tavare","given":"Jeremy M.","non-dropping-particle":"","parse-names":false,"suffix":""},{"dropping-particle":"","family":"Jensen","given":"Jørgen","non-dropping-particle":"","parse-names":false,"suffix":""},{"dropping-particle":"","family":"Rider","given":"Mark H.","non-dropping-particle":"","parse-names":false,"suffix":""}],"container-title":"Biochemical Journal","id":"ITEM-1","issue":"2","issued":{"date-parts":[["2013"]]},"page":"195-206","title":"Phosphatidylinositol 3-phosphate 5-kinase (PIKfyve) is an AMPK target participating in contraction-stimulated glucose uptake in skeletal muscle","type":"article-journal","volume":"455"},"uris":["http://www.mendeley.com/documents/?uuid=bd2a72bd-ca17-4b03-93fc-7b20aaaefd17"]}],"mendeley":{"formattedCitation":"&lt;sup&gt;65&lt;/sup&gt;","plainTextFormattedCitation":"65","previouslyFormattedCitation":"&lt;sup&gt;65&lt;/sup&gt;"},"properties":{"noteIndex":0},"schema":"https://github.com/citation-style-language/schema/raw/master/csl-citation.json"}</w:instrText>
      </w:r>
      <w:r w:rsidR="002539EF" w:rsidRPr="002539EF">
        <w:rPr>
          <w:rFonts w:ascii="Times New Roman" w:hAnsi="Times New Roman" w:cs="Times New Roman"/>
          <w:sz w:val="24"/>
          <w:szCs w:val="24"/>
          <w:lang w:val="en-US"/>
        </w:rPr>
        <w:fldChar w:fldCharType="separate"/>
      </w:r>
      <w:r w:rsidR="002539EF" w:rsidRPr="002539EF">
        <w:rPr>
          <w:rFonts w:ascii="Times New Roman" w:hAnsi="Times New Roman" w:cs="Times New Roman"/>
          <w:noProof/>
          <w:sz w:val="24"/>
          <w:szCs w:val="24"/>
          <w:lang w:val="en-US"/>
        </w:rPr>
        <w:t>65</w:t>
      </w:r>
      <w:r w:rsidR="002539EF"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Suppression of this pathway due to AMPK or PIK</w:t>
      </w:r>
      <w:r w:rsidR="00E537C0">
        <w:rPr>
          <w:rFonts w:ascii="Times New Roman" w:hAnsi="Times New Roman" w:cs="Times New Roman"/>
          <w:sz w:val="24"/>
          <w:szCs w:val="24"/>
          <w:lang w:val="en-US"/>
        </w:rPr>
        <w:t>FYVE</w:t>
      </w:r>
      <w:r w:rsidRPr="00405F18">
        <w:rPr>
          <w:rFonts w:ascii="Times New Roman" w:hAnsi="Times New Roman" w:cs="Times New Roman"/>
          <w:sz w:val="24"/>
          <w:szCs w:val="24"/>
          <w:lang w:val="en-US"/>
        </w:rPr>
        <w:t xml:space="preserve"> inhibition is associated with lysosomal dysfunction</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{"citationItems":[{"id":"ITEM-1","itemData":{"DOI":"10.1042/BST20150174","ISSN":"14708752","PMID":"26862203","abstract":"Phosphorylated phosphatidylinositol lipids are crucial for most eukaryotes and have diverse cellular functions. The low-abundance signalling lipid phosphatidylinositol 3,5-bisphosphate [PI(3,5)P2] is critical for cellular homoeostasis and adaptation to stimuli. A large complex of proteins that includes the lipid kinase Fab1 PIKfyve, dynamically regulates the levels of PI(3,5)P2. Deficiencies in PI(3,5)P2 are linked to some human diseases, especially those of the nervous system. Future studies will probably determine new, undiscovered regulatory roles of PI(3,5)P2, as well as uncover mechanistic insights into how PI(3,5)P2 contributes to normal human physiology.","author":[{"dropping-particle":"","family":"Jin","given":"Natsuko","non-dropping-particle":"","parse-names":false,"suffix":""},{"dropping-particle":"","family":"Lang","given":"Michael J.","non-dropping-particle":"","parse-names":false,"suffix":""},{"dropping-particle":"","family":"Weisman","given":"Lois S.","non-dropping-particle":"","parse-names":false,"suffix":""}],"container-title":"Biochemical Society Transactions","id":"ITEM-1","issued":{"date-parts":[["2016"]]},"page":"177-184","title":"Phosphatidylinositol 3,5-bisphosphate: Regulation of cellular events in space and time","type":"article-journal","volume":"44"},"uris":["http://www.mendeley.com/documents/?uuid=20570b90-976e-478f-9a7d-6aba7acca684"]}],"mendeley":{"formattedCitation":"&lt;sup&gt;66&lt;/sup&gt;","plainTextFormattedCitation":"66","previouslyFormattedCitation":"&lt;sup&gt;66&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66</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w:t>
      </w:r>
      <w:r w:rsidR="009B3DE7" w:rsidRPr="00405F18">
        <w:rPr>
          <w:rFonts w:ascii="Times New Roman" w:hAnsi="Times New Roman" w:cs="Times New Roman"/>
          <w:sz w:val="24"/>
          <w:szCs w:val="24"/>
          <w:lang w:val="en-US"/>
        </w:rPr>
        <w:t xml:space="preserve"> Additionally, AMPK ha</w:t>
      </w:r>
      <w:r w:rsidR="0012396A" w:rsidRPr="00405F18">
        <w:rPr>
          <w:rFonts w:ascii="Times New Roman" w:hAnsi="Times New Roman" w:cs="Times New Roman"/>
          <w:sz w:val="24"/>
          <w:szCs w:val="24"/>
          <w:lang w:val="en-US"/>
        </w:rPr>
        <w:t>s</w:t>
      </w:r>
      <w:r w:rsidR="009B3DE7" w:rsidRPr="00405F18">
        <w:rPr>
          <w:rFonts w:ascii="Times New Roman" w:hAnsi="Times New Roman" w:cs="Times New Roman"/>
          <w:sz w:val="24"/>
          <w:szCs w:val="24"/>
          <w:lang w:val="en-US"/>
        </w:rPr>
        <w:t xml:space="preserve"> been shown to </w:t>
      </w:r>
      <w:r w:rsidR="0022065C" w:rsidRPr="00405F18">
        <w:rPr>
          <w:rFonts w:ascii="Times New Roman" w:hAnsi="Times New Roman" w:cs="Times New Roman"/>
          <w:sz w:val="24"/>
          <w:szCs w:val="24"/>
          <w:lang w:val="en-US"/>
        </w:rPr>
        <w:t xml:space="preserve">promote the two </w:t>
      </w:r>
      <w:r w:rsidR="00C732B8">
        <w:rPr>
          <w:rFonts w:ascii="Times New Roman" w:hAnsi="Times New Roman" w:cs="Times New Roman"/>
          <w:sz w:val="24"/>
          <w:szCs w:val="24"/>
          <w:lang w:val="en-US"/>
        </w:rPr>
        <w:t>V</w:t>
      </w:r>
      <w:r w:rsidR="0022065C" w:rsidRPr="00405F18">
        <w:rPr>
          <w:rFonts w:ascii="Times New Roman" w:hAnsi="Times New Roman" w:cs="Times New Roman"/>
          <w:sz w:val="24"/>
          <w:szCs w:val="24"/>
          <w:lang w:val="en-US"/>
        </w:rPr>
        <w:t xml:space="preserve">-ATPase subunit </w:t>
      </w:r>
      <w:r w:rsidR="00215FC2" w:rsidRPr="00405F18">
        <w:rPr>
          <w:rFonts w:ascii="Times New Roman" w:hAnsi="Times New Roman" w:cs="Times New Roman"/>
          <w:sz w:val="24"/>
          <w:szCs w:val="24"/>
          <w:lang w:val="en-US"/>
        </w:rPr>
        <w:t xml:space="preserve">assembly </w:t>
      </w:r>
      <w:r w:rsidR="0022065C" w:rsidRPr="00405F18">
        <w:rPr>
          <w:rFonts w:ascii="Times New Roman" w:hAnsi="Times New Roman" w:cs="Times New Roman"/>
          <w:sz w:val="24"/>
          <w:szCs w:val="24"/>
          <w:lang w:val="en-US"/>
        </w:rPr>
        <w:t xml:space="preserve">and </w:t>
      </w:r>
      <w:r w:rsidR="00502CFF" w:rsidRPr="00405F18">
        <w:rPr>
          <w:rFonts w:ascii="Times New Roman" w:hAnsi="Times New Roman" w:cs="Times New Roman"/>
          <w:sz w:val="24"/>
          <w:szCs w:val="24"/>
          <w:lang w:val="en-US"/>
        </w:rPr>
        <w:t>subsequently the</w:t>
      </w:r>
      <w:r w:rsidR="00215FC2" w:rsidRPr="00405F18">
        <w:rPr>
          <w:rFonts w:ascii="Times New Roman" w:hAnsi="Times New Roman" w:cs="Times New Roman"/>
          <w:sz w:val="24"/>
          <w:szCs w:val="24"/>
          <w:lang w:val="en-US"/>
        </w:rPr>
        <w:t xml:space="preserve"> pumping activity </w:t>
      </w:r>
      <w:r w:rsidR="0022065C" w:rsidRPr="00405F18">
        <w:rPr>
          <w:rFonts w:ascii="Times New Roman" w:hAnsi="Times New Roman" w:cs="Times New Roman"/>
          <w:sz w:val="24"/>
          <w:szCs w:val="24"/>
          <w:lang w:val="en-US"/>
        </w:rPr>
        <w:t>in HEK293T cells</w:t>
      </w:r>
      <w:r w:rsidR="002539EF">
        <w:rPr>
          <w:rFonts w:ascii="Times New Roman" w:hAnsi="Times New Roman" w:cs="Times New Roman"/>
          <w:sz w:val="24"/>
          <w:szCs w:val="24"/>
          <w:lang w:val="en-US"/>
        </w:rPr>
        <w:t xml:space="preserve"> [</w:t>
      </w:r>
      <w:r w:rsidR="0022065C"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{"citationItems":[{"id":"ITEM-1","itemData":{"DOI":"10.1074/jbc.RA117.001327","ISSN":"1083351X","PMID":"29540478","abstract":"The vacuolar H-ATPase (V-ATPase) is an ATP-driven proton pump involved in many cellular processes. An important mechanism by which V-ATPase activity is controlled is the reversible assembly of its two domains, namely the peripheral V1 domain and the integral V0 domain. Although reversible assembly is conserved across all eukaryotic organisms, the signaling pathways controlling it have not been fully characterized. Here, we identify glucose starvation as a novel regulator of V-ATPase assembly in mammalian cells. During acute glucose starvation, the V-ATPase undergoes a rapid and reversible increase in assembly and activity as measured by lysosomal acidification. Because the V-ATPase has recently been implicated in the activation of AMP kinase (AMPK), a critical cellular energy sensor that is also activated upon glucose starvation, we compared the time course of AMPK activation and V-ATPase assembly upon glucose starvation. We observe that AMPK activation precedes increased V-ATPase activity. Moreover, the starvation-induced increase in V-ATPase activity and assembly are prevented by the AMPK inhibitor dorsomorphin. These results suggest that increased assembly and activity of the V-ATPase upon glucose starvation are dependent upon AMPK. We also find that the PI3K/Akt pathway, which has previously been implicated in controlling V-ATPase assembly in mammalian cells, also plays a role in the starvation-induced increase in V-ATPase assembly and activity. These studies thus identify a novel stimulus of V-ATPase assembly and a novel signaling pathway involved in regulating this process. The possible function of starvation-induced increase in lysosomal V-ATPase activity is discussed.","author":[{"dropping-particle":"","family":"McGuire","given":"Christina M.","non-dropping-particle":"","parse-names":false,"suffix":""},{"dropping-particle":"","family":"Forgac","given":"Michael","non-dropping-particle":"","parse-names":false,"suffix":""}],"container-title":"Journal of Biological Chemistry","id":"ITEM-1","issue":"23","issued":{"date-parts":[["2018"]]},"page":"9113-9123","publisher":"Â© 2018 by The American Society for Biochemistry and Molecular Biology, Inc.","title":"Glucose starvation increases V-ATPase assembly and activity in mammalian cells through AMP kinase and phosphatidylinositide 3-kinase/Akt signaling","type":"article-journal","volume":"293"},"uris":["http://www.mendeley.com/documents/?uuid=847e67d9-1fab-437f-b565-08f3cbaf303e"]}],"mendeley":{"formattedCitation":"&lt;sup&gt;67&lt;/sup&gt;","plainTextFormattedCitation":"67","previouslyFormattedCitation":"&lt;sup&gt;67&lt;/sup&gt;"},"properties":{"noteIndex":0},"schema":"https://github.com/citation-style-language/schema/raw/master/csl-citation.json"}</w:instrText>
      </w:r>
      <w:r w:rsidR="0022065C"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67</w:t>
      </w:r>
      <w:r w:rsidR="0022065C"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502CFF" w:rsidRPr="00405F18">
        <w:rPr>
          <w:rFonts w:ascii="Times New Roman" w:hAnsi="Times New Roman" w:cs="Times New Roman"/>
          <w:sz w:val="24"/>
          <w:szCs w:val="24"/>
          <w:lang w:val="en-US"/>
        </w:rPr>
        <w:t>.</w:t>
      </w:r>
      <w:r w:rsidR="00F8010B" w:rsidRPr="00405F18">
        <w:rPr>
          <w:rFonts w:ascii="Times New Roman" w:hAnsi="Times New Roman" w:cs="Times New Roman"/>
          <w:sz w:val="24"/>
          <w:szCs w:val="24"/>
          <w:lang w:val="en-US"/>
        </w:rPr>
        <w:t xml:space="preserve"> </w:t>
      </w:r>
      <w:r w:rsidR="00A62E52" w:rsidRPr="00405F18">
        <w:rPr>
          <w:rFonts w:ascii="Times New Roman" w:hAnsi="Times New Roman" w:cs="Times New Roman"/>
          <w:sz w:val="24"/>
          <w:szCs w:val="24"/>
          <w:lang w:val="en-US"/>
        </w:rPr>
        <w:t xml:space="preserve">These pathways </w:t>
      </w:r>
      <w:r w:rsidR="002353DA" w:rsidRPr="00405F18">
        <w:rPr>
          <w:rFonts w:ascii="Times New Roman" w:hAnsi="Times New Roman" w:cs="Times New Roman"/>
          <w:sz w:val="24"/>
          <w:szCs w:val="24"/>
          <w:lang w:val="en-US"/>
        </w:rPr>
        <w:t xml:space="preserve">provide </w:t>
      </w:r>
      <w:r w:rsidR="000E55E3" w:rsidRPr="00405F18">
        <w:rPr>
          <w:rFonts w:ascii="Times New Roman" w:hAnsi="Times New Roman" w:cs="Times New Roman"/>
          <w:sz w:val="24"/>
          <w:szCs w:val="24"/>
          <w:lang w:val="en-US"/>
        </w:rPr>
        <w:t>hypotheses</w:t>
      </w:r>
      <w:r w:rsidR="002353DA" w:rsidRPr="00405F18">
        <w:rPr>
          <w:rFonts w:ascii="Times New Roman" w:hAnsi="Times New Roman" w:cs="Times New Roman"/>
          <w:sz w:val="24"/>
          <w:szCs w:val="24"/>
          <w:lang w:val="en-US"/>
        </w:rPr>
        <w:t xml:space="preserve"> to decipher the </w:t>
      </w:r>
      <w:r w:rsidR="00A62E52" w:rsidRPr="00405F18">
        <w:rPr>
          <w:rFonts w:ascii="Times New Roman" w:hAnsi="Times New Roman" w:cs="Times New Roman"/>
          <w:sz w:val="24"/>
          <w:szCs w:val="24"/>
          <w:lang w:val="en-US"/>
        </w:rPr>
        <w:t xml:space="preserve">underlying events behind AMPK protection </w:t>
      </w:r>
      <w:r w:rsidR="002353DA" w:rsidRPr="00405F18">
        <w:rPr>
          <w:rFonts w:ascii="Times New Roman" w:hAnsi="Times New Roman" w:cs="Times New Roman"/>
          <w:sz w:val="24"/>
          <w:szCs w:val="24"/>
          <w:lang w:val="en-US"/>
        </w:rPr>
        <w:t xml:space="preserve">in PA-treated PTECs </w:t>
      </w:r>
      <w:r w:rsidR="00F8010B" w:rsidRPr="00405F18">
        <w:rPr>
          <w:rFonts w:ascii="Times New Roman" w:hAnsi="Times New Roman" w:cs="Times New Roman"/>
          <w:sz w:val="24"/>
          <w:szCs w:val="24"/>
          <w:lang w:val="en-US"/>
        </w:rPr>
        <w:t xml:space="preserve">which </w:t>
      </w:r>
      <w:r w:rsidR="00A62E52" w:rsidRPr="00405F18">
        <w:rPr>
          <w:rFonts w:ascii="Times New Roman" w:hAnsi="Times New Roman" w:cs="Times New Roman"/>
          <w:sz w:val="24"/>
          <w:szCs w:val="24"/>
          <w:lang w:val="en-US"/>
        </w:rPr>
        <w:t>will be assessed in future studies.</w:t>
      </w:r>
      <w:bookmarkEnd w:id="9"/>
    </w:p>
    <w:p w14:paraId="48C4D217" w14:textId="05232166" w:rsidR="00B74AC1" w:rsidRPr="00405F18" w:rsidRDefault="00F303C0" w:rsidP="002539EF">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The importance of lysosomal quality control in PTEC</w:t>
      </w:r>
      <w:r w:rsidR="003B7DEE"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has been recently shown with the activation of TFEB-mediated biogenesis and </w:t>
      </w:r>
      <w:proofErr w:type="spellStart"/>
      <w:r w:rsidRPr="00405F18">
        <w:rPr>
          <w:rFonts w:ascii="Times New Roman" w:hAnsi="Times New Roman" w:cs="Times New Roman"/>
          <w:sz w:val="24"/>
          <w:szCs w:val="24"/>
          <w:lang w:val="en-US"/>
        </w:rPr>
        <w:t>lysophagy</w:t>
      </w:r>
      <w:proofErr w:type="spellEnd"/>
      <w:r w:rsidRPr="00405F18">
        <w:rPr>
          <w:rFonts w:ascii="Times New Roman" w:hAnsi="Times New Roman" w:cs="Times New Roman"/>
          <w:sz w:val="24"/>
          <w:szCs w:val="24"/>
          <w:lang w:val="en-US"/>
        </w:rPr>
        <w:t xml:space="preserve"> in these cells of mice suffering from crystal nephropathy</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{"citationItems":[{"id":"ITEM-1","itemData":{"DOI":"10.1038/s41556-020-00583-9","ISSN":"14764679","PMID":"32989250","abstract":"Sensing and clearance of dysfunctional lysosomes is critical for cellular homeostasis. Here we show that transcription factor EB (TFEB)—a master transcriptional regulator of lysosomal biogenesis and autophagy—is activated during the lysosomal damage response, and its activation is dependent on the function of the ATG conjugation system, which mediates LC3 lipidation. In addition, lysosomal damage triggers LC3 recruitment on lysosomes, where lipidated LC3 interacts with the lysosomal calcium channel TRPML1, facilitating calcium efflux essential for TFEB activation. Furthermore, we demonstrate the presence and importance of this TFEB activation mechanism in kidneys in a mouse model of oxalate nephropathy accompanying lysosomal damage. A proximal tubule-specific TFEB-knockout mouse exhibited progression of kidney injury induced by oxalate crystals. Together, our results reveal unexpected mechanisms of TFEB activation by LC3 lipidation and their physiological relevance during the lysosomal damage response.","author":[{"dropping-particle":"","family":"Nakamura","given":"Shuhei","non-dropping-particle":"","parse-names":false,"suffix":""},{"dropping-particle":"","family":"Shigeyama","given":"Saki","non-dropping-particle":"","parse-names":false,"suffix":""},{"dropping-particle":"","family":"Minami","given":"Satoshi","non-dropping-particle":"","parse-names":false,"suffix":""},{"dropping-particle":"","family":"Shima","given":"Takayuki","non-dropping-particle":"","parse-names":false,"suffix":""},{"dropping-particle":"","family":"Akayama","given":"Shiori","non-dropping-particle":"","parse-names":false,"suffix":""},{"dropping-particle":"","family":"Matsuda","given":"Tomoki","non-dropping-particle":"","parse-names":false,"suffix":""},{"dropping-particle":"","family":"Esposito","given":"Alessandra","non-dropping-particle":"","parse-names":false,"suffix":""},{"dropping-particle":"","family":"Napolitano","given":"Gennaro","non-dropping-particle":"","parse-names":false,"suffix":""},{"dropping-particle":"","family":"Kuma","given":"Akiko","non-dropping-particle":"","parse-names":false,"suffix":""},{"dropping-particle":"","family":"Namba-Hamano","given":"Tomoko","non-dropping-particle":"","parse-names":false,"suffix":""},{"dropping-particle":"","family":"Nakamura","given":"Jun","non-dropping-particle":"","parse-names":false,"suffix":""},{"dropping-particle":"","family":"Yamamoto","given":"Kenichi","non-dropping-particle":"","parse-names":false,"suffix":""},{"dropping-particle":"","family":"Sasai","given":"Miwa","non-dropping-particle":"","parse-names":false,"suffix":""},{"dropping-particle":"","family":"Tokumura","given":"Ayaka","non-dropping-particle":"","parse-names":false,"suffix":""},{"dropping-particle":"","family":"Miyamoto","given":"Mika","non-dropping-particle":"","parse-names":false,"suffix":""},{"dropping-particle":"","family":"Oe","given":"Yukako","non-dropping-particle":"","parse-names":false,"suffix":""},{"dropping-particle":"","family":"Fujita","given":"Toshiharu","non-dropping-particle":"","parse-names":false,"suffix":""},{"dropping-particle":"","family":"Terawaki","given":"Seigo","non-dropping-particle":"","parse-names":false,"suffix":""},{"dropping-particle":"","family":"Takahashi","given":"Atsushi","non-dropping-particle":"","parse-names":false,"suffix":""},{"dropping-particle":"","family":"Hamasaki","given":"Maho","non-dropping-particle":"","parse-names":false,"suffix":""},{"dropping-particle":"","family":"Yamamoto","given":"Masahiro","non-dropping-particle":"","parse-names":false,"suffix":""},{"dropping-particle":"","family":"Okada","given":"Yukinori","non-dropping-particle":"","parse-names":false,"suffix":""},{"dropping-particle":"","family":"Komatsu","given":"Masaaki","non-dropping-particle":"","parse-names":false,"suffix":""},{"dropping-particle":"","family":"Nagai","given":"Takeharu","non-dropping-particle":"","parse-names":false,"suffix":""},{"dropping-particle":"","family":"Takabatake","given":"Yoshitsugu","non-dropping-particle":"","parse-names":false,"suffix":""},{"dropping-particle":"","family":"Xu","given":"Haoxing","non-dropping-particle":"","parse-names":false,"suffix":""},{"dropping-particle":"","family":"Isaka","given":"Yoshitaka","non-dropping-particle":"","parse-names":false,"suffix":""},{"dropping-particle":"","family":"Ballabio","given":"Andrea","non-dropping-particle":"","parse-names":false,"suffix":""},{"dropping-particle":"","family":"Yoshimori","given":"Tamotsu","non-dropping-particle":"","parse-names":false,"suffix":""}],"container-title":"Nature Cell Biology","id":"ITEM-1","issue":"10","issued":{"date-parts":[["2020"]]},"page":"1252-1263","publisher":"Springer US","title":"LC3 lipidation is essential for TFEB activation during the lysosomal damage response to kidney injury","type":"article-journal","volume":"22"},"uris":["http://www.mendeley.com/documents/?uuid=b953f872-c230-4663-afa7-62781188a8a5"]}],"mendeley":{"formattedCitation":"&lt;sup&gt;68&lt;/sup&gt;","plainTextFormattedCitation":"68","previouslyFormattedCitation":"&lt;sup&gt;68&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68</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Injured lysosomes </w:t>
      </w:r>
      <w:r w:rsidR="00F52DA5" w:rsidRPr="00405F18">
        <w:rPr>
          <w:rFonts w:ascii="Times New Roman" w:hAnsi="Times New Roman" w:cs="Times New Roman"/>
          <w:sz w:val="24"/>
          <w:szCs w:val="24"/>
          <w:lang w:val="en-US"/>
        </w:rPr>
        <w:t>a</w:t>
      </w:r>
      <w:r w:rsidRPr="00405F18">
        <w:rPr>
          <w:rFonts w:ascii="Times New Roman" w:hAnsi="Times New Roman" w:cs="Times New Roman"/>
          <w:sz w:val="24"/>
          <w:szCs w:val="24"/>
          <w:lang w:val="en-US"/>
        </w:rPr>
        <w:t>re observed in all renal tubular cells in the disease, but these pathways are only activated in proximal tubules.</w:t>
      </w:r>
      <w:r w:rsidR="00627052" w:rsidRPr="00405F18">
        <w:rPr>
          <w:rFonts w:ascii="Times New Roman" w:hAnsi="Times New Roman" w:cs="Times New Roman"/>
          <w:sz w:val="24"/>
          <w:szCs w:val="24"/>
          <w:lang w:val="en-US"/>
        </w:rPr>
        <w:t xml:space="preserve"> </w:t>
      </w:r>
      <w:r w:rsidR="00C11E2F" w:rsidRPr="00405F18">
        <w:rPr>
          <w:rFonts w:ascii="Times New Roman" w:hAnsi="Times New Roman" w:cs="Times New Roman"/>
          <w:sz w:val="24"/>
          <w:szCs w:val="24"/>
          <w:lang w:val="en-US"/>
        </w:rPr>
        <w:t xml:space="preserve">The present work characterized how these pathways are </w:t>
      </w:r>
      <w:r w:rsidR="00A37A2B" w:rsidRPr="00405F18">
        <w:rPr>
          <w:rFonts w:ascii="Times New Roman" w:hAnsi="Times New Roman" w:cs="Times New Roman"/>
          <w:sz w:val="24"/>
          <w:szCs w:val="24"/>
          <w:lang w:val="en-US"/>
        </w:rPr>
        <w:t>a</w:t>
      </w:r>
      <w:r w:rsidR="005F0F40">
        <w:rPr>
          <w:rFonts w:ascii="Times New Roman" w:hAnsi="Times New Roman" w:cs="Times New Roman"/>
          <w:sz w:val="24"/>
          <w:szCs w:val="24"/>
          <w:lang w:val="en-US"/>
        </w:rPr>
        <w:t>ffe</w:t>
      </w:r>
      <w:r w:rsidR="00A37A2B" w:rsidRPr="00405F18">
        <w:rPr>
          <w:rFonts w:ascii="Times New Roman" w:hAnsi="Times New Roman" w:cs="Times New Roman"/>
          <w:sz w:val="24"/>
          <w:szCs w:val="24"/>
          <w:lang w:val="en-US"/>
        </w:rPr>
        <w:t>cted i</w:t>
      </w:r>
      <w:r w:rsidR="00627052" w:rsidRPr="00405F18">
        <w:rPr>
          <w:rFonts w:ascii="Times New Roman" w:hAnsi="Times New Roman" w:cs="Times New Roman"/>
          <w:sz w:val="24"/>
          <w:szCs w:val="24"/>
          <w:lang w:val="en-US"/>
        </w:rPr>
        <w:t xml:space="preserve">n </w:t>
      </w:r>
      <w:r w:rsidR="007528D4" w:rsidRPr="00405F18">
        <w:rPr>
          <w:rFonts w:ascii="Times New Roman" w:hAnsi="Times New Roman" w:cs="Times New Roman"/>
          <w:sz w:val="24"/>
          <w:szCs w:val="24"/>
          <w:lang w:val="en-US"/>
        </w:rPr>
        <w:t xml:space="preserve">PTECs in </w:t>
      </w:r>
      <w:r w:rsidR="00A37A2B" w:rsidRPr="00405F18">
        <w:rPr>
          <w:rFonts w:ascii="Times New Roman" w:hAnsi="Times New Roman" w:cs="Times New Roman"/>
          <w:sz w:val="24"/>
          <w:szCs w:val="24"/>
          <w:lang w:val="en-US"/>
        </w:rPr>
        <w:t xml:space="preserve">response to lysosomal stress due to </w:t>
      </w:r>
      <w:proofErr w:type="spellStart"/>
      <w:r w:rsidR="00A37A2B" w:rsidRPr="00405F18">
        <w:rPr>
          <w:rFonts w:ascii="Times New Roman" w:hAnsi="Times New Roman" w:cs="Times New Roman"/>
          <w:sz w:val="24"/>
          <w:szCs w:val="24"/>
          <w:lang w:val="en-US"/>
        </w:rPr>
        <w:t>lipotoxicity</w:t>
      </w:r>
      <w:proofErr w:type="spellEnd"/>
      <w:r w:rsidR="00A37A2B" w:rsidRPr="00405F18">
        <w:rPr>
          <w:rFonts w:ascii="Times New Roman" w:hAnsi="Times New Roman" w:cs="Times New Roman"/>
          <w:sz w:val="24"/>
          <w:szCs w:val="24"/>
          <w:lang w:val="en-US"/>
        </w:rPr>
        <w:t xml:space="preserve">. First, </w:t>
      </w:r>
      <w:r w:rsidR="00B74AC1" w:rsidRPr="00405F18">
        <w:rPr>
          <w:rFonts w:ascii="Times New Roman" w:hAnsi="Times New Roman" w:cs="Times New Roman"/>
          <w:sz w:val="24"/>
          <w:szCs w:val="24"/>
          <w:lang w:val="en-US"/>
        </w:rPr>
        <w:t xml:space="preserve">the engagement of damaged organelles in </w:t>
      </w:r>
      <w:proofErr w:type="spellStart"/>
      <w:r w:rsidR="00B74AC1" w:rsidRPr="00405F18">
        <w:rPr>
          <w:rFonts w:ascii="Times New Roman" w:hAnsi="Times New Roman" w:cs="Times New Roman"/>
          <w:sz w:val="24"/>
          <w:szCs w:val="24"/>
          <w:lang w:val="en-US"/>
        </w:rPr>
        <w:t>lysophagy</w:t>
      </w:r>
      <w:proofErr w:type="spellEnd"/>
      <w:r w:rsidR="00B74AC1" w:rsidRPr="00405F18">
        <w:rPr>
          <w:rFonts w:ascii="Times New Roman" w:hAnsi="Times New Roman" w:cs="Times New Roman"/>
          <w:sz w:val="24"/>
          <w:szCs w:val="24"/>
          <w:lang w:val="en-US"/>
        </w:rPr>
        <w:t xml:space="preserve"> was not observed, and the reason behind the absence of recruitment of core autophagy regulators in response to </w:t>
      </w:r>
      <w:r w:rsidR="00946F1F">
        <w:rPr>
          <w:rFonts w:ascii="Times New Roman" w:hAnsi="Times New Roman" w:cs="Times New Roman"/>
          <w:sz w:val="24"/>
          <w:szCs w:val="24"/>
          <w:lang w:val="en-US"/>
        </w:rPr>
        <w:t>LGALS3</w:t>
      </w:r>
      <w:r w:rsidR="00B74AC1" w:rsidRPr="00405F18">
        <w:rPr>
          <w:rFonts w:ascii="Times New Roman" w:hAnsi="Times New Roman" w:cs="Times New Roman"/>
          <w:sz w:val="24"/>
          <w:szCs w:val="24"/>
          <w:lang w:val="en-US"/>
        </w:rPr>
        <w:t xml:space="preserve"> remains to be determined.</w:t>
      </w:r>
      <w:r w:rsidR="00271A63" w:rsidRPr="00405F18">
        <w:rPr>
          <w:rFonts w:ascii="Times New Roman" w:hAnsi="Times New Roman" w:cs="Times New Roman"/>
          <w:sz w:val="24"/>
          <w:szCs w:val="24"/>
          <w:lang w:val="en-US"/>
        </w:rPr>
        <w:t xml:space="preserve"> </w:t>
      </w:r>
      <w:r w:rsidR="003C1B97" w:rsidRPr="00405F18">
        <w:rPr>
          <w:rFonts w:ascii="Times New Roman" w:hAnsi="Times New Roman" w:cs="Times New Roman"/>
          <w:sz w:val="24"/>
          <w:szCs w:val="24"/>
          <w:lang w:val="en-US"/>
        </w:rPr>
        <w:t>However, it</w:t>
      </w:r>
      <w:r w:rsidR="000B12B9" w:rsidRPr="00405F18">
        <w:rPr>
          <w:rFonts w:ascii="Times New Roman" w:hAnsi="Times New Roman" w:cs="Times New Roman"/>
          <w:sz w:val="24"/>
          <w:szCs w:val="24"/>
          <w:lang w:val="en-US"/>
        </w:rPr>
        <w:t xml:space="preserve"> raises the question about the </w:t>
      </w:r>
      <w:r w:rsidR="008B6EDC" w:rsidRPr="00405F18">
        <w:rPr>
          <w:rFonts w:ascii="Times New Roman" w:hAnsi="Times New Roman" w:cs="Times New Roman"/>
          <w:sz w:val="24"/>
          <w:szCs w:val="24"/>
          <w:lang w:val="en-US"/>
        </w:rPr>
        <w:t>fate</w:t>
      </w:r>
      <w:r w:rsidR="000B12B9" w:rsidRPr="00405F18">
        <w:rPr>
          <w:rFonts w:ascii="Times New Roman" w:hAnsi="Times New Roman" w:cs="Times New Roman"/>
          <w:sz w:val="24"/>
          <w:szCs w:val="24"/>
          <w:lang w:val="en-US"/>
        </w:rPr>
        <w:t xml:space="preserve"> of these altered organelles</w:t>
      </w:r>
      <w:r w:rsidR="003C1B97" w:rsidRPr="00405F18">
        <w:rPr>
          <w:rFonts w:ascii="Times New Roman" w:hAnsi="Times New Roman" w:cs="Times New Roman"/>
          <w:sz w:val="24"/>
          <w:szCs w:val="24"/>
          <w:lang w:val="en-US"/>
        </w:rPr>
        <w:t xml:space="preserve">. </w:t>
      </w:r>
      <w:r w:rsidR="004210E5" w:rsidRPr="00405F18">
        <w:rPr>
          <w:rFonts w:ascii="Times New Roman" w:hAnsi="Times New Roman" w:cs="Times New Roman"/>
          <w:sz w:val="24"/>
          <w:szCs w:val="24"/>
          <w:lang w:val="en-US"/>
        </w:rPr>
        <w:t>Interestingly,</w:t>
      </w:r>
      <w:r w:rsidR="000B12B9" w:rsidRPr="00405F18">
        <w:rPr>
          <w:rFonts w:ascii="Times New Roman" w:hAnsi="Times New Roman" w:cs="Times New Roman"/>
          <w:sz w:val="24"/>
          <w:szCs w:val="24"/>
          <w:lang w:val="en-US"/>
        </w:rPr>
        <w:t xml:space="preserve"> no cell death was observed in PA-treated cells despite evidence of </w:t>
      </w:r>
      <w:r w:rsidR="003C1B97" w:rsidRPr="00405F18">
        <w:rPr>
          <w:rFonts w:ascii="Times New Roman" w:hAnsi="Times New Roman" w:cs="Times New Roman"/>
          <w:sz w:val="24"/>
          <w:szCs w:val="24"/>
          <w:lang w:val="en-US"/>
        </w:rPr>
        <w:t>LMP</w:t>
      </w:r>
      <w:r w:rsidR="004210E5" w:rsidRPr="00405F18">
        <w:rPr>
          <w:rFonts w:ascii="Times New Roman" w:hAnsi="Times New Roman" w:cs="Times New Roman"/>
          <w:sz w:val="24"/>
          <w:szCs w:val="24"/>
          <w:lang w:val="en-US"/>
        </w:rPr>
        <w:t>.</w:t>
      </w:r>
      <w:r w:rsidR="000B12B9" w:rsidRPr="00405F18">
        <w:rPr>
          <w:rFonts w:ascii="Times New Roman" w:hAnsi="Times New Roman" w:cs="Times New Roman"/>
          <w:sz w:val="24"/>
          <w:szCs w:val="24"/>
          <w:lang w:val="en-US"/>
        </w:rPr>
        <w:t xml:space="preserve"> Lysosomal exocytosis is an unconventional secretion process where lysosomes translocated from perinuclear area to fuse with plasma membrane thus releasing their content in the extracellular space</w:t>
      </w:r>
      <w:r w:rsidR="002539EF">
        <w:rPr>
          <w:rFonts w:ascii="Times New Roman" w:hAnsi="Times New Roman" w:cs="Times New Roman"/>
          <w:sz w:val="24"/>
          <w:szCs w:val="24"/>
          <w:lang w:val="en-US"/>
        </w:rPr>
        <w:t xml:space="preserve"> [</w:t>
      </w:r>
      <w:r w:rsidR="006D55C4"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{"citationItems":[{"id":"ITEM-1","itemData":{"DOI":"10.1194/jlr.R046896","ISSN":"15397262","PMID":"24668941","abstract":"Lysosomes are acidic compartments in mammalian cells that are primarily responsible for the breakdown of endocytic and autophagic substrates such as membranes, proteins, and lipids into their basic building blocks. Lysosomal storage diseases (LSDs) are a group of metabolic disorders caused by genetic mutations in lysosomal hydrolases required for catabolic degradation, mutations in lysosomal membrane proteins important for catabolite export or membrane traffi cking, or mutations in nonlysosomal proteins indirectly affecting these lysosomal functions. A hallmark feature of LSDs is the primary and secondary excessive accumulation of undigested lipids in the lysosome, which causes lysosomal dysfunction and cell death, and subsequently pathological symptoms in various tissues and organs. There are more than 60 types of LSDs, but an effective therapeutic strategy is still lacking for most of them. Several recent in vitro and in vivo studies suggest that induction of lysosomal exocytosis could effectively reduce the accumulation of the storage materials. Meanwhile, the molecular machinery and regulatory mechanisms for lysosomal exocytosis are beginning to be revealed. In this paper, we fi rst discuss these recent developments with the focus on the functional interactions between lipid storage and lysosomal exocytosis. We then discuss whether lysosomal exocytosis can be manipulated to correct lysosomal and cellular dysfunction caused by excessive lipid storage, providing a potentially general therapeutic approach for LSDs. © 2014 by the American Society for Biochemistry and Molecular Biology, Inc.","author":[{"dropping-particle":"","family":"Samie","given":"Mohammad Ali","non-dropping-particle":"","parse-names":false,"suffix":""},{"dropping-particle":"","family":"Xu","given":"Haoxing","non-dropping-particle":"","parse-names":false,"suffix":""}],"container-title":"Journal of Lipid Research","id":"ITEM-1","issue":"6","issued":{"date-parts":[["2014"]]},"page":"995-1009","publisher":"Â© 2014 ASBMB. Currently published by Elsevier Inc; originally published by American Society for Biochemistry and Molecular Biology.","title":"Thematic review series: Recent advances in the treatment of lysosomal storage diseases: Lysosomal exocytosis and lipid storage disorders","type":"article-journal","volume":"55"},"uris":["http://www.mendeley.com/documents/?uuid=69727bd5-df3a-4cd6-a9a1-bea8dd439d11"]}],"mendeley":{"formattedCitation":"&lt;sup&gt;69&lt;/sup&gt;","plainTextFormattedCitation":"69","previouslyFormattedCitation":"&lt;sup&gt;69&lt;/sup&gt;"},"properties":{"noteIndex":0},"schema":"https://github.com/citation-style-language/schema/raw/master/csl-citation.json"}</w:instrText>
      </w:r>
      <w:r w:rsidR="006D55C4"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69</w:t>
      </w:r>
      <w:r w:rsidR="006D55C4"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0B12B9" w:rsidRPr="00405F18">
        <w:rPr>
          <w:rFonts w:ascii="Times New Roman" w:hAnsi="Times New Roman" w:cs="Times New Roman"/>
          <w:sz w:val="24"/>
          <w:szCs w:val="24"/>
          <w:lang w:val="en-US"/>
        </w:rPr>
        <w:t>. This pathway was shown to be stimulated upon TFEB activation</w:t>
      </w:r>
      <w:r w:rsidR="002539EF">
        <w:rPr>
          <w:rFonts w:ascii="Times New Roman" w:hAnsi="Times New Roman" w:cs="Times New Roman"/>
          <w:sz w:val="24"/>
          <w:szCs w:val="24"/>
          <w:lang w:val="en-US"/>
        </w:rPr>
        <w:t xml:space="preserve"> [</w:t>
      </w:r>
      <w:r w:rsidR="00B3487B"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{"citationItems":[{"id":"ITEM-1","itemData":{"DOI":"10.1016/j.devcel.2011.07.016","ISSN":"15345807","PMID":"21889421","abstract":"Lysosomes are cellular organelles primarily involved in degradation and recycling processes. During lysosomal exocytosis, a Ca 2+-regulated process, lysosomes are docked to the cell surface and fuse with the plasma membrane (PM), emptying their content outside the cell. This process has an important role in secretion and PM repair. Here we show that the transcription factor EB (TFEB) regulates lysosomal exocytosis. TFEB increases the pool of lysosomes in the proximity of the PM and promotes their fusion with PM by raising intracellular Ca 2+ levels through the activation of the lysosomal Ca 2+ channel MCOLN1. Induction of lysosomal exocytosis by TFEB overexpression rescued pathologic storage and restored normal cellular morphology both in vitro and in vivo in lysosomal storage diseases (LSDs). Our data indicate that lysosomal exocytosis may directly modulate cellular clearance and suggest an alternative therapeutic strategy for disorders associated with intracellular storage. © 2011 Elsevier Inc.","author":[{"dropping-particle":"","family":"Medina","given":"Diego L.","non-dropping-particle":"","parse-names":false,"suffix":""},{"dropping-particle":"","family":"Fraldi","given":"Alessandro","non-dropping-particle":"","parse-names":false,"suffix":""},{"dropping-particle":"","family":"Bouche","given":"Valentina","non-dropping-particle":"","parse-names":false,"suffix":""},{"dropping-particle":"","family":"Annunziata","given":"Fabio","non-dropping-particle":"","parse-names":false,"suffix":""},{"dropping-particle":"","family":"Mansueto","given":"Gelsomina","non-dropping-particle":"","parse-names":false,"suffix":""},{"dropping-particle":"","family":"Spampanato","given":"Carmine","non-dropping-particle":"","parse-names":false,"suffix":""},{"dropping-particle":"","family":"Puri","given":"Claudia","non-dropping-particle":"","parse-names":false,"suffix":""},{"dropping-particle":"","family":"Pignata","given":"Antonella","non-dropping-particle":"","parse-names":false,"suffix":""},{"dropping-particle":"","family":"Martina","given":"Jose A.","non-dropping-particle":"","parse-names":false,"suffix":""},{"dropping-particle":"","family":"Sardiello","given":"Marco","non-dropping-particle":"","parse-names":false,"suffix":""},{"dropping-particle":"","family":"Palmieri","given":"Michela","non-dropping-particle":"","parse-names":false,"suffix":""},{"dropping-particle":"","family":"Polishchuk","given":"Roman","non-dropping-particle":"","parse-names":false,"suffix":""},{"dropping-particle":"","family":"Puertollano","given":"Rosa","non-dropping-particle":"","parse-names":false,"suffix":""},{"dropping-particle":"","family":"Ballabio","given":"Andrea","non-dropping-particle":"","parse-names":false,"suffix":""}],"container-title":"Developmental Cell","id":"ITEM-1","issue":"3","issued":{"date-parts":[["2011"]]},"page":"421-430","publisher":"Elsevier Inc.","title":"Transcriptional activation of lysosomal exocytosis promotes cellular clearance","type":"article-journal","volume":"21"},"uris":["http://www.mendeley.com/documents/?uuid=37fff110-aa64-42cc-9be1-533f85bdf120"]}],"mendeley":{"formattedCitation":"&lt;sup&gt;70&lt;/sup&gt;","plainTextFormattedCitation":"70","previouslyFormattedCitation":"&lt;sup&gt;70&lt;/sup&gt;"},"properties":{"noteIndex":0},"schema":"https://github.com/citation-style-language/schema/raw/master/csl-citation.json"}</w:instrText>
      </w:r>
      <w:r w:rsidR="00B3487B"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70</w:t>
      </w:r>
      <w:r w:rsidR="00B3487B"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0B12B9" w:rsidRPr="00405F18">
        <w:rPr>
          <w:rFonts w:ascii="Times New Roman" w:hAnsi="Times New Roman" w:cs="Times New Roman"/>
          <w:sz w:val="24"/>
          <w:szCs w:val="24"/>
          <w:lang w:val="en-US"/>
        </w:rPr>
        <w:t>, and activated in renal cells in a model of LSD</w:t>
      </w:r>
      <w:r w:rsidR="002539EF">
        <w:rPr>
          <w:rFonts w:ascii="Times New Roman" w:hAnsi="Times New Roman" w:cs="Times New Roman"/>
          <w:sz w:val="24"/>
          <w:szCs w:val="24"/>
          <w:lang w:val="en-US"/>
        </w:rPr>
        <w:t xml:space="preserve"> [</w:t>
      </w:r>
      <w:r w:rsidR="00000D54"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{"citationItems":[{"id":"ITEM-1","itemData":{"DOI":"10.1016/j.bbrc.2004.12.054","ISSN":"0006291X","PMID":"15649398","abstract":"Lysosomal exocytosis is a ubiquitously occurring process, which has a physiological role in repair of wounds of the plasma membrane. Lysosomal storage disorders are a group of more than 40 different diseases, which are characterized by intralysosomal storage of various substances. Metachromatic leukodystrophy is a lysosomal disease caused by the deficiency of arylsulfatase A, which results in the storage of the sphingolipid 3-O-sulfogalactosylceramide (sulfatide) in, e.g., oligodendrocytes and distal tubule kidney cells. Here we show that sulfatide storing cultured primary kidney cells of arylsulfatase A deficient mice can undergo calcium induced lysosomal exocytosis and that this results in the delivery of storage material to the culture medium. In metachromatic leukodystrophy extracellular sulfatide has been found in urine and cerebrospinal fluid. Lysosomal exocytosis may explain the presence of sulfatide in these body fluids. © 2004 Elsevier Inc. All rights reserved.","author":[{"dropping-particle":"","family":"Klein","given":"Diana","non-dropping-particle":"","parse-names":false,"suffix":""},{"dropping-particle":"","family":"Büssow","given":"Heinrich","non-dropping-particle":"","parse-names":false,"suffix":""},{"dropping-particle":"","family":"Fewou","given":"Simon Ngamli","non-dropping-particle":"","parse-names":false,"suffix":""},{"dropping-particle":"","family":"Gieselmann","given":"Volkmar","non-dropping-particle":"","parse-names":false,"suffix":""}],"container-title":"Biochemical and Biophysical Research Communications","id":"ITEM-1","issue":"3","issued":{"date-parts":[["2005"]]},"page":"663-667","title":"Exocytosis of storage material in a lysosomal disorder","type":"article-journal","volume":"327"},"uris":["http://www.mendeley.com/documents/?uuid=5c4da047-50dc-4493-b778-94854078a80f"]}],"mendeley":{"formattedCitation":"&lt;sup&gt;71&lt;/sup&gt;","plainTextFormattedCitation":"71","previouslyFormattedCitation":"&lt;sup&gt;71&lt;/sup&gt;"},"properties":{"noteIndex":0},"schema":"https://github.com/citation-style-language/schema/raw/master/csl-citation.json"}</w:instrText>
      </w:r>
      <w:r w:rsidR="00000D54"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71</w:t>
      </w:r>
      <w:r w:rsidR="00000D54"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0B12B9" w:rsidRPr="00405F18">
        <w:rPr>
          <w:rFonts w:ascii="Times New Roman" w:hAnsi="Times New Roman" w:cs="Times New Roman"/>
          <w:sz w:val="24"/>
          <w:szCs w:val="24"/>
          <w:lang w:val="en-US"/>
        </w:rPr>
        <w:t xml:space="preserve"> and is thus interesting to study in PTECs upon lipid challenge. </w:t>
      </w:r>
      <w:r w:rsidR="00BB6C3D" w:rsidRPr="00405F18">
        <w:rPr>
          <w:rFonts w:ascii="Times New Roman" w:hAnsi="Times New Roman" w:cs="Times New Roman"/>
          <w:sz w:val="24"/>
          <w:szCs w:val="24"/>
          <w:lang w:val="en-US"/>
        </w:rPr>
        <w:t>In contrast</w:t>
      </w:r>
      <w:r w:rsidR="00000D54" w:rsidRPr="00405F18">
        <w:rPr>
          <w:rFonts w:ascii="Times New Roman" w:hAnsi="Times New Roman" w:cs="Times New Roman"/>
          <w:sz w:val="24"/>
          <w:szCs w:val="24"/>
          <w:lang w:val="en-US"/>
        </w:rPr>
        <w:t xml:space="preserve"> to </w:t>
      </w:r>
      <w:proofErr w:type="spellStart"/>
      <w:r w:rsidR="00000D54" w:rsidRPr="00405F18">
        <w:rPr>
          <w:rFonts w:ascii="Times New Roman" w:hAnsi="Times New Roman" w:cs="Times New Roman"/>
          <w:sz w:val="24"/>
          <w:szCs w:val="24"/>
          <w:lang w:val="en-US"/>
        </w:rPr>
        <w:t>lysophagy</w:t>
      </w:r>
      <w:proofErr w:type="spellEnd"/>
      <w:r w:rsidR="00271A63" w:rsidRPr="00405F18">
        <w:rPr>
          <w:rFonts w:ascii="Times New Roman" w:hAnsi="Times New Roman" w:cs="Times New Roman"/>
          <w:sz w:val="24"/>
          <w:szCs w:val="24"/>
          <w:lang w:val="en-US"/>
        </w:rPr>
        <w:t xml:space="preserve">, </w:t>
      </w:r>
      <w:r w:rsidR="00BB6C3D" w:rsidRPr="00405F18">
        <w:rPr>
          <w:rFonts w:ascii="Times New Roman" w:hAnsi="Times New Roman" w:cs="Times New Roman"/>
          <w:sz w:val="24"/>
          <w:szCs w:val="24"/>
          <w:lang w:val="en-US"/>
        </w:rPr>
        <w:t xml:space="preserve">TFEB-mediated lysosomal biogenesis </w:t>
      </w:r>
      <w:r w:rsidR="00271A63" w:rsidRPr="00405F18">
        <w:rPr>
          <w:rFonts w:ascii="Times New Roman" w:hAnsi="Times New Roman" w:cs="Times New Roman"/>
          <w:sz w:val="24"/>
          <w:szCs w:val="24"/>
          <w:lang w:val="en-US"/>
        </w:rPr>
        <w:t>was highlighted in PA-treated PTEC</w:t>
      </w:r>
      <w:r w:rsidR="003C1B97" w:rsidRPr="00405F18">
        <w:rPr>
          <w:rFonts w:ascii="Times New Roman" w:hAnsi="Times New Roman" w:cs="Times New Roman"/>
          <w:sz w:val="24"/>
          <w:szCs w:val="24"/>
          <w:lang w:val="en-US"/>
        </w:rPr>
        <w:t>s</w:t>
      </w:r>
      <w:r w:rsidR="00271A63" w:rsidRPr="00405F18">
        <w:rPr>
          <w:rFonts w:ascii="Times New Roman" w:hAnsi="Times New Roman" w:cs="Times New Roman"/>
          <w:sz w:val="24"/>
          <w:szCs w:val="24"/>
          <w:lang w:val="en-US"/>
        </w:rPr>
        <w:t xml:space="preserve"> which likely aim to replace the pool of dysfunctional organelles. It is in line with data of our group showing enhanced expression of lysosomal genes in kidneys of obese male mice</w:t>
      </w:r>
      <w:r w:rsidR="002539EF">
        <w:rPr>
          <w:rFonts w:ascii="Times New Roman" w:hAnsi="Times New Roman" w:cs="Times New Roman"/>
          <w:sz w:val="24"/>
          <w:szCs w:val="24"/>
          <w:lang w:val="en-US"/>
        </w:rPr>
        <w:t xml:space="preserve"> [</w:t>
      </w:r>
      <w:r w:rsidR="00271A63" w:rsidRPr="002539EF">
        <w:rPr>
          <w:rFonts w:ascii="Times New Roman" w:hAnsi="Times New Roman" w:cs="Times New Roman"/>
          <w:sz w:val="24"/>
          <w:szCs w:val="24"/>
          <w:lang w:val="en-US"/>
        </w:rPr>
        <w:fldChar w:fldCharType="begin" w:fldLock="1"/>
      </w:r>
      <w:r w:rsidR="00271A63" w:rsidRPr="002539EF">
        <w:rPr>
          <w:rFonts w:ascii="Times New Roman" w:hAnsi="Times New Roman" w:cs="Times New Roman"/>
          <w:sz w:val="24"/>
          <w:szCs w:val="24"/>
          <w:lang w:val="en-US"/>
        </w:rPr>
        <w:instrText>ADDIN CSL_CITATION {"citationItems":[{"id":"ITEM-1","itemData":{"DOI":"10.1186/s13293-023-00543-6","ISSN":"20426410","abstract":"Background: Sex differences have been observed in the development of obesity-related complications in patients, as well as in animal models. Accumulating evidence suggests that sex-dependent regulation of lipid metabolism contributes to sex-specific physiopathology. Lipid accumulation in the renal tissue has been shown to play a major role in the pathogenesis of obesity-induced kidney injury. Unlike in males, the physiopathology of the disease has been poorly described in females, particularly regarding the lipid metabolism adaptation. Methods: Here, we compared the lipid profile changes in the kidneys of female and male mice fed a high-fat diet (HFD) or low-fat diet (LFD) by lipidomics and correlated them with pathophysiological changes. Results: We showed that HFD-fed female mice were protected from insulin resistance and hepatic steatosis compared to males, despite similar body weight gains. Females were particularly protected from renal dysfunction, oxidative stress, and tubular lipid accumulation. Both HFD-fed male and female mice presented dyslipidemia, but lipidomic analysis highlighted differential renal lipid profiles. While both sexes presented similar neutral lipid accumulation with obesity, only males showed increased levels of ceramides and phospholipids. Remarkably, protection against renal lipotoxicity in females was associated with enhanced renal adiponectin and AMP-activated protein kinase (AMPK) signaling. Circulating adiponectin and its renal receptor levels were significantly lower in obese males, but were maintained in females. This observation correlated with the maintained basal AMPK activity in obese female mice compared to males. Conclusions: Collectively, our findings suggest that female mice are protected from obesity-induced renal dysfunction and lipotoxicity associated with enhanced adiponectin and AMPK signaling compared to males.","author":[{"dropping-particle":"","family":"Juszczak","given":"Florian","non-dropping-particle":"","parse-names":false,"suffix":""},{"dropping-particle":"","family":"Pierre","given":"Louise","non-dropping-particle":"","parse-names":false,"suffix":""},{"dropping-particle":"","family":"Decarnoncle","given":"Morgane","non-dropping-particle":"","parse-names":false,"suffix":""},{"dropping-particle":"","family":"Jadot","given":"Inès","non-dropping-particle":"","parse-names":false,"suffix":""},{"dropping-particle":"","family":"Martin","given":"Blanche","non-dropping-particle":"","parse-names":false,"suffix":""},{"dropping-particle":"","family":"Botton","given":"Olivia","non-dropping-particle":"","parse-names":false,"suffix":""},{"dropping-particle":"","family":"Caron","given":"Nathalie","non-dropping-particle":"","parse-names":false,"suffix":""},{"dropping-particle":"","family":"Dehairs","given":"Jonas","non-dropping-particle":"","parse-names":false,"suffix":""},{"dropping-particle":"V.","family":"Swinnen","given":"Johannes","non-dropping-particle":"","parse-names":false,"suffix":""},{"dropping-particle":"","family":"Declèves","given":"Anne Emilie","non-dropping-particle":"","parse-names":false,"suffix":""}],"container-title":"Biology of Sex Differences","id":"ITEM-1","issue":"1","issued":{"date-parts":[["2023"]]},"page":"1-18","publisher":"BioMed Central","title":"Sex differences in obesity-induced renal lipid accumulation revealed by lipidomics: a role of adiponectin/AMPK axis","type":"article-journal","volume":"14"},"uris":["http://www.mendeley.com/documents/?uuid=5d2fc9a0-dc2c-4c63-9bad-f98b59aa7e76"]}],"mendeley":{"formattedCitation":"&lt;sup&gt;18&lt;/sup&gt;","plainTextFormattedCitation":"18","previouslyFormattedCitation":"&lt;sup&gt;18&lt;/sup&gt;"},"properties":{"noteIndex":0},"schema":"https://github.com/citation-style-language/schema/raw/master/csl-citation.json"}</w:instrText>
      </w:r>
      <w:r w:rsidR="00271A63" w:rsidRPr="002539EF">
        <w:rPr>
          <w:rFonts w:ascii="Times New Roman" w:hAnsi="Times New Roman" w:cs="Times New Roman"/>
          <w:sz w:val="24"/>
          <w:szCs w:val="24"/>
          <w:lang w:val="en-US"/>
        </w:rPr>
        <w:fldChar w:fldCharType="separate"/>
      </w:r>
      <w:r w:rsidR="00271A63" w:rsidRPr="002539EF">
        <w:rPr>
          <w:rFonts w:ascii="Times New Roman" w:hAnsi="Times New Roman" w:cs="Times New Roman"/>
          <w:noProof/>
          <w:sz w:val="24"/>
          <w:szCs w:val="24"/>
          <w:lang w:val="en-US"/>
        </w:rPr>
        <w:t>18</w:t>
      </w:r>
      <w:r w:rsidR="00271A63"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271A63" w:rsidRPr="00405F18">
        <w:rPr>
          <w:rFonts w:ascii="Times New Roman" w:hAnsi="Times New Roman" w:cs="Times New Roman"/>
          <w:sz w:val="24"/>
          <w:szCs w:val="24"/>
          <w:lang w:val="en-US"/>
        </w:rPr>
        <w:t xml:space="preserve"> and with the observation of TFEB translocation in macrophages of obese mice and </w:t>
      </w:r>
      <w:r w:rsidR="00271A63" w:rsidRPr="00405F18">
        <w:rPr>
          <w:rFonts w:ascii="Times New Roman" w:hAnsi="Times New Roman" w:cs="Times New Roman"/>
          <w:i/>
          <w:iCs/>
          <w:sz w:val="24"/>
          <w:szCs w:val="24"/>
          <w:lang w:val="en-US"/>
        </w:rPr>
        <w:t>in vitro</w:t>
      </w:r>
      <w:r w:rsidR="00271A63" w:rsidRPr="00405F18">
        <w:rPr>
          <w:rFonts w:ascii="Times New Roman" w:hAnsi="Times New Roman" w:cs="Times New Roman"/>
          <w:sz w:val="24"/>
          <w:szCs w:val="24"/>
          <w:lang w:val="en-US"/>
        </w:rPr>
        <w:t xml:space="preserve"> upon PA treatment</w:t>
      </w:r>
      <w:r w:rsidR="002539EF">
        <w:rPr>
          <w:rFonts w:ascii="Times New Roman" w:hAnsi="Times New Roman" w:cs="Times New Roman"/>
          <w:sz w:val="24"/>
          <w:szCs w:val="24"/>
          <w:lang w:val="en-US"/>
        </w:rPr>
        <w:t xml:space="preserve"> [</w:t>
      </w:r>
      <w:r w:rsidR="00271A63" w:rsidRPr="002539EF">
        <w:rPr>
          <w:rFonts w:ascii="Times New Roman" w:hAnsi="Times New Roman" w:cs="Times New Roman"/>
          <w:sz w:val="24"/>
          <w:szCs w:val="24"/>
          <w:lang w:val="en-US"/>
        </w:rPr>
        <w:fldChar w:fldCharType="begin" w:fldLock="1"/>
      </w:r>
      <w:r w:rsidR="004A2BDA" w:rsidRPr="002539EF">
        <w:rPr>
          <w:rFonts w:ascii="Times New Roman" w:hAnsi="Times New Roman" w:cs="Times New Roman"/>
          <w:sz w:val="24"/>
          <w:szCs w:val="24"/>
          <w:lang w:val="en-US"/>
        </w:rPr>
        <w:instrText>ADDIN CSL_CITATION {"citationItems":[{"id":"ITEM-1","itemData":{"DOI":"10.1038/s42255-021-00368-w","ISSN":"25225812","PMID":"33758420","abstract":"TFEB, a key regulator of lysosomal biogenesis and autophagy, is induced not only by nutritional deficiency but also by organelle stress. Here, we find that Tfeb and its downstream genes are upregulated together with lipofuscin accumulation in adipose tissue macrophages (ATMs) of obese mice or humans, suggestive of obesity-associated lysosomal dysfunction/stress in ATMs. Macrophage-specific TFEB-overexpressing mice display complete abrogation of diet-induced obesity, adipose tissue inflammation and insulin resistance, which is independent of autophagy, but dependent on TFEB-induced GDF15 expression. Palmitic acid induces Gdf15 expression through lysosomal Ca2+-mediated TFEB nuclear translocation in response to lysosomal stress. In contrast, mice fed a high-fat diet with macrophage-specific Tfeb deletion show aggravated adipose tissue inflammation and insulin resistance, accompanied by reduced GDF15 level. Finally, we observe activation of TFEB–GDF15 in ATMs of obese humans as a consequence of lysosomal stress. These findings highlight the importance of the TFEB–GDF15 axis as a lysosomal stress response in obesity or metabolic syndrome and as a promising therapeutic target for treatment of these conditions.","author":[{"dropping-particle":"","family":"Kim","given":"Jinyoung","non-dropping-particle":"","parse-names":false,"suffix":""},{"dropping-particle":"","family":"Kim","given":"Seong Hun","non-dropping-particle":"","parse-names":false,"suffix":""},{"dropping-particle":"","family":"Kang","given":"Hyereen","non-dropping-particle":"","parse-names":false,"suffix":""},{"dropping-particle":"","family":"Lee","given":"Soyeon","non-dropping-particle":"","parse-names":false,"suffix":""},{"dropping-particle":"","family":"Park","given":"Shi Young","non-dropping-particle":"","parse-names":false,"suffix":""},{"dropping-particle":"","family":"Cho","given":"Yoonil","non-dropping-particle":"","parse-names":false,"suffix":""},{"dropping-particle":"","family":"Lim","given":"Yu Mi","non-dropping-particle":"","parse-names":false,"suffix":""},{"dropping-particle":"","family":"Ahn","given":"Ji Woong","non-dropping-particle":"","parse-names":false,"suffix":""},{"dropping-particle":"","family":"Kim","given":"Young Hwan","non-dropping-particle":"","parse-names":false,"suffix":""},{"dropping-particle":"","family":"Chung","given":"Seungsoo","non-dropping-particle":"","parse-names":false,"suffix":""},{"dropping-particle":"","family":"Choi","given":"Cheol Soo","non-dropping-particle":"","parse-names":false,"suffix":""},{"dropping-particle":"","family":"Jang","given":"Yeon Jin","non-dropping-particle":"","parse-names":false,"suffix":""},{"dropping-particle":"","family":"Park","given":"Hye Soon","non-dropping-particle":"","parse-names":false,"suffix":""},{"dropping-particle":"","family":"Heo","given":"Yoonseok","non-dropping-particle":"","parse-names":false,"suffix":""},{"dropping-particle":"","family":"Kim","given":"Kook Hwan","non-dropping-particle":"","parse-names":false,"suffix":""},{"dropping-particle":"","family":"Lee","given":"Myung Shik","non-dropping-particle":"","parse-names":false,"suffix":""}],"container-title":"Nature Metabolism","id":"ITEM-1","issue":"3","issued":{"date-parts":[["2021"]]},"page":"410-427","publisher":"Springer US","title":"TFEB–GDF15 axis protects against obesity and insulin resistance as a lysosomal stress response","type":"article-journal","volume":"3"},"uris":["http://www.mendeley.com/documents/?uuid=dc454b5b-0ed3-4bcd-ad82-93f5faa2b7e8"]}],"mendeley":{"formattedCitation":"&lt;sup&gt;53&lt;/sup&gt;","plainTextFormattedCitation":"53","previouslyFormattedCitation":"&lt;sup&gt;53&lt;/sup&gt;"},"properties":{"noteIndex":0},"schema":"https://github.com/citation-style-language/schema/raw/master/csl-citation.json"}</w:instrText>
      </w:r>
      <w:r w:rsidR="00271A63" w:rsidRPr="002539EF">
        <w:rPr>
          <w:rFonts w:ascii="Times New Roman" w:hAnsi="Times New Roman" w:cs="Times New Roman"/>
          <w:sz w:val="24"/>
          <w:szCs w:val="24"/>
          <w:lang w:val="en-US"/>
        </w:rPr>
        <w:fldChar w:fldCharType="separate"/>
      </w:r>
      <w:r w:rsidR="00000D54" w:rsidRPr="002539EF">
        <w:rPr>
          <w:rFonts w:ascii="Times New Roman" w:hAnsi="Times New Roman" w:cs="Times New Roman"/>
          <w:noProof/>
          <w:sz w:val="24"/>
          <w:szCs w:val="24"/>
          <w:lang w:val="en-US"/>
        </w:rPr>
        <w:t>53</w:t>
      </w:r>
      <w:r w:rsidR="00271A63"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271A63" w:rsidRPr="00405F18">
        <w:rPr>
          <w:rFonts w:ascii="Times New Roman" w:hAnsi="Times New Roman" w:cs="Times New Roman"/>
          <w:sz w:val="24"/>
          <w:szCs w:val="24"/>
          <w:lang w:val="en-US"/>
        </w:rPr>
        <w:t xml:space="preserve">. The present work showed that after 24 h, new lysosomes were formed in PA-treated PTEC as evidenced by increased mRNA </w:t>
      </w:r>
      <w:r w:rsidR="00271A63" w:rsidRPr="00405F18">
        <w:rPr>
          <w:rFonts w:ascii="Times New Roman" w:hAnsi="Times New Roman" w:cs="Times New Roman"/>
          <w:sz w:val="24"/>
          <w:szCs w:val="24"/>
          <w:lang w:val="en-US"/>
        </w:rPr>
        <w:lastRenderedPageBreak/>
        <w:t>expression and LAMP1 protein abundance, but pH ratio indicated neutral lysosomal pH at that time, suggesting that these lysosomes did not display acidic pH and were thus likely unfunctional.</w:t>
      </w:r>
      <w:r w:rsidR="00A95891" w:rsidRPr="00405F18">
        <w:rPr>
          <w:rFonts w:ascii="Times New Roman" w:hAnsi="Times New Roman" w:cs="Times New Roman"/>
          <w:sz w:val="24"/>
          <w:szCs w:val="24"/>
          <w:lang w:val="en-US"/>
        </w:rPr>
        <w:t xml:space="preserve"> </w:t>
      </w:r>
    </w:p>
    <w:p w14:paraId="6BC22FBA" w14:textId="222D2148" w:rsidR="00F006E4" w:rsidRPr="00405F18" w:rsidRDefault="00F303C0" w:rsidP="002539EF">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In view of the inability</w:t>
      </w:r>
      <w:r w:rsidR="00C701E0" w:rsidRPr="00405F18">
        <w:rPr>
          <w:rFonts w:ascii="Times New Roman" w:hAnsi="Times New Roman" w:cs="Times New Roman"/>
          <w:sz w:val="24"/>
          <w:szCs w:val="24"/>
          <w:lang w:val="en-US"/>
        </w:rPr>
        <w:t xml:space="preserve"> of the biogenesis</w:t>
      </w:r>
      <w:r w:rsidRPr="00405F18">
        <w:rPr>
          <w:rFonts w:ascii="Times New Roman" w:hAnsi="Times New Roman" w:cs="Times New Roman"/>
          <w:sz w:val="24"/>
          <w:szCs w:val="24"/>
          <w:lang w:val="en-US"/>
        </w:rPr>
        <w:t xml:space="preserve"> to restore lysosomal acidification secondary to PA, we wonder</w:t>
      </w:r>
      <w:r w:rsidR="00C701E0"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about the effect on PTEC function. We showed that PA exposure quickly altered protein endocytosis, which is a direct consequence of lysosomal </w:t>
      </w:r>
      <w:r w:rsidR="004A316B" w:rsidRPr="00405F18">
        <w:rPr>
          <w:rFonts w:ascii="Times New Roman" w:hAnsi="Times New Roman" w:cs="Times New Roman"/>
          <w:sz w:val="24"/>
          <w:szCs w:val="24"/>
          <w:lang w:val="en-US"/>
        </w:rPr>
        <w:t>alkalinization</w:t>
      </w:r>
      <w:r w:rsidRPr="00405F18">
        <w:rPr>
          <w:rFonts w:ascii="Times New Roman" w:hAnsi="Times New Roman" w:cs="Times New Roman"/>
          <w:sz w:val="24"/>
          <w:szCs w:val="24"/>
          <w:lang w:val="en-US"/>
        </w:rPr>
        <w:t xml:space="preserve">, as </w:t>
      </w:r>
      <w:r w:rsidR="000E316D"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afilomycin A</w:t>
      </w:r>
      <w:r w:rsidRPr="00FF7085">
        <w:rPr>
          <w:rFonts w:ascii="Times New Roman" w:hAnsi="Times New Roman" w:cs="Times New Roman"/>
          <w:sz w:val="24"/>
          <w:szCs w:val="24"/>
          <w:vertAlign w:val="subscript"/>
          <w:lang w:val="en-US"/>
        </w:rPr>
        <w:t>1</w:t>
      </w:r>
      <w:r w:rsidRPr="00405F18">
        <w:rPr>
          <w:rFonts w:ascii="Times New Roman" w:hAnsi="Times New Roman" w:cs="Times New Roman"/>
          <w:sz w:val="24"/>
          <w:szCs w:val="24"/>
          <w:lang w:val="en-US"/>
        </w:rPr>
        <w:t xml:space="preserve"> itself recapitulate</w:t>
      </w:r>
      <w:r w:rsidR="00F52DA5"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xml:space="preserve"> the phenotype. Other factors </w:t>
      </w:r>
      <w:r w:rsidR="00B43D93" w:rsidRPr="00405F18">
        <w:rPr>
          <w:rFonts w:ascii="Times New Roman" w:hAnsi="Times New Roman" w:cs="Times New Roman"/>
          <w:sz w:val="24"/>
          <w:szCs w:val="24"/>
          <w:lang w:val="en-US"/>
        </w:rPr>
        <w:t>might</w:t>
      </w:r>
      <w:r w:rsidRPr="00405F18">
        <w:rPr>
          <w:rFonts w:ascii="Times New Roman" w:hAnsi="Times New Roman" w:cs="Times New Roman"/>
          <w:sz w:val="24"/>
          <w:szCs w:val="24"/>
          <w:lang w:val="en-US"/>
        </w:rPr>
        <w:t xml:space="preserve"> nevertheless contribute because PA-treated PTEC</w:t>
      </w:r>
      <w:r w:rsidR="003B7DEE"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display</w:t>
      </w:r>
      <w:r w:rsidR="00F52DA5"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a down regulation of </w:t>
      </w:r>
      <w:proofErr w:type="spellStart"/>
      <w:r w:rsidR="00B10DAA" w:rsidRPr="00405F18">
        <w:rPr>
          <w:rFonts w:ascii="Times New Roman" w:hAnsi="Times New Roman" w:cs="Times New Roman"/>
          <w:i/>
          <w:iCs/>
          <w:sz w:val="24"/>
          <w:szCs w:val="24"/>
          <w:lang w:val="en-US"/>
        </w:rPr>
        <w:t>Cubn</w:t>
      </w:r>
      <w:proofErr w:type="spellEnd"/>
      <w:r w:rsidRPr="00405F18">
        <w:rPr>
          <w:rFonts w:ascii="Times New Roman" w:hAnsi="Times New Roman" w:cs="Times New Roman"/>
          <w:sz w:val="24"/>
          <w:szCs w:val="24"/>
          <w:lang w:val="en-US"/>
        </w:rPr>
        <w:t xml:space="preserve"> and </w:t>
      </w:r>
      <w:r w:rsidRPr="00405F18">
        <w:rPr>
          <w:rFonts w:ascii="Times New Roman" w:hAnsi="Times New Roman" w:cs="Times New Roman"/>
          <w:i/>
          <w:iCs/>
          <w:sz w:val="24"/>
          <w:szCs w:val="24"/>
          <w:lang w:val="en-US"/>
        </w:rPr>
        <w:t xml:space="preserve">Lrp2 </w:t>
      </w:r>
      <w:r w:rsidRPr="00405F18">
        <w:rPr>
          <w:rFonts w:ascii="Times New Roman" w:hAnsi="Times New Roman" w:cs="Times New Roman"/>
          <w:sz w:val="24"/>
          <w:szCs w:val="24"/>
          <w:lang w:val="en-US"/>
        </w:rPr>
        <w:t xml:space="preserve">after 24 h, so receptors might become limiting. </w:t>
      </w:r>
      <w:r w:rsidR="004A316B" w:rsidRPr="00405F18">
        <w:rPr>
          <w:rFonts w:ascii="Times New Roman" w:hAnsi="Times New Roman" w:cs="Times New Roman"/>
          <w:sz w:val="24"/>
          <w:szCs w:val="24"/>
          <w:lang w:val="en-US"/>
        </w:rPr>
        <w:t>R</w:t>
      </w:r>
      <w:r w:rsidRPr="00405F18">
        <w:rPr>
          <w:rFonts w:ascii="Times New Roman" w:hAnsi="Times New Roman" w:cs="Times New Roman"/>
          <w:sz w:val="24"/>
          <w:szCs w:val="24"/>
          <w:lang w:val="en-US"/>
        </w:rPr>
        <w:t>educed protein endocytosis m</w:t>
      </w:r>
      <w:r w:rsidR="009179F2" w:rsidRPr="00405F18">
        <w:rPr>
          <w:rFonts w:ascii="Times New Roman" w:hAnsi="Times New Roman" w:cs="Times New Roman"/>
          <w:sz w:val="24"/>
          <w:szCs w:val="24"/>
          <w:lang w:val="en-US"/>
        </w:rPr>
        <w:t>ight</w:t>
      </w:r>
      <w:r w:rsidRPr="00405F18">
        <w:rPr>
          <w:rFonts w:ascii="Times New Roman" w:hAnsi="Times New Roman" w:cs="Times New Roman"/>
          <w:sz w:val="24"/>
          <w:szCs w:val="24"/>
          <w:lang w:val="en-US"/>
        </w:rPr>
        <w:t xml:space="preserve"> be seen as a protective mechanism to avoid putting additional burden on ineffective lysosome and/or m</w:t>
      </w:r>
      <w:r w:rsidR="009179F2" w:rsidRPr="00405F18">
        <w:rPr>
          <w:rFonts w:ascii="Times New Roman" w:hAnsi="Times New Roman" w:cs="Times New Roman"/>
          <w:sz w:val="24"/>
          <w:szCs w:val="24"/>
          <w:lang w:val="en-US"/>
        </w:rPr>
        <w:t>ight</w:t>
      </w:r>
      <w:r w:rsidRPr="00405F18">
        <w:rPr>
          <w:rFonts w:ascii="Times New Roman" w:hAnsi="Times New Roman" w:cs="Times New Roman"/>
          <w:sz w:val="24"/>
          <w:szCs w:val="24"/>
          <w:lang w:val="en-US"/>
        </w:rPr>
        <w:t xml:space="preserve"> be a manifestation of a broader event such as PTEC fate change. Indeed, epithelial cells m</w:t>
      </w:r>
      <w:r w:rsidR="009179F2" w:rsidRPr="00405F18">
        <w:rPr>
          <w:rFonts w:ascii="Times New Roman" w:hAnsi="Times New Roman" w:cs="Times New Roman"/>
          <w:sz w:val="24"/>
          <w:szCs w:val="24"/>
          <w:lang w:val="en-US"/>
        </w:rPr>
        <w:t>ight</w:t>
      </w:r>
      <w:r w:rsidRPr="00405F18">
        <w:rPr>
          <w:rFonts w:ascii="Times New Roman" w:hAnsi="Times New Roman" w:cs="Times New Roman"/>
          <w:sz w:val="24"/>
          <w:szCs w:val="24"/>
          <w:lang w:val="en-US"/>
        </w:rPr>
        <w:t xml:space="preserve"> undergo dedifferentiation characterized by the loss of </w:t>
      </w:r>
      <w:proofErr w:type="spellStart"/>
      <w:r w:rsidRPr="00405F18">
        <w:rPr>
          <w:rFonts w:ascii="Times New Roman" w:hAnsi="Times New Roman" w:cs="Times New Roman"/>
          <w:sz w:val="24"/>
          <w:szCs w:val="24"/>
          <w:lang w:val="en-US"/>
        </w:rPr>
        <w:t>apico</w:t>
      </w:r>
      <w:proofErr w:type="spellEnd"/>
      <w:r w:rsidRPr="00405F18">
        <w:rPr>
          <w:rFonts w:ascii="Times New Roman" w:hAnsi="Times New Roman" w:cs="Times New Roman"/>
          <w:sz w:val="24"/>
          <w:szCs w:val="24"/>
          <w:lang w:val="en-US"/>
        </w:rPr>
        <w:t>-basal polarity markers</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{"citationItems":[{"id":"ITEM-1","itemData":{"DOI":"10.1172/JCI200320530.For","author":[{"dropping-particle":"","family":"Kalluri","given":"Raghu","non-dropping-particle":"","parse-names":false,"suffix":""},{"dropping-particle":"","family":"Neilson","given":"Eric G","non-dropping-particle":"","parse-names":false,"suffix":""},{"dropping-particle":"","family":"Kalluri","given":"Raghu","non-dropping-particle":"","parse-names":false,"suffix":""},{"dropping-particle":"","family":"Neilson","given":"Eric G","non-dropping-particle":"","parse-names":false,"suffix":""}],"id":"ITEM-1","issue":"12","issued":{"date-parts":[["2003"]]},"page":"1776-1784","title":"Epithelial-mesenchymal transition and its implications for fibrosis Find the latest version : Epithelial-mesenchymal transition and its implications for fibrosis","type":"article-journal","volume":"112"},"uris":["http://www.mendeley.com/documents/?uuid=b4b63e2c-9210-418a-8f40-6dd980b5a707"]}],"mendeley":{"formattedCitation":"&lt;sup&gt;72&lt;/sup&gt;","plainTextFormattedCitation":"72","previouslyFormattedCitation":"&lt;sup&gt;72&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72</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Alterations of gene expression that determine the PTEC profile </w:t>
      </w:r>
      <w:r w:rsidR="00F52DA5" w:rsidRPr="00405F18">
        <w:rPr>
          <w:rFonts w:ascii="Times New Roman" w:hAnsi="Times New Roman" w:cs="Times New Roman"/>
          <w:sz w:val="24"/>
          <w:szCs w:val="24"/>
          <w:lang w:val="en-US"/>
        </w:rPr>
        <w:t>we</w:t>
      </w:r>
      <w:r w:rsidRPr="00405F18">
        <w:rPr>
          <w:rFonts w:ascii="Times New Roman" w:hAnsi="Times New Roman" w:cs="Times New Roman"/>
          <w:sz w:val="24"/>
          <w:szCs w:val="24"/>
          <w:lang w:val="en-US"/>
        </w:rPr>
        <w:t xml:space="preserve">re highlighted secondary to PA with reduced expression of </w:t>
      </w:r>
      <w:r w:rsidRPr="00405F18">
        <w:rPr>
          <w:rFonts w:ascii="Times New Roman" w:hAnsi="Times New Roman" w:cs="Times New Roman"/>
          <w:i/>
          <w:iCs/>
          <w:sz w:val="24"/>
          <w:szCs w:val="24"/>
          <w:lang w:val="en-US"/>
        </w:rPr>
        <w:t>Lrp2, A</w:t>
      </w:r>
      <w:r w:rsidR="000C58B4">
        <w:rPr>
          <w:rFonts w:ascii="Times New Roman" w:hAnsi="Times New Roman" w:cs="Times New Roman"/>
          <w:i/>
          <w:iCs/>
          <w:sz w:val="24"/>
          <w:szCs w:val="24"/>
          <w:lang w:val="en-US"/>
        </w:rPr>
        <w:t>qp</w:t>
      </w:r>
      <w:r w:rsidRPr="00405F18">
        <w:rPr>
          <w:rFonts w:ascii="Times New Roman" w:hAnsi="Times New Roman" w:cs="Times New Roman"/>
          <w:i/>
          <w:iCs/>
          <w:sz w:val="24"/>
          <w:szCs w:val="24"/>
          <w:lang w:val="en-US"/>
        </w:rPr>
        <w:t>1, Slc5</w:t>
      </w:r>
      <w:r w:rsidR="004A5C43">
        <w:rPr>
          <w:rFonts w:ascii="Times New Roman" w:hAnsi="Times New Roman" w:cs="Times New Roman"/>
          <w:i/>
          <w:iCs/>
          <w:sz w:val="24"/>
          <w:szCs w:val="24"/>
          <w:lang w:val="en-US"/>
        </w:rPr>
        <w:t>a</w:t>
      </w:r>
      <w:r w:rsidRPr="00405F18">
        <w:rPr>
          <w:rFonts w:ascii="Times New Roman" w:hAnsi="Times New Roman" w:cs="Times New Roman"/>
          <w:i/>
          <w:iCs/>
          <w:sz w:val="24"/>
          <w:szCs w:val="24"/>
          <w:lang w:val="en-US"/>
        </w:rPr>
        <w:t>2, C</w:t>
      </w:r>
      <w:r w:rsidR="000C58B4">
        <w:rPr>
          <w:rFonts w:ascii="Times New Roman" w:hAnsi="Times New Roman" w:cs="Times New Roman"/>
          <w:i/>
          <w:iCs/>
          <w:sz w:val="24"/>
          <w:szCs w:val="24"/>
          <w:lang w:val="en-US"/>
        </w:rPr>
        <w:t>dh</w:t>
      </w:r>
      <w:r w:rsidRPr="00405F18">
        <w:rPr>
          <w:rFonts w:ascii="Times New Roman" w:hAnsi="Times New Roman" w:cs="Times New Roman"/>
          <w:i/>
          <w:iCs/>
          <w:sz w:val="24"/>
          <w:szCs w:val="24"/>
          <w:lang w:val="en-US"/>
        </w:rPr>
        <w:t>16</w:t>
      </w:r>
      <w:r w:rsidRPr="00405F18">
        <w:rPr>
          <w:rFonts w:ascii="Times New Roman" w:hAnsi="Times New Roman" w:cs="Times New Roman"/>
          <w:sz w:val="24"/>
          <w:szCs w:val="24"/>
          <w:lang w:val="en-US"/>
        </w:rPr>
        <w:t xml:space="preserve"> and </w:t>
      </w:r>
      <w:r w:rsidRPr="00405F18">
        <w:rPr>
          <w:rFonts w:ascii="Times New Roman" w:hAnsi="Times New Roman" w:cs="Times New Roman"/>
          <w:i/>
          <w:iCs/>
          <w:sz w:val="24"/>
          <w:szCs w:val="24"/>
          <w:lang w:val="en-US"/>
        </w:rPr>
        <w:t>Epb41</w:t>
      </w:r>
      <w:r w:rsidR="000C58B4">
        <w:rPr>
          <w:rFonts w:ascii="Times New Roman" w:hAnsi="Times New Roman" w:cs="Times New Roman"/>
          <w:i/>
          <w:iCs/>
          <w:sz w:val="24"/>
          <w:szCs w:val="24"/>
          <w:lang w:val="en-US"/>
        </w:rPr>
        <w:t>l5</w:t>
      </w:r>
      <w:r w:rsidRPr="00405F18">
        <w:rPr>
          <w:rFonts w:ascii="Times New Roman" w:hAnsi="Times New Roman" w:cs="Times New Roman"/>
          <w:sz w:val="24"/>
          <w:szCs w:val="24"/>
          <w:lang w:val="en-US"/>
        </w:rPr>
        <w:t xml:space="preserve"> after 24 h. </w:t>
      </w:r>
      <w:r w:rsidR="004A316B" w:rsidRPr="00405F18">
        <w:rPr>
          <w:rFonts w:ascii="Times New Roman" w:hAnsi="Times New Roman" w:cs="Times New Roman"/>
          <w:sz w:val="24"/>
          <w:szCs w:val="24"/>
          <w:lang w:val="en-US"/>
        </w:rPr>
        <w:t xml:space="preserve">Interestingly, impaired protein endocytosis and some of these expression changes are reported in LSD (genetic </w:t>
      </w:r>
      <w:proofErr w:type="spellStart"/>
      <w:r w:rsidR="00E11F6C">
        <w:rPr>
          <w:rFonts w:ascii="Times New Roman" w:hAnsi="Times New Roman" w:cs="Times New Roman"/>
          <w:i/>
          <w:iCs/>
          <w:sz w:val="24"/>
          <w:szCs w:val="24"/>
          <w:lang w:val="en-US"/>
        </w:rPr>
        <w:t>Ctns</w:t>
      </w:r>
      <w:proofErr w:type="spellEnd"/>
      <w:r w:rsidR="00E11F6C">
        <w:rPr>
          <w:rFonts w:ascii="Times New Roman" w:hAnsi="Times New Roman" w:cs="Times New Roman"/>
          <w:i/>
          <w:iCs/>
          <w:sz w:val="24"/>
          <w:szCs w:val="24"/>
          <w:lang w:val="en-US"/>
        </w:rPr>
        <w:t xml:space="preserve"> </w:t>
      </w:r>
      <w:r w:rsidR="00E11F6C">
        <w:rPr>
          <w:rFonts w:ascii="Times New Roman" w:hAnsi="Times New Roman" w:cs="Times New Roman"/>
          <w:sz w:val="24"/>
          <w:szCs w:val="24"/>
          <w:lang w:val="en-US"/>
        </w:rPr>
        <w:t>[</w:t>
      </w:r>
      <w:proofErr w:type="spellStart"/>
      <w:r w:rsidR="004A316B" w:rsidRPr="00405F18">
        <w:rPr>
          <w:rFonts w:ascii="Times New Roman" w:hAnsi="Times New Roman" w:cs="Times New Roman"/>
          <w:sz w:val="24"/>
          <w:szCs w:val="24"/>
          <w:lang w:val="en-US"/>
        </w:rPr>
        <w:t>cystinosin</w:t>
      </w:r>
      <w:proofErr w:type="spellEnd"/>
      <w:r w:rsidR="00E11F6C">
        <w:rPr>
          <w:rFonts w:ascii="Times New Roman" w:hAnsi="Times New Roman" w:cs="Times New Roman"/>
          <w:sz w:val="24"/>
          <w:szCs w:val="24"/>
          <w:lang w:val="en-US"/>
        </w:rPr>
        <w:t>, lysosomal cystine transporter]</w:t>
      </w:r>
      <w:r w:rsidR="004A316B" w:rsidRPr="00405F18">
        <w:rPr>
          <w:rFonts w:ascii="Times New Roman" w:hAnsi="Times New Roman" w:cs="Times New Roman"/>
          <w:sz w:val="24"/>
          <w:szCs w:val="24"/>
          <w:lang w:val="en-US"/>
        </w:rPr>
        <w:t xml:space="preserve"> deletion) on cultured PTECs and validated in mice</w:t>
      </w:r>
      <w:r w:rsidR="002539EF">
        <w:rPr>
          <w:rFonts w:ascii="Times New Roman" w:hAnsi="Times New Roman" w:cs="Times New Roman"/>
          <w:sz w:val="24"/>
          <w:szCs w:val="24"/>
          <w:lang w:val="en-US"/>
        </w:rPr>
        <w:t xml:space="preserve"> [</w:t>
      </w:r>
      <w:r w:rsidR="004A316B"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{"citationItems":[{"id":"ITEM-1","itemData":{"DOI":"10.1038/s41467-023-39261-3","ISSN":"20411723","PMID":"37452023","abstract":"Differentiation is critical for cell fate decisions, but the signals involved remain unclear. The kidney proximal tubule (PT) cells reabsorb disulphide-rich proteins through endocytosis, generating cystine via lysosomal proteolysis. Here we report that defective cystine mobilization from lysosomes through cystinosin (CTNS), which is mutated in cystinosis, diverts PT cells towards growth and proliferation, disrupting their functions. Mechanistically, cystine storage stimulates Ragulator-Rag GTPase-dependent recruitment of mechanistic target of rapamycin complex 1 (mTORC1) and its constitutive activation. Re-introduction of CTNS restores nutrient-dependent regulation of mTORC1 in knockout cells, whereas cell-permeant analogues of L-cystine, accumulating within lysosomes, render wild-type cells resistant to nutrient withdrawal. Therapeutic mTORC1 inhibition corrects lysosome and differentiation downstream of cystine storage, and phenotypes in preclinical models of cystinosis. Thus, cystine serves as a lysosomal signal that tailors mTORC1 and metabolism to direct epithelial cell fate decisions. These results identify mechanisms and therapeutic targets for dysregulated homeostasis in cystinosis.","author":[{"dropping-particle":"","family":"Berquez","given":"Marine","non-dropping-particle":"","parse-names":false,"suffix":""},{"dropping-particle":"","family":"Chen","given":"Zhiyong","non-dropping-particle":"","parse-names":false,"suffix":""},{"dropping-particle":"","family":"Festa","given":"Beatrice Paola","non-dropping-particle":"","parse-names":false,"suffix":""},{"dropping-particle":"","family":"Krohn","given":"Patrick","non-dropping-particle":"","parse-names":false,"suffix":""},{"dropping-particle":"","family":"Keller","given":"Svenja Aline","non-dropping-particle":"","parse-names":false,"suffix":""},{"dropping-particle":"","family":"Parolo","given":"Silvia","non-dropping-particle":"","parse-names":false,"suffix":""},{"dropping-particle":"","family":"Korzinkin","given":"Mikhail","non-dropping-particle":"","parse-names":false,"suffix":""},{"dropping-particle":"","family":"Gaponova","given":"Anna","non-dropping-particle":"","parse-names":false,"suffix":""},{"dropping-particle":"","family":"Laczko","given":"Endre","non-dropping-particle":"","parse-names":false,"suffix":""},{"dropping-particle":"","family":"Domenici","given":"Enrico","non-dropping-particle":"","parse-names":false,"suffix":""},{"dropping-particle":"","family":"Devuyst","given":"Olivier","non-dropping-particle":"","parse-names":false,"suffix":""},{"dropping-particle":"","family":"Luciani","given":"Alessandro","non-dropping-particle":"","parse-names":false,"suffix":""}],"container-title":"Nature Communications","id":"ITEM-1","issue":"1","issued":{"date-parts":[["2023"]]},"publisher":"Springer US","title":"Lysosomal cystine export regulates mTORC1 signaling to guide kidney epithelial cell fate specialization","type":"article-journal","volume":"14"},"uris":["http://www.mendeley.com/documents/?uuid=99599317-f7ea-468e-9afb-7dcae72590a1"]}],"mendeley":{"formattedCitation":"&lt;sup&gt;64&lt;/sup&gt;","plainTextFormattedCitation":"64","previouslyFormattedCitation":"&lt;sup&gt;64&lt;/sup&gt;"},"properties":{"noteIndex":0},"schema":"https://github.com/citation-style-language/schema/raw/master/csl-citation.json"}</w:instrText>
      </w:r>
      <w:r w:rsidR="004A316B" w:rsidRPr="002539EF">
        <w:rPr>
          <w:rFonts w:ascii="Times New Roman" w:hAnsi="Times New Roman" w:cs="Times New Roman"/>
          <w:sz w:val="24"/>
          <w:szCs w:val="24"/>
          <w:lang w:val="en-US"/>
        </w:rPr>
        <w:fldChar w:fldCharType="separate"/>
      </w:r>
      <w:r w:rsidR="004A316B" w:rsidRPr="002539EF">
        <w:rPr>
          <w:rFonts w:ascii="Times New Roman" w:hAnsi="Times New Roman" w:cs="Times New Roman"/>
          <w:noProof/>
          <w:sz w:val="24"/>
          <w:szCs w:val="24"/>
          <w:lang w:val="en-US"/>
        </w:rPr>
        <w:t>64</w:t>
      </w:r>
      <w:r w:rsidR="004A316B"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004A316B" w:rsidRPr="00405F18">
        <w:rPr>
          <w:rFonts w:ascii="Times New Roman" w:hAnsi="Times New Roman" w:cs="Times New Roman"/>
          <w:sz w:val="24"/>
          <w:szCs w:val="24"/>
          <w:lang w:val="en-US"/>
        </w:rPr>
        <w:t xml:space="preserve">. This disease is associated with </w:t>
      </w:r>
      <w:r w:rsidR="00344A78">
        <w:rPr>
          <w:rFonts w:ascii="Times New Roman" w:hAnsi="Times New Roman" w:cs="Times New Roman"/>
          <w:sz w:val="24"/>
          <w:szCs w:val="24"/>
          <w:lang w:val="en-US"/>
        </w:rPr>
        <w:t>M</w:t>
      </w:r>
      <w:r w:rsidR="004A316B" w:rsidRPr="00405F18">
        <w:rPr>
          <w:rFonts w:ascii="Times New Roman" w:hAnsi="Times New Roman" w:cs="Times New Roman"/>
          <w:sz w:val="24"/>
          <w:szCs w:val="24"/>
          <w:lang w:val="en-US"/>
        </w:rPr>
        <w:t xml:space="preserve">TORC1 hyperactivation while rapamycin reverses PTEC dedifferentiation. It is in line with data of this study showing that AMPK activation prevented PA-induced defective protein reabsorption </w:t>
      </w:r>
      <w:r w:rsidR="00611157" w:rsidRPr="00405F18">
        <w:rPr>
          <w:rFonts w:ascii="Times New Roman" w:hAnsi="Times New Roman" w:cs="Times New Roman"/>
          <w:sz w:val="24"/>
          <w:szCs w:val="24"/>
          <w:lang w:val="en-US"/>
        </w:rPr>
        <w:t>(</w:t>
      </w:r>
      <w:r w:rsidR="004A316B" w:rsidRPr="00405F18">
        <w:rPr>
          <w:rFonts w:ascii="Times New Roman" w:hAnsi="Times New Roman" w:cs="Times New Roman"/>
          <w:sz w:val="24"/>
          <w:szCs w:val="24"/>
          <w:lang w:val="en-US"/>
        </w:rPr>
        <w:t>by maintaining lysosomal acidification</w:t>
      </w:r>
      <w:r w:rsidR="00611157" w:rsidRPr="00405F18">
        <w:rPr>
          <w:rFonts w:ascii="Times New Roman" w:hAnsi="Times New Roman" w:cs="Times New Roman"/>
          <w:sz w:val="24"/>
          <w:szCs w:val="24"/>
          <w:lang w:val="en-US"/>
        </w:rPr>
        <w:t xml:space="preserve">) and preserved differentiation marker </w:t>
      </w:r>
      <w:proofErr w:type="gramStart"/>
      <w:r w:rsidR="00611157" w:rsidRPr="00405F18">
        <w:rPr>
          <w:rFonts w:ascii="Times New Roman" w:hAnsi="Times New Roman" w:cs="Times New Roman"/>
          <w:sz w:val="24"/>
          <w:szCs w:val="24"/>
          <w:lang w:val="en-US"/>
        </w:rPr>
        <w:t>expression</w:t>
      </w:r>
      <w:proofErr w:type="gramEnd"/>
      <w:r w:rsidR="00611157" w:rsidRPr="00405F18">
        <w:rPr>
          <w:rFonts w:ascii="Times New Roman" w:hAnsi="Times New Roman" w:cs="Times New Roman"/>
          <w:sz w:val="24"/>
          <w:szCs w:val="24"/>
          <w:lang w:val="en-US"/>
        </w:rPr>
        <w:t xml:space="preserve"> </w:t>
      </w:r>
      <w:r w:rsidR="00954EC0" w:rsidRPr="00405F18">
        <w:rPr>
          <w:rFonts w:ascii="Times New Roman" w:hAnsi="Times New Roman" w:cs="Times New Roman"/>
          <w:sz w:val="24"/>
          <w:szCs w:val="24"/>
          <w:lang w:val="en-US"/>
        </w:rPr>
        <w:t>such as</w:t>
      </w:r>
      <w:r w:rsidR="00611157" w:rsidRPr="00405F18">
        <w:rPr>
          <w:rFonts w:ascii="Times New Roman" w:hAnsi="Times New Roman" w:cs="Times New Roman"/>
          <w:sz w:val="24"/>
          <w:szCs w:val="24"/>
          <w:lang w:val="en-US"/>
        </w:rPr>
        <w:t xml:space="preserve"> </w:t>
      </w:r>
      <w:r w:rsidR="00611157" w:rsidRPr="00405F18">
        <w:rPr>
          <w:rFonts w:ascii="Times New Roman" w:hAnsi="Times New Roman" w:cs="Times New Roman"/>
          <w:i/>
          <w:iCs/>
          <w:sz w:val="24"/>
          <w:szCs w:val="24"/>
          <w:lang w:val="en-US"/>
        </w:rPr>
        <w:t>Lrp2</w:t>
      </w:r>
      <w:r w:rsidR="00611157" w:rsidRPr="00405F18">
        <w:rPr>
          <w:rFonts w:ascii="Times New Roman" w:hAnsi="Times New Roman" w:cs="Times New Roman"/>
          <w:sz w:val="24"/>
          <w:szCs w:val="24"/>
          <w:lang w:val="en-US"/>
        </w:rPr>
        <w:t xml:space="preserve">, </w:t>
      </w:r>
      <w:r w:rsidR="00611157" w:rsidRPr="00405F18">
        <w:rPr>
          <w:rFonts w:ascii="Times New Roman" w:hAnsi="Times New Roman" w:cs="Times New Roman"/>
          <w:i/>
          <w:iCs/>
          <w:sz w:val="24"/>
          <w:szCs w:val="24"/>
          <w:lang w:val="en-US"/>
        </w:rPr>
        <w:t>A</w:t>
      </w:r>
      <w:r w:rsidR="005F0F40">
        <w:rPr>
          <w:rFonts w:ascii="Times New Roman" w:hAnsi="Times New Roman" w:cs="Times New Roman"/>
          <w:i/>
          <w:iCs/>
          <w:sz w:val="24"/>
          <w:szCs w:val="24"/>
          <w:lang w:val="en-US"/>
        </w:rPr>
        <w:t>qp</w:t>
      </w:r>
      <w:r w:rsidR="00611157" w:rsidRPr="00405F18">
        <w:rPr>
          <w:rFonts w:ascii="Times New Roman" w:hAnsi="Times New Roman" w:cs="Times New Roman"/>
          <w:i/>
          <w:iCs/>
          <w:sz w:val="24"/>
          <w:szCs w:val="24"/>
          <w:lang w:val="en-US"/>
        </w:rPr>
        <w:t>1</w:t>
      </w:r>
      <w:r w:rsidR="00611157" w:rsidRPr="00405F18">
        <w:rPr>
          <w:rFonts w:ascii="Times New Roman" w:hAnsi="Times New Roman" w:cs="Times New Roman"/>
          <w:sz w:val="24"/>
          <w:szCs w:val="24"/>
          <w:lang w:val="en-US"/>
        </w:rPr>
        <w:t xml:space="preserve"> and </w:t>
      </w:r>
      <w:r w:rsidR="00611157" w:rsidRPr="00405F18">
        <w:rPr>
          <w:rFonts w:ascii="Times New Roman" w:hAnsi="Times New Roman" w:cs="Times New Roman"/>
          <w:i/>
          <w:iCs/>
          <w:sz w:val="24"/>
          <w:szCs w:val="24"/>
          <w:lang w:val="en-US"/>
        </w:rPr>
        <w:t>Slc5</w:t>
      </w:r>
      <w:r w:rsidR="004A5C43">
        <w:rPr>
          <w:rFonts w:ascii="Times New Roman" w:hAnsi="Times New Roman" w:cs="Times New Roman"/>
          <w:i/>
          <w:iCs/>
          <w:sz w:val="24"/>
          <w:szCs w:val="24"/>
          <w:lang w:val="en-US"/>
        </w:rPr>
        <w:t>a</w:t>
      </w:r>
      <w:r w:rsidR="00611157" w:rsidRPr="00405F18">
        <w:rPr>
          <w:rFonts w:ascii="Times New Roman" w:hAnsi="Times New Roman" w:cs="Times New Roman"/>
          <w:i/>
          <w:iCs/>
          <w:sz w:val="24"/>
          <w:szCs w:val="24"/>
          <w:lang w:val="en-US"/>
        </w:rPr>
        <w:t>2</w:t>
      </w:r>
      <w:r w:rsidR="00611157"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Epithelial fate changes have long been associated with external factors including pro-inflammatory mediators</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{"citationItems":[{"id":"ITEM-1","itemData":{"DOI":"10.1172/JCI0215518","ISSN":"00219738","PMID":"12163453","abstract":"Interstitial fibroblasts are principal effector cells of organ fibrosis in kidneys, lungs, and liver. While some view fibroblasts in adult tissues as nothing more than primitive mesenchymal cells surviving embryologic development, they differ from mesenchymal cells in their unique expression of fibroblast-specific protein-1 (FSP1). This difference raises questions about their origin. Using bone marrow chimeras and transgenic reporter mice, we show here that interstitial kidney fibroblasts derive from two sources. A small number of FSP1+, CD34- fibroblasts migrate to normal interstitial spaces from bone marrow. More surprisingly, however, FSP1+ fibroblasts also arise in large numbers by local epithelial-mesenchymal transition (EMT) during renal fibrogenesis. Both populations of fibroblasts express collagen type I and expand by cell division during tissue fibrosis. Our findings suggest that a substantial number of organ fibroblasts appear through a novel reversal in the direction of epithelial cell fate. As a general mechanism, this change in fate highlights the potential plasticity of differentiated cells in adult tissues under pathologic conditions.","author":[{"dropping-particle":"","family":"Iwano","given":"Masayuki","non-dropping-particle":"","parse-names":false,"suffix":""},{"dropping-particle":"","family":"Plieth","given":"David","non-dropping-particle":"","parse-names":false,"suffix":""},{"dropping-particle":"","family":"Danoff","given":"Theodore M.","non-dropping-particle":"","parse-names":false,"suffix":""},{"dropping-particle":"","family":"Xue","given":"Chengsen","non-dropping-particle":"","parse-names":false,"suffix":""},{"dropping-particle":"","family":"Okada","given":"Hirokazu","non-dropping-particle":"","parse-names":false,"suffix":""},{"dropping-particle":"","family":"Neilson","given":"Eric G.","non-dropping-particle":"","parse-names":false,"suffix":""}],"container-title":"Journal of Clinical Investigation","id":"ITEM-1","issue":"3","issued":{"date-parts":[["2002"]]},"page":"341-350","title":"Evidence that fibroblasts derive from epithelium during tissue fibrosis","type":"article-journal","volume":"110"},"uris":["http://www.mendeley.com/documents/?uuid=3115e1e7-c51b-46b8-bf1e-4f311660e343"]}],"mendeley":{"formattedCitation":"&lt;sup&gt;73&lt;/sup&gt;","plainTextFormattedCitation":"73","previouslyFormattedCitation":"&lt;sup&gt;73&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73</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In accordance with literature, we show</w:t>
      </w:r>
      <w:r w:rsidR="00AC3AC0"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that lysosomal dysfunction is a kind of injury able to modulate epithelial cell destiny</w:t>
      </w:r>
      <w:r w:rsidR="00611157" w:rsidRPr="00405F18">
        <w:rPr>
          <w:rFonts w:ascii="Times New Roman" w:hAnsi="Times New Roman" w:cs="Times New Roman"/>
          <w:sz w:val="24"/>
          <w:szCs w:val="24"/>
          <w:lang w:val="en-US"/>
        </w:rPr>
        <w:t>. Even if t</w:t>
      </w:r>
      <w:r w:rsidR="008D388B" w:rsidRPr="00405F18">
        <w:rPr>
          <w:rFonts w:ascii="Times New Roman" w:hAnsi="Times New Roman" w:cs="Times New Roman"/>
          <w:sz w:val="24"/>
          <w:szCs w:val="24"/>
          <w:lang w:val="en-US"/>
        </w:rPr>
        <w:t xml:space="preserve">he underlying mechanisms are far </w:t>
      </w:r>
      <w:proofErr w:type="gramStart"/>
      <w:r w:rsidR="008D388B" w:rsidRPr="00405F18">
        <w:rPr>
          <w:rFonts w:ascii="Times New Roman" w:hAnsi="Times New Roman" w:cs="Times New Roman"/>
          <w:sz w:val="24"/>
          <w:szCs w:val="24"/>
          <w:lang w:val="en-US"/>
        </w:rPr>
        <w:t>for</w:t>
      </w:r>
      <w:proofErr w:type="gramEnd"/>
      <w:r w:rsidR="008D388B" w:rsidRPr="00405F18">
        <w:rPr>
          <w:rFonts w:ascii="Times New Roman" w:hAnsi="Times New Roman" w:cs="Times New Roman"/>
          <w:sz w:val="24"/>
          <w:szCs w:val="24"/>
          <w:lang w:val="en-US"/>
        </w:rPr>
        <w:t xml:space="preserve"> being understood</w:t>
      </w:r>
      <w:r w:rsidR="00611157" w:rsidRPr="00405F18">
        <w:rPr>
          <w:rFonts w:ascii="Times New Roman" w:hAnsi="Times New Roman" w:cs="Times New Roman"/>
          <w:sz w:val="24"/>
          <w:szCs w:val="24"/>
          <w:lang w:val="en-US"/>
        </w:rPr>
        <w:t xml:space="preserve">, AMPK and </w:t>
      </w:r>
      <w:r w:rsidR="00344A78">
        <w:rPr>
          <w:rFonts w:ascii="Times New Roman" w:hAnsi="Times New Roman" w:cs="Times New Roman"/>
          <w:sz w:val="24"/>
          <w:szCs w:val="24"/>
          <w:lang w:val="en-US"/>
        </w:rPr>
        <w:t>M</w:t>
      </w:r>
      <w:r w:rsidR="00611157" w:rsidRPr="00405F18">
        <w:rPr>
          <w:rFonts w:ascii="Times New Roman" w:hAnsi="Times New Roman" w:cs="Times New Roman"/>
          <w:sz w:val="24"/>
          <w:szCs w:val="24"/>
          <w:lang w:val="en-US"/>
        </w:rPr>
        <w:t>TORC1 dysregulations should be considered in this context</w:t>
      </w:r>
      <w:r w:rsidRPr="00405F18">
        <w:rPr>
          <w:rFonts w:ascii="Times New Roman" w:hAnsi="Times New Roman" w:cs="Times New Roman"/>
          <w:sz w:val="24"/>
          <w:szCs w:val="24"/>
          <w:lang w:val="en-US"/>
        </w:rPr>
        <w:t xml:space="preserve">. </w:t>
      </w:r>
    </w:p>
    <w:p w14:paraId="770C130A" w14:textId="496ACAF5" w:rsidR="008B621E" w:rsidRPr="000C58B4" w:rsidRDefault="00F303C0" w:rsidP="000C58B4">
      <w:pPr>
        <w:spacing w:after="100" w:afterAutospacing="1" w:line="480" w:lineRule="auto"/>
        <w:ind w:firstLine="708"/>
        <w:jc w:val="both"/>
        <w:rPr>
          <w:rFonts w:ascii="Times New Roman" w:hAnsi="Times New Roman" w:cs="Times New Roman"/>
          <w:i/>
          <w:iCs/>
          <w:sz w:val="24"/>
          <w:szCs w:val="24"/>
          <w:lang w:val="en-US"/>
        </w:rPr>
      </w:pPr>
      <w:r w:rsidRPr="00405F18">
        <w:rPr>
          <w:rFonts w:ascii="Times New Roman" w:hAnsi="Times New Roman" w:cs="Times New Roman"/>
          <w:sz w:val="24"/>
          <w:szCs w:val="24"/>
          <w:lang w:val="en-US"/>
        </w:rPr>
        <w:lastRenderedPageBreak/>
        <w:t>Proteinuria refers to elevated and persistent protein</w:t>
      </w:r>
      <w:r w:rsidR="00826A2C"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in urines and m</w:t>
      </w:r>
      <w:r w:rsidR="009179F2" w:rsidRPr="00405F18">
        <w:rPr>
          <w:rFonts w:ascii="Times New Roman" w:hAnsi="Times New Roman" w:cs="Times New Roman"/>
          <w:sz w:val="24"/>
          <w:szCs w:val="24"/>
          <w:lang w:val="en-US"/>
        </w:rPr>
        <w:t>ight</w:t>
      </w:r>
      <w:r w:rsidRPr="00405F18">
        <w:rPr>
          <w:rFonts w:ascii="Times New Roman" w:hAnsi="Times New Roman" w:cs="Times New Roman"/>
          <w:sz w:val="24"/>
          <w:szCs w:val="24"/>
          <w:lang w:val="en-US"/>
        </w:rPr>
        <w:t xml:space="preserve"> be secondary to glomerular filtration barrier alterations and/or defective reabsorption by PTEC</w:t>
      </w:r>
      <w:r w:rsidR="00162F8A" w:rsidRPr="00405F18">
        <w:rPr>
          <w:rFonts w:ascii="Times New Roman" w:hAnsi="Times New Roman" w:cs="Times New Roman"/>
          <w:sz w:val="24"/>
          <w:szCs w:val="24"/>
          <w:lang w:val="en-US"/>
        </w:rPr>
        <w:t>s</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{"citationItems":[{"id":"ITEM-1","itemData":{"DOI":"10.1016/j.kint.2021.05.021","ISSN":"15231755","PMID":"34556256","author":[{"dropping-particle":"","family":"Rovin","given":"Brad H.","non-dropping-particle":"","parse-names":false,"suffix":""},{"dropping-particle":"","family":"Adler","given":"Sharon G.","non-dropping-particle":"","parse-names":false,"suffix":""},{"dropping-particle":"","family":"Barratt","given":"Jonathan","non-dropping-particle":"","parse-names":false,"suffix":""},{"dropping-particle":"","family":"Bridoux","given":"Frank","non-dropping-particle":"","parse-names":false,"suffix":""},{"dropping-particle":"","family":"Burdge","given":"Kelly A.","non-dropping-particle":"","parse-names":false,"suffix":""},{"dropping-particle":"","family":"Chan","given":"Tak Mao","non-dropping-particle":"","parse-names":false,"suffix":""},{"dropping-particle":"","family":"Cook","given":"H. Terence","non-dropping-particle":"","parse-names":false,"suffix":""},{"dropping-particle":"","family":"Fervenza","given":"Fernando C.","non-dropping-particle":"","parse-names":false,"suffix":""},{"dropping-particle":"","family":"Gibson","given":"Keisha L.","non-dropping-particle":"","parse-names":false,"suffix":""},{"dropping-particle":"","family":"Glassock","given":"Richard J.","non-dropping-particle":"","parse-names":false,"suffix":""},{"dropping-particle":"","family":"Jayne","given":"David R.W.","non-dropping-particle":"","parse-names":false,"suffix":""},{"dropping-particle":"","family":"Jha","given":"Vivekanand","non-dropping-particle":"","parse-names":false,"suffix":""},{"dropping-particle":"","family":"Liew","given":"Adrian","non-dropping-particle":"","parse-names":false,"suffix":""},{"dropping-particle":"","family":"Liu","given":"Zhi Hong","non-dropping-particle":"","parse-names":false,"suffix":""},{"dropping-particle":"","family":"Mejía-Vilet","given":"Juan Manuel","non-dropping-particle":"","parse-names":false,"suffix":""},{"dropping-particle":"","family":"Nester","given":"Carla M.","non-dropping-particle":"","parse-names":false,"suffix":""},{"dropping-particle":"","family":"Radhakrishnan","given":"Jai","non-dropping-particle":"","parse-names":false,"suffix":""},{"dropping-particle":"","family":"Rave","given":"Elizabeth M.","non-dropping-particle":"","parse-names":false,"suffix":""},{"dropping-particle":"","family":"Reich","given":"Heather N.","non-dropping-particle":"","parse-names":false,"suffix":""},{"dropping-particle":"","family":"Ronco","given":"Pierre","non-dropping-particle":"","parse-names":false,"suffix":""},{"dropping-particle":"","family":"Sanders","given":"Jan Stephan F.","non-dropping-particle":"","parse-names":false,"suffix":""},{"dropping-particle":"","family":"Sethi","given":"Sanjeev","non-dropping-particle":"","parse-names":false,"suffix":""},{"dropping-particle":"","family":"Suzuki","given":"Yusuke","non-dropping-particle":"","parse-names":false,"suffix":""},{"dropping-particle":"","family":"Tang","given":"Sydney C.W.","non-dropping-particle":"","parse-names":false,"suffix":""},{"dropping-particle":"","family":"Tesar","given":"Vladimir","non-dropping-particle":"","parse-names":false,"suffix":""},{"dropping-particle":"","family":"Vivarelli","given":"Marina","non-dropping-particle":"","parse-names":false,"suffix":""},{"dropping-particle":"","family":"Wetzels","given":"Jack F.M.","non-dropping-particle":"","parse-names":false,"suffix":""},{"dropping-particle":"","family":"Floege","given":"Jürgen","non-dropping-particle":"","parse-names":false,"suffix":""}],"container-title":"Kidney International","id":"ITEM-1","issue":"4","issued":{"date-parts":[["2021"]]},"page":"S1-S276","title":"KDIGO 2021 Clinical Practice Guideline for the Management of Glomerular Diseases","type":"article-journal","volume":"100"},"uris":["http://www.mendeley.com/documents/?uuid=d2a2146e-ff82-4a3b-a146-ddd3b1565a2f"]}],"mendeley":{"formattedCitation":"&lt;sup&gt;74&lt;/sup&gt;","plainTextFormattedCitation":"74","previouslyFormattedCitation":"&lt;sup&gt;74&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74</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In metabolic CKD, proteinuria is </w:t>
      </w:r>
      <w:proofErr w:type="gramStart"/>
      <w:r w:rsidRPr="00405F18">
        <w:rPr>
          <w:rFonts w:ascii="Times New Roman" w:hAnsi="Times New Roman" w:cs="Times New Roman"/>
          <w:sz w:val="24"/>
          <w:szCs w:val="24"/>
          <w:lang w:val="en-US"/>
        </w:rPr>
        <w:t>told</w:t>
      </w:r>
      <w:proofErr w:type="gramEnd"/>
      <w:r w:rsidRPr="00405F18">
        <w:rPr>
          <w:rFonts w:ascii="Times New Roman" w:hAnsi="Times New Roman" w:cs="Times New Roman"/>
          <w:sz w:val="24"/>
          <w:szCs w:val="24"/>
          <w:lang w:val="en-US"/>
        </w:rPr>
        <w:t xml:space="preserve"> to result from filtration barrier permeabilization. Protein leakage thus increases the reabsorption burden and shear stress on PTEC</w:t>
      </w:r>
      <w:r w:rsidR="00162F8A"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which will activate compensatory mechanism at first, while it finally mediates injury</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{"citationItems":[{"id":"ITEM-1","itemData":{"DOI":"10.1159/000499486","ISSN":"22353186","PMID":"30947190","abstract":"Background: Glomerular hyperfiltration (GH) is a hallmark of renal dysfunction in diabetes and obesity. Recent clinical trials demonstrated that SGLT2 inhibitors are renoprotective, possibly by abating hyperfiltration. The present review considers the current evidence for a cause-to-effect relationship between hyperfiltration-related physical forces and the development of chronic kidney disease (CKD). Summary: Glomerular hyperfiltration is associated with glomerular and tubular hypertrophy. Hyperfiltration is mainly due to an increase in glomerular capillary pressure, which increases tensile stress applied to the capillary wall structures. In addition, the increased ultrafiltrate flow into Bowman's space heightens shear stress on the podocyte foot processes and body surface. These mechanical stresses lead to an increase in glomerular basement membrane (GBM) length and to podocyte hypertrophy. The ability of the podocyte to grow being limited, a mismatch develops between the GBM area and the GBM area covered by foot processes, leading to podocyte injury, detachment of viable podocytes, adherence of capillaries to parietal epithelium, synechia formation and segmental sclerosis. Mechanical stress is also applied to post-filtration structures, resulting in dilation of glomerular and tubular urinary spaces, increased proximal tubular sodium reabsorption by hypertrophied epithelial cells and activation of mediators leading to tubulointerstitial inflammation, hypoxia and fibrosis Key Messages: GH-related mechanical stress leads to both adaptive and maladaptive glomerular and tubular changes. These flow-related effects play a central role in the pathogenesis of glomerular disease. Attenuation of hyperfiltration is thus an important therapeutic target in diabetes and obesity-induced CKD.","author":[{"dropping-particle":"","family":"Chagnac","given":"Avry","non-dropping-particle":"","parse-names":false,"suffix":""},{"dropping-particle":"","family":"Zingerman","given":"Boris","non-dropping-particle":"","parse-names":false,"suffix":""},{"dropping-particle":"","family":"Rozen-Zvi","given":"Benaya","non-dropping-particle":"","parse-names":false,"suffix":""},{"dropping-particle":"","family":"Herman-Edelstein","given":"Michal","non-dropping-particle":"","parse-names":false,"suffix":""}],"container-title":"Nephron","id":"ITEM-1","issue":"1","issued":{"date-parts":[["2019"]]},"page":"38-42","title":"Consequences of glomerular hyperfiltration: The role of physical forces in the pathogenesis of chronic kidney disease in diabetes and obesity","type":"article-journal","volume":"143"},"uris":["http://www.mendeley.com/documents/?uuid=025fe8c5-7edc-478b-8b43-35f3f0fa9ecc"]}],"mendeley":{"formattedCitation":"&lt;sup&gt;75&lt;/sup&gt;","plainTextFormattedCitation":"75","previouslyFormattedCitation":"&lt;sup&gt;75&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75</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w:t>
      </w:r>
      <w:r w:rsidR="002539EF">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However, our results highlight</w:t>
      </w:r>
      <w:r w:rsidR="00F006E4"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the direct effect of dysregulated lipid metabolism </w:t>
      </w:r>
      <w:r w:rsidR="00F006E4" w:rsidRPr="00405F18">
        <w:rPr>
          <w:rFonts w:ascii="Times New Roman" w:hAnsi="Times New Roman" w:cs="Times New Roman"/>
          <w:sz w:val="24"/>
          <w:szCs w:val="24"/>
          <w:lang w:val="en-US"/>
        </w:rPr>
        <w:t>o</w:t>
      </w:r>
      <w:r w:rsidRPr="00405F18">
        <w:rPr>
          <w:rFonts w:ascii="Times New Roman" w:hAnsi="Times New Roman" w:cs="Times New Roman"/>
          <w:sz w:val="24"/>
          <w:szCs w:val="24"/>
          <w:lang w:val="en-US"/>
        </w:rPr>
        <w:t>n these cells. Loss of differentiation markers in tubular proteinuria were observed in obesity and diabetic CKD animal models</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{"citationItems":[{"id":"ITEM-1","itemData":{"DOI":"10.1002/path.5150","ISSN":"10969896","PMID":"30073645","abstract":"Obesity and dyslipidaemia are features of the metabolic syndrome and risk factors for chronic kidney disease. The cellular mechanisms connecting metabolic syndrome with chronic kidney disease onset and progression remain largely unclear. We show that proximal tubular epithelium is a target site for lipid deposition upon overnutrition with a cholesterol-rich Western-type diet. Affected proximal tubule epithelial cells displayed giant vacuoles of lysosomal or autophagosomal origin, harbouring oxidised lipoproteins and concentric membrane layer structures (multilamellar bodies), reminiscent of lysosomal storage diseases. Additionally, lipidomic analysis revealed renal deposition of cholesterol and phospholipids, including lysosomal phospholipids. Proteomic profiles of renal multilamellar bodies were distinct from those of epidermis or lung multilamellar bodies and of cytoplasmic lipid droplets. Tubular multilamellar bodies were observed in kidney biopsies of obese hypercholesterolaemic patients, and the concentration of the phospholipidosis marker di-docosahexaenoyl (22:6)-bis(monoacylglycerol) phosphate was doubled in urine from individuals with metabolic syndrome and chronic kidney disease. The enrichment of proximal tubule epithelial cells with phospholipids and multilamellar bodies was accompanied by enhanced inflammation, fibrosis, tubular damage markers, and higher urinary electrolyte content. Concomitantly to the intralysosomal lipid storage, a renal transcriptional response was initiated to enhance lysosomal degradation and lipid synthesis. In cultured proximal tubule epithelial cells, inhibition of cholesterol efflux transport or oxysterol treatment induced effects very similar to the in vivo situation, such as multilamellar body and phospholipid amassing, and induction of damage, inflammatory, fibrotic, and lipogenic molecules. The onset of phospholipidosis in proximal tubule epithelial cells is a novel pathological trait in metabolic syndrome-related chronic kidney disease, and emphasises the importance of healthy lysosomes and nutrition for kidney well-being. Copyright © 2018 Pathological Society of Great Britain and Ireland. Published by John Wiley &amp; Sons, Ltd.","author":[{"dropping-particle":"","family":"Rampanelli","given":"Elena","non-dropping-particle":"","parse-names":false,"suffix":""},{"dropping-particle":"","family":"Ochodnicky","given":"Peter","non-dropping-particle":"","parse-names":false,"suffix":""},{"dropping-particle":"","family":"Vissers","given":"Johannes P.C.","non-dropping-particle":"","parse-names":false,"suffix":""},{"dropping-particle":"","family":"Butter","given":"Loes M.","non-dropping-particle":"","parse-names":false,"suffix":""},{"dropping-particle":"","family":"Claessen","given":"Nike","non-dropping-particle":"","parse-names":false,"suffix":""},{"dropping-particle":"","family":"Calcagni","given":"Alessia","non-dropping-particle":"","parse-names":false,"suffix":""},{"dropping-particle":"","family":"Kors","given":"Lotte","non-dropping-particle":"","parse-names":false,"suffix":""},{"dropping-particle":"","family":"Gethings","given":"Lee A.","non-dropping-particle":"","parse-names":false,"suffix":""},{"dropping-particle":"","family":"Bakker","given":"Stephan J.L.","non-dropping-particle":"","parse-names":false,"suffix":""},{"dropping-particle":"","family":"Borst","given":"Martin H.","non-dropping-particle":"de","parse-names":false,"suffix":""},{"dropping-particle":"","family":"Navis","given":"Gerjan J.","non-dropping-particle":"","parse-names":false,"suffix":""},{"dropping-particle":"","family":"Liebisch","given":"Gerhard","non-dropping-particle":"","parse-names":false,"suffix":""},{"dropping-particle":"","family":"Speijer","given":"Dave","non-dropping-particle":"","parse-names":false,"suffix":""},{"dropping-particle":"","family":"Bergh Weerman","given":"Marius A.","non-dropping-particle":"van den","parse-names":false,"suffix":""},{"dropping-particle":"","family":"Jung","given":"Bettina","non-dropping-particle":"","parse-names":false,"suffix":""},{"dropping-particle":"","family":"Aten","given":"Jan","non-dropping-particle":"","parse-names":false,"suffix":""},{"dropping-particle":"","family":"Steenbergen","given":"Eric","non-dropping-particle":"","parse-names":false,"suffix":""},{"dropping-particle":"","family":"Schmitz","given":"Gerd","non-dropping-particle":"","parse-names":false,"suffix":""},{"dropping-particle":"","family":"Ballabio","given":"Andrea","non-dropping-particle":"","parse-names":false,"suffix":""},{"dropping-particle":"","family":"Florquin","given":"Sandrine","non-dropping-particle":"","parse-names":false,"suffix":""},{"dropping-particle":"","family":"Aerts","given":"Johannes M.F.G.","non-dropping-particle":"","parse-names":false,"suffix":""},{"dropping-particle":"","family":"Leemans","given":"Jaklien C.","non-dropping-particle":"","parse-names":false,"suffix":""}],"container-title":"Journal of Pathology","id":"ITEM-1","issue":"4","issued":{"date-parts":[["2018"]]},"page":"470-484","title":"Excessive dietary lipid intake provokes an acquired form of lysosomal lipid storage disease in the kidney","type":"article-journal","volume":"246"},"uris":["http://www.mendeley.com/documents/?uuid=def8a77d-3081-4ba7-aae1-509875939150"]},{"id":"ITEM-2","itemData":{"DOI":"10.1007/s004180100317","ISBN":"8133815541","ISSN":"09486143","PMID":"11685557","abstract":"The aim of this study is to investigate the role of the proximal tubule in microalbuminuria in the early stage of diabetic nephropathy. Diabetes was induced in male Sprague-Dawley rats by an injection of streptozotocin (50 mg/kg, i.v.). After 2 weeks, albumin delivery in the proximal tubule was measured using micropuncture and the endocytosis process of FITC-labeled albumin was evaluated with immunoelectron microscopy. Albumin was significantly reabsorbed in the proximal convoluted tubule (PCT) of controls (0.39±0.05 ng/min at early PCT to 0.17±0.08 at late PCT, P&lt;0.05), whereas albumin reabsorption was inhibited in diabetic rats (0.27±0.05 to 0.21±0.08). Immunogold study revealed that FITC-albumin was significantly less reabsorbed in endosomes and lysosomes of S1 segments in diabetic rats than in controls (endosome: 1.20±0.10 vs 2.16±0.15 μm-1, P&lt;0.0001; lysosome: 0.26±0.03 vs 0.83±0.07, P&lt;0.0001). The expression of megalin, an endocytosis receptor, was decreased at the apical membrane of PCT in diabetic rats. The lipid peroxidation production in the proximal tubule was significantly increased in diabetic rats. In conclusion, albuminuria in early-stage diabetic rats can be partly explained by a decreased albumin endocytosis with reduced megalin expression and with increased lipid peroxidation in the proximal tubule.","author":[{"dropping-particle":"","family":"Tojo","given":"Akihiro","non-dropping-particle":"","parse-names":false,"suffix":""},{"dropping-particle":"","family":"Onozato","given":"Maristela","non-dropping-particle":"","parse-names":false,"suffix":""},{"dropping-particle":"","family":"Ha","given":"Hunjoo","non-dropping-particle":"","parse-names":false,"suffix":""},{"dropping-particle":"","family":"Kurihara","given":"Hidetake","non-dropping-particle":"","parse-names":false,"suffix":""},{"dropping-particle":"","family":"Sakai","given":"Tatsuo","non-dropping-particle":"","parse-names":false,"suffix":""},{"dropping-particle":"","family":"Goto","given":"Atsuo","non-dropping-particle":"","parse-names":false,"suffix":""},{"dropping-particle":"","family":"Fujita","given":"Toshiro","non-dropping-particle":"","parse-names":false,"suffix":""},{"dropping-particle":"","family":"Endou","given":"Hitoshi","non-dropping-particle":"","parse-names":false,"suffix":""}],"container-title":"Histochemistry and Cell Biology","id":"ITEM-2","issue":"3","issued":{"date-parts":[["2001"]]},"page":"269-276","title":"Reduced albumin reabsorption in the proximal tubule of early-stage diabetic rats","type":"article-journal","volume":"116"},"uris":["http://www.mendeley.com/documents/?uuid=451b0333-55fe-4194-834b-541fb07967dc"]}],"mendeley":{"formattedCitation":"&lt;sup&gt;7,76&lt;/sup&gt;","plainTextFormattedCitation":"7,76","previouslyFormattedCitation":"&lt;sup&gt;7,76&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7,76</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These two features </w:t>
      </w:r>
      <w:r w:rsidR="00F52DA5" w:rsidRPr="00405F18">
        <w:rPr>
          <w:rFonts w:ascii="Times New Roman" w:hAnsi="Times New Roman" w:cs="Times New Roman"/>
          <w:sz w:val="24"/>
          <w:szCs w:val="24"/>
          <w:lang w:val="en-US"/>
        </w:rPr>
        <w:t>we</w:t>
      </w:r>
      <w:r w:rsidRPr="00405F18">
        <w:rPr>
          <w:rFonts w:ascii="Times New Roman" w:hAnsi="Times New Roman" w:cs="Times New Roman"/>
          <w:sz w:val="24"/>
          <w:szCs w:val="24"/>
          <w:lang w:val="en-US"/>
        </w:rPr>
        <w:t>re recapitulated in this work</w:t>
      </w:r>
      <w:r w:rsidR="00F006E4" w:rsidRPr="00405F18">
        <w:rPr>
          <w:rFonts w:ascii="Times New Roman" w:hAnsi="Times New Roman" w:cs="Times New Roman"/>
          <w:sz w:val="24"/>
          <w:szCs w:val="24"/>
          <w:lang w:val="en-US"/>
        </w:rPr>
        <w:t xml:space="preserve"> in PTEC</w:t>
      </w:r>
      <w:r w:rsidR="00162F8A"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upon increased uptake of saturated FA</w:t>
      </w:r>
      <w:r w:rsidR="00AB4ADB"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It reinforces the </w:t>
      </w:r>
      <w:proofErr w:type="spellStart"/>
      <w:r w:rsidRPr="00405F18">
        <w:rPr>
          <w:rFonts w:ascii="Times New Roman" w:hAnsi="Times New Roman" w:cs="Times New Roman"/>
          <w:sz w:val="24"/>
          <w:szCs w:val="24"/>
          <w:lang w:val="en-US"/>
        </w:rPr>
        <w:t>tubulocentric</w:t>
      </w:r>
      <w:proofErr w:type="spellEnd"/>
      <w:r w:rsidRPr="00405F18">
        <w:rPr>
          <w:rFonts w:ascii="Times New Roman" w:hAnsi="Times New Roman" w:cs="Times New Roman"/>
          <w:sz w:val="24"/>
          <w:szCs w:val="24"/>
          <w:lang w:val="en-US"/>
        </w:rPr>
        <w:t xml:space="preserve"> view which postulate the </w:t>
      </w:r>
      <w:r w:rsidR="00F006E4" w:rsidRPr="00405F18">
        <w:rPr>
          <w:rFonts w:ascii="Times New Roman" w:hAnsi="Times New Roman" w:cs="Times New Roman"/>
          <w:sz w:val="24"/>
          <w:szCs w:val="24"/>
          <w:lang w:val="en-US"/>
        </w:rPr>
        <w:t>crucial</w:t>
      </w:r>
      <w:r w:rsidRPr="00405F18">
        <w:rPr>
          <w:rFonts w:ascii="Times New Roman" w:hAnsi="Times New Roman" w:cs="Times New Roman"/>
          <w:sz w:val="24"/>
          <w:szCs w:val="24"/>
          <w:lang w:val="en-US"/>
        </w:rPr>
        <w:t xml:space="preserve"> role of tubulopathy upon metabolic stress</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{"citationItems":[{"id":"ITEM-1","itemData":{"DOI":"10.1155/2012/481520","ISSN":"2090214X","PMID":"22685655","abstract":"Albumin is filtered through the glomerulus with a sieving coefficient of 0.00062, which results in approximately 3.3 g of albumin filtered daily in human kidneys. The proximal convoluted tubule reabsorbs 71, the loop of Henle and distal tubule 23, and collecting duct 3 of the glomerular filtered albumin, thus indicating that the kidney plays an important role in protein metabolism. Dysfunction of albumin reabsorption in the proximal tubules, due to reduced megalin expression, may explain the microalbuminuria in early-stage diabetes. Meanwhile, massive nonselective proteinuria is ascribed to various disorders of the glomerular filtration barrier, including podocyte detachment, glomerular basement membrane rupture, and slit diaphragm dysfunction in focal segmental glomerulosclerosis, membranous nephropathy, and other glomerulonephritis. Selective albuminuria associated with foot process effacement and tight junction-like slit alteration is observed in the patients with minimal-change nephrotic syndrome, and the albumin uptake is enhanced in the podocyte cell body, possibly mediated by albumin receptors in the low-dose puromycin model. The role of enhanced podocyte albumin transport needs to be investigated to elucidate the mechanism of the selective albuminuria in minimal-change disease. © 2012 Akihiro Tojo and Satoshi Kinugasa.","author":[{"dropping-particle":"","family":"Tojo","given":"Akihiro","non-dropping-particle":"","parse-names":false,"suffix":""},{"dropping-particle":"","family":"Kinugasa","given":"Satoshi","non-dropping-particle":"","parse-names":false,"suffix":""}],"container-title":"International Journal of Nephrology","id":"ITEM-1","issued":{"date-parts":[["2012"]]},"title":"Mechanisms of glomerular albumin filtration and tubular reabsorption","type":"article-journal","volume":"2012"},"uris":["http://www.mendeley.com/documents/?uuid=4f28b51c-09df-4395-ad0e-d309554c1194"]}],"mendeley":{"formattedCitation":"&lt;sup&gt;77&lt;/sup&gt;","plainTextFormattedCitation":"77","previouslyFormattedCitation":"&lt;sup&gt;77&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77</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Another evidence supporting this concept is the demonstration that </w:t>
      </w:r>
      <w:proofErr w:type="spellStart"/>
      <w:r w:rsidRPr="00405F18">
        <w:rPr>
          <w:rFonts w:ascii="Times New Roman" w:hAnsi="Times New Roman" w:cs="Times New Roman"/>
          <w:sz w:val="24"/>
          <w:szCs w:val="24"/>
          <w:lang w:val="en-US"/>
        </w:rPr>
        <w:t>lipotoxicity</w:t>
      </w:r>
      <w:proofErr w:type="spellEnd"/>
      <w:r w:rsidRPr="00405F18">
        <w:rPr>
          <w:rFonts w:ascii="Times New Roman" w:hAnsi="Times New Roman" w:cs="Times New Roman"/>
          <w:sz w:val="24"/>
          <w:szCs w:val="24"/>
          <w:lang w:val="en-US"/>
        </w:rPr>
        <w:t xml:space="preserve"> of PTEC</w:t>
      </w:r>
      <w:r w:rsidR="00162F8A"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is associated with injury marker upregulation such as </w:t>
      </w:r>
      <w:r w:rsidRPr="00405F18">
        <w:rPr>
          <w:rFonts w:ascii="Times New Roman" w:hAnsi="Times New Roman" w:cs="Times New Roman"/>
          <w:i/>
          <w:iCs/>
          <w:sz w:val="24"/>
          <w:szCs w:val="24"/>
          <w:lang w:val="en-US"/>
        </w:rPr>
        <w:t>Sox9</w:t>
      </w:r>
      <w:r w:rsidRPr="00405F18">
        <w:rPr>
          <w:rFonts w:ascii="Times New Roman" w:hAnsi="Times New Roman" w:cs="Times New Roman"/>
          <w:sz w:val="24"/>
          <w:szCs w:val="24"/>
          <w:lang w:val="en-US"/>
        </w:rPr>
        <w:t xml:space="preserve"> and </w:t>
      </w:r>
      <w:r w:rsidRPr="00405F18">
        <w:rPr>
          <w:rFonts w:ascii="Times New Roman" w:hAnsi="Times New Roman" w:cs="Times New Roman"/>
          <w:i/>
          <w:iCs/>
          <w:sz w:val="24"/>
          <w:szCs w:val="24"/>
          <w:lang w:val="en-US"/>
        </w:rPr>
        <w:t>C</w:t>
      </w:r>
      <w:r w:rsidR="000C58B4">
        <w:rPr>
          <w:rFonts w:ascii="Times New Roman" w:hAnsi="Times New Roman" w:cs="Times New Roman"/>
          <w:i/>
          <w:iCs/>
          <w:sz w:val="24"/>
          <w:szCs w:val="24"/>
          <w:lang w:val="en-US"/>
        </w:rPr>
        <w:t>d</w:t>
      </w:r>
      <w:r w:rsidRPr="00405F18">
        <w:rPr>
          <w:rFonts w:ascii="Times New Roman" w:hAnsi="Times New Roman" w:cs="Times New Roman"/>
          <w:i/>
          <w:iCs/>
          <w:sz w:val="24"/>
          <w:szCs w:val="24"/>
          <w:lang w:val="en-US"/>
        </w:rPr>
        <w:t>44</w:t>
      </w:r>
      <w:r w:rsidRPr="00405F18">
        <w:rPr>
          <w:rFonts w:ascii="Times New Roman" w:hAnsi="Times New Roman" w:cs="Times New Roman"/>
          <w:sz w:val="24"/>
          <w:szCs w:val="24"/>
          <w:lang w:val="en-US"/>
        </w:rPr>
        <w:t>. Even if S</w:t>
      </w:r>
      <w:r w:rsidR="000C58B4">
        <w:rPr>
          <w:rFonts w:ascii="Times New Roman" w:hAnsi="Times New Roman" w:cs="Times New Roman"/>
          <w:sz w:val="24"/>
          <w:szCs w:val="24"/>
          <w:lang w:val="en-US"/>
        </w:rPr>
        <w:t>OX</w:t>
      </w:r>
      <w:r w:rsidRPr="00405F18">
        <w:rPr>
          <w:rFonts w:ascii="Times New Roman" w:hAnsi="Times New Roman" w:cs="Times New Roman"/>
          <w:sz w:val="24"/>
          <w:szCs w:val="24"/>
          <w:lang w:val="en-US"/>
        </w:rPr>
        <w:t>9 expression is needed for repair after acute injury</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{"citationItems":[{"id":"ITEM-1","itemData":{"DOI":"10.1016/j.celrep.2015.07.034","ISSN":"22111247","PMID":"26279573","abstract":"After acute kidney injury (AKI), surviving cells within the nephron proliferate and repair. We identify Sox9 as an acute epithelial stress response in renal regeneration. Translational profiling after AKI revealed a rapid upregulation of Sox9 within proximal tubule (PT) cells, the nephron cell type most vulnerable to AKI. Descendants of Sox9+ cells generate the bulk of the nephron during development and regenerate functional PT epithelium after AKI-induced reactivation of Sox9 after renal injury. After restoration of renal function post-AKI, persistent Sox9 expression highlights regions of unresolved damage within injured nephrons. Inactivation of Sox9 in PT cells pre-injury indicates that Sox9 is required for the normal course of post-AKI recovery. These findings link Sox9 to cell intrinsic mechanisms regulating development and repair of the mammalian nephron.","author":[{"dropping-particle":"","family":"Kumar","given":"Sanjeev","non-dropping-particle":"","parse-names":false,"suffix":""},{"dropping-particle":"","family":"Liu","given":"Jing","non-dropping-particle":"","parse-names":false,"suffix":""},{"dropping-particle":"","family":"Pang","given":"Paul","non-dropping-particle":"","parse-names":false,"suffix":""},{"dropping-particle":"","family":"Krautzberger","given":"A. Michaela","non-dropping-particle":"","parse-names":false,"suffix":""},{"dropping-particle":"","family":"Reginensi","given":"Antoine","non-dropping-particle":"","parse-names":false,"suffix":""},{"dropping-particle":"","family":"Akiyama","given":"Haruhiko","non-dropping-particle":"","parse-names":false,"suffix":""},{"dropping-particle":"","family":"Schedl","given":"Andreas","non-dropping-particle":"","parse-names":false,"suffix":""},{"dropping-particle":"","family":"Humphreys","given":"Benjamin D.","non-dropping-particle":"","parse-names":false,"suffix":""},{"dropping-particle":"","family":"McMahon","given":"Andrew P.","non-dropping-particle":"","parse-names":false,"suffix":""}],"container-title":"Cell Reports","id":"ITEM-1","issue":"8","issued":{"date-parts":[["2015"]]},"page":"1325-1338","publisher":"The Authors","title":"Sox9 Activation Highlights a Cellular Pathway of Renal Repair in the Acutely Injured Mammalian Kidney","type":"article-journal","volume":"12"},"uris":["http://www.mendeley.com/documents/?uuid=97ec9019-70bb-4807-99b6-85fc7b40e607"]}],"mendeley":{"formattedCitation":"&lt;sup&gt;78&lt;/sup&gt;","plainTextFormattedCitation":"78","previouslyFormattedCitation":"&lt;sup&gt;78&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78</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elevated S</w:t>
      </w:r>
      <w:r w:rsidR="000C58B4">
        <w:rPr>
          <w:rFonts w:ascii="Times New Roman" w:hAnsi="Times New Roman" w:cs="Times New Roman"/>
          <w:sz w:val="24"/>
          <w:szCs w:val="24"/>
          <w:lang w:val="en-US"/>
        </w:rPr>
        <w:t>OX</w:t>
      </w:r>
      <w:r w:rsidRPr="00405F18">
        <w:rPr>
          <w:rFonts w:ascii="Times New Roman" w:hAnsi="Times New Roman" w:cs="Times New Roman"/>
          <w:sz w:val="24"/>
          <w:szCs w:val="24"/>
          <w:lang w:val="en-US"/>
        </w:rPr>
        <w:t>9 was found in CKD biopsies and correlated with the severity of tubulointerstitial fibrosis and tubular cell damage</w:t>
      </w:r>
      <w:r w:rsidR="002539EF">
        <w:rPr>
          <w:rFonts w:ascii="Times New Roman" w:hAnsi="Times New Roman" w:cs="Times New Roman"/>
          <w:sz w:val="24"/>
          <w:szCs w:val="24"/>
          <w:lang w:val="en-US"/>
        </w:rPr>
        <w:t xml:space="preserve"> [</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{"citationItems":[{"id":"ITEM-1","itemData":{"DOI":"10.1371/journal.pone.0136994","ISSN":"19326203","PMID":"26317775","abstract":"In chronic kidney disease (CKD), progressive nephron loss causes glomerular sclerosis, as well as tubulointerstitial fibrosis and progressive tubular injury. In this study, we aimed to identify molecular changes that reflected the histopathological progression of renal tubulointerstitial fibrosis and tubular cell damage. A discovery set of renal biopsies were obtained from 48 patients with histopathologically confirmed CKD, and gene expression profiles were determined by microarray analysis. The results indicated that hepatitis A virus cellular receptor 1 (also known as Kidney Injury Molecule-1, KIM-1), lipocalin 2 (also known as neutrophil gelatinase-associated lipocalin, NGAL), SRY-box 9, WAP four-disulfide core domain 2, and NK6 homeobox 2 were differentially expressed in CKD. Their expression levels correlated with the extent of tubulointerstitial fibrosis and tubular cell injury, determined by histopathological examination. The expression of these 5 genes was also increased as kidney damage progressed in a rodent unilateral ureteral obstruction model of CKD. We calculated a molecular score using the microarray gene expression profiles of the biopsy specimens. The composite area under the receiver operating characteristics curve plotted using this molecular score showed a high accuracy for diagnosing tubulointerstitial fibrosis and tubular cell damage. The robust sensitivity of this score was confirmed in a validation set of 5 individuals with CKD. These findings identified novel molecular markers with the potential to contribute to the detection of tubular cell damage and tubulointerstitial fibrosis in the kidney.","author":[{"dropping-particle":"","family":"Nakagawa","given":"Shunsaku","non-dropping-particle":"","parse-names":false,"suffix":""},{"dropping-particle":"","family":"Nishihara","given":"Kumiko","non-dropping-particle":"","parse-names":false,"suffix":""},{"dropping-particle":"","family":"Miyata","given":"Hitomi","non-dropping-particle":"","parse-names":false,"suffix":""},{"dropping-particle":"","family":"Shinke","given":"Haruka","non-dropping-particle":"","parse-names":false,"suffix":""},{"dropping-particle":"","family":"Tomita","given":"Eri","non-dropping-particle":"","parse-names":false,"suffix":""},{"dropping-particle":"","family":"Kajiwara","given":"Moto","non-dropping-particle":"","parse-names":false,"suffix":""},{"dropping-particle":"","family":"Matsubara","given":"Takeshi","non-dropping-particle":"","parse-names":false,"suffix":""},{"dropping-particle":"","family":"Iehara","given":"Noriyuki","non-dropping-particle":"","parse-names":false,"suffix":""},{"dropping-particle":"","family":"Igarashi","given":"Yoshinobu","non-dropping-particle":"","parse-names":false,"suffix":""},{"dropping-particle":"","family":"Yamada","given":"Hiroshi","non-dropping-particle":"","parse-names":false,"suffix":""},{"dropping-particle":"","family":"Fukatsu","given":"Atsushi","non-dropping-particle":"","parse-names":false,"suffix":""},{"dropping-particle":"","family":"Yanagita","given":"Motoko","non-dropping-particle":"","parse-names":false,"suffix":""},{"dropping-particle":"","family":"Matsubara","given":"Kazuo","non-dropping-particle":"","parse-names":false,"suffix":""},{"dropping-particle":"","family":"Masuda","given":"Satohiro","non-dropping-particle":"","parse-names":false,"suffix":""}],"container-title":"PLoS ONE","id":"ITEM-1","issue":"8","issued":{"date-parts":[["2015"]]},"page":"1-14","title":"Molecular markers of tubulointerstitial fibrosis and tubular cell damage in patients with chronic kidney disease","type":"article-journal","volume":"10"},"uris":["http://www.mendeley.com/documents/?uuid=b2d2c9d1-8b21-42c8-9495-dfab79b85dc4"]}],"mendeley":{"formattedCitation":"&lt;sup&gt;79&lt;/sup&gt;","plainTextFormattedCitation":"79","previouslyFormattedCitation":"&lt;sup&gt;79&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79</w:t>
      </w:r>
      <w:r w:rsidRPr="002539EF">
        <w:rPr>
          <w:rFonts w:ascii="Times New Roman" w:hAnsi="Times New Roman" w:cs="Times New Roman"/>
          <w:sz w:val="24"/>
          <w:szCs w:val="24"/>
          <w:lang w:val="en-US"/>
        </w:rPr>
        <w:fldChar w:fldCharType="end"/>
      </w:r>
      <w:r w:rsidR="002539EF">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394C97" w:rsidRPr="00405F18">
        <w:rPr>
          <w:rFonts w:ascii="Times New Roman" w:hAnsi="Times New Roman" w:cs="Times New Roman"/>
          <w:sz w:val="24"/>
          <w:szCs w:val="24"/>
          <w:lang w:val="en-US"/>
        </w:rPr>
        <w:t>I</w:t>
      </w:r>
      <w:r w:rsidRPr="00405F18">
        <w:rPr>
          <w:rFonts w:ascii="Times New Roman" w:hAnsi="Times New Roman" w:cs="Times New Roman"/>
          <w:sz w:val="24"/>
          <w:szCs w:val="24"/>
          <w:lang w:val="en-US"/>
        </w:rPr>
        <w:t>n the same line, CD44 is express</w:t>
      </w:r>
      <w:r w:rsidR="00F006E4" w:rsidRPr="00405F18">
        <w:rPr>
          <w:rFonts w:ascii="Times New Roman" w:hAnsi="Times New Roman" w:cs="Times New Roman"/>
          <w:sz w:val="24"/>
          <w:szCs w:val="24"/>
          <w:lang w:val="en-US"/>
        </w:rPr>
        <w:t>ed</w:t>
      </w:r>
      <w:r w:rsidRPr="00405F18">
        <w:rPr>
          <w:rFonts w:ascii="Times New Roman" w:hAnsi="Times New Roman" w:cs="Times New Roman"/>
          <w:sz w:val="24"/>
          <w:szCs w:val="24"/>
          <w:lang w:val="en-US"/>
        </w:rPr>
        <w:t xml:space="preserve"> in renal tubules during maladaptive repair and interstitial fibrosis</w:t>
      </w:r>
      <w:r w:rsidR="002539EF">
        <w:rPr>
          <w:rFonts w:ascii="Times New Roman" w:hAnsi="Times New Roman" w:cs="Times New Roman"/>
          <w:sz w:val="24"/>
          <w:szCs w:val="24"/>
          <w:lang w:val="en-US"/>
        </w:rPr>
        <w:t xml:space="preserve"> </w:t>
      </w:r>
      <w:r w:rsidR="00A6771D">
        <w:rPr>
          <w:rFonts w:ascii="Times New Roman" w:hAnsi="Times New Roman" w:cs="Times New Roman"/>
          <w:sz w:val="24"/>
          <w:szCs w:val="24"/>
          <w:lang w:val="en-US"/>
        </w:rPr>
        <w:t>[</w:t>
      </w:r>
      <w:r w:rsidRPr="002539EF">
        <w:rPr>
          <w:rFonts w:ascii="Times New Roman" w:hAnsi="Times New Roman" w:cs="Times New Roman"/>
          <w:sz w:val="24"/>
          <w:szCs w:val="24"/>
          <w:lang w:val="en-US"/>
        </w:rPr>
        <w:fldChar w:fldCharType="begin" w:fldLock="1"/>
      </w:r>
      <w:r w:rsidR="00362664" w:rsidRPr="002539EF">
        <w:rPr>
          <w:rFonts w:ascii="Times New Roman" w:hAnsi="Times New Roman" w:cs="Times New Roman"/>
          <w:sz w:val="24"/>
          <w:szCs w:val="24"/>
          <w:lang w:val="en-US"/>
        </w:rPr>
        <w:instrText>ADDIN CSL_CITATION {"citationItems":[{"id":"ITEM-1","itemData":{"DOI":"10.1002/jat.4069","ISSN":"10991263","PMID":"32969066","abstract":"Acute kidney injury (AKI) is thought to be a reversible condition; however, growing evidence has suggested that AKI may be associated with subsequent development of chronic kidney disease. Although renal tubules have intrinsic regeneration capacity, disruption of the regeneration mechanisms leads to irreversible interstitial fibrosis. In this study, we investigated immunohistochemical markers of renal tubules in adaptive and maladaptive repair processes to predict AKI reversibility. Histopathological analysis demonstrated that regenerative tubules and dilated tubules were observed in the kidneys of AKI model rats after ischemia/reperfusion (I/R). Regenerative tubules gradually redifferentiated after I/R, whereas dilated tubules exhibited no tendency for redifferentiation. In fibrotic areas of the kidney in renal fibrosis model rats subjected to I/R, renal tubules were dilated or atrophied. There results suggested that the histopathological features of renal tubules in the maladaptive repair were dilation or atrophy. From microarray data of regenerative tubules, survivin, SOX9, and CD44 were extracted as candidate markers. Immunohistochemical analysis demonstrated that survivin and SOX9 were expressed in regenerative tubules, whereas SOX9 was also detected in renal tubules in fibrotic areas. These findings indicated that survivin and SOX9 contributed to renal tubular regeneration, whereas sustained SOX9 expression may be associated to fibrosis. CD44 was expressed in dilated tubules in the kidneys of AKI model rats and in the tubules of fibrotic areas of renal fibrosis model rats, suggesting that CD44 was expressed in renal tubules in maladaptive repair. Thus, these factors could be useful markers for detecting disruption of the regenerative mechanisms of renal tubules.","author":[{"dropping-particle":"","family":"Matsushita","given":"Kohei","non-dropping-particle":"","parse-names":false,"suffix":""},{"dropping-particle":"","family":"Toyoda","given":"Takeshi","non-dropping-particle":"","parse-names":false,"suffix":""},{"dropping-particle":"","family":"Yamada","given":"Takanori","non-dropping-particle":"","parse-names":false,"suffix":""},{"dropping-particle":"","family":"Morikawa","given":"Tomomi","non-dropping-particle":"","parse-names":false,"suffix":""},{"dropping-particle":"","family":"Ogawa","given":"Kumiko","non-dropping-particle":"","parse-names":false,"suffix":""}],"container-title":"Journal of Applied Toxicology","id":"ITEM-1","issue":"4","issued":{"date-parts":[["2021"]]},"page":"607-617","title":"Specific expression of survivin, SOX9, and CD44 in renal tubules in adaptive and maladaptive repair processes after acute kidney injury in rats","type":"article-journal","volume":"41"},"uris":["http://www.mendeley.com/documents/?uuid=a3a7ab9c-28d5-4a62-901d-1c607267bb01"]}],"mendeley":{"formattedCitation":"&lt;sup&gt;80&lt;/sup&gt;","plainTextFormattedCitation":"80","previouslyFormattedCitation":"&lt;sup&gt;80&lt;/sup&gt;"},"properties":{"noteIndex":0},"schema":"https://github.com/citation-style-language/schema/raw/master/csl-citation.json"}</w:instrText>
      </w:r>
      <w:r w:rsidRPr="002539EF">
        <w:rPr>
          <w:rFonts w:ascii="Times New Roman" w:hAnsi="Times New Roman" w:cs="Times New Roman"/>
          <w:sz w:val="24"/>
          <w:szCs w:val="24"/>
          <w:lang w:val="en-US"/>
        </w:rPr>
        <w:fldChar w:fldCharType="separate"/>
      </w:r>
      <w:r w:rsidR="004A2BDA" w:rsidRPr="002539EF">
        <w:rPr>
          <w:rFonts w:ascii="Times New Roman" w:hAnsi="Times New Roman" w:cs="Times New Roman"/>
          <w:noProof/>
          <w:sz w:val="24"/>
          <w:szCs w:val="24"/>
          <w:lang w:val="en-US"/>
        </w:rPr>
        <w:t>80</w:t>
      </w:r>
      <w:r w:rsidRPr="002539EF">
        <w:rPr>
          <w:rFonts w:ascii="Times New Roman" w:hAnsi="Times New Roman" w:cs="Times New Roman"/>
          <w:sz w:val="24"/>
          <w:szCs w:val="24"/>
          <w:lang w:val="en-US"/>
        </w:rPr>
        <w:fldChar w:fldCharType="end"/>
      </w:r>
      <w:r w:rsidR="00A6771D">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F006E4" w:rsidRPr="00405F18">
        <w:rPr>
          <w:rFonts w:ascii="Times New Roman" w:hAnsi="Times New Roman" w:cs="Times New Roman"/>
          <w:sz w:val="24"/>
          <w:szCs w:val="24"/>
          <w:lang w:val="en-US"/>
        </w:rPr>
        <w:t>In addition, the significant upregulation of</w:t>
      </w:r>
      <w:r w:rsidRPr="00405F18">
        <w:rPr>
          <w:rFonts w:ascii="Times New Roman" w:hAnsi="Times New Roman" w:cs="Times New Roman"/>
          <w:sz w:val="24"/>
          <w:szCs w:val="24"/>
          <w:lang w:val="en-US"/>
        </w:rPr>
        <w:t xml:space="preserve"> </w:t>
      </w:r>
      <w:r w:rsidRPr="00405F18">
        <w:rPr>
          <w:rFonts w:ascii="Times New Roman" w:hAnsi="Times New Roman" w:cs="Times New Roman"/>
          <w:i/>
          <w:iCs/>
          <w:sz w:val="24"/>
          <w:szCs w:val="24"/>
          <w:lang w:val="en-US"/>
        </w:rPr>
        <w:t>Vim</w:t>
      </w:r>
      <w:r w:rsidRPr="00405F18">
        <w:rPr>
          <w:rFonts w:ascii="Times New Roman" w:hAnsi="Times New Roman" w:cs="Times New Roman"/>
          <w:sz w:val="24"/>
          <w:szCs w:val="24"/>
          <w:lang w:val="en-US"/>
        </w:rPr>
        <w:t xml:space="preserve"> in response to PA, in parallel to loss of epithelial markers, translate</w:t>
      </w:r>
      <w:r w:rsidR="00F006E4"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w:t>
      </w:r>
      <w:bookmarkStart w:id="10" w:name="_Hlk160295538"/>
      <w:r w:rsidRPr="00405F18">
        <w:rPr>
          <w:rFonts w:ascii="Times New Roman" w:hAnsi="Times New Roman" w:cs="Times New Roman"/>
          <w:sz w:val="24"/>
          <w:szCs w:val="24"/>
          <w:lang w:val="en-US"/>
        </w:rPr>
        <w:t>epithelial</w:t>
      </w:r>
      <w:r w:rsidR="00E11F6C">
        <w:rPr>
          <w:rFonts w:ascii="Times New Roman" w:hAnsi="Times New Roman" w:cs="Times New Roman"/>
          <w:sz w:val="24"/>
          <w:szCs w:val="24"/>
          <w:lang w:val="en-US"/>
        </w:rPr>
        <w:t>-</w:t>
      </w:r>
      <w:r w:rsidRPr="00405F18">
        <w:rPr>
          <w:rFonts w:ascii="Times New Roman" w:hAnsi="Times New Roman" w:cs="Times New Roman"/>
          <w:sz w:val="24"/>
          <w:szCs w:val="24"/>
          <w:lang w:val="en-US"/>
        </w:rPr>
        <w:t>to</w:t>
      </w:r>
      <w:r w:rsidR="00E11F6C">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mesenchymal transition </w:t>
      </w:r>
      <w:bookmarkEnd w:id="10"/>
      <w:r w:rsidRPr="00405F18">
        <w:rPr>
          <w:rFonts w:ascii="Times New Roman" w:hAnsi="Times New Roman" w:cs="Times New Roman"/>
          <w:sz w:val="24"/>
          <w:szCs w:val="24"/>
          <w:lang w:val="en-US"/>
        </w:rPr>
        <w:t>(EM</w:t>
      </w:r>
      <w:r w:rsidR="00235801" w:rsidRPr="00405F18">
        <w:rPr>
          <w:rFonts w:ascii="Times New Roman" w:hAnsi="Times New Roman" w:cs="Times New Roman"/>
          <w:sz w:val="24"/>
          <w:szCs w:val="24"/>
          <w:lang w:val="en-US"/>
        </w:rPr>
        <w:t>T</w:t>
      </w:r>
      <w:r w:rsidRPr="00405F18">
        <w:rPr>
          <w:rFonts w:ascii="Times New Roman" w:hAnsi="Times New Roman" w:cs="Times New Roman"/>
          <w:sz w:val="24"/>
          <w:szCs w:val="24"/>
          <w:lang w:val="en-US"/>
        </w:rPr>
        <w:t>)</w:t>
      </w:r>
      <w:r w:rsidR="00A6771D">
        <w:rPr>
          <w:rFonts w:ascii="Times New Roman" w:hAnsi="Times New Roman" w:cs="Times New Roman"/>
          <w:sz w:val="24"/>
          <w:szCs w:val="24"/>
          <w:lang w:val="en-US"/>
        </w:rPr>
        <w:t xml:space="preserve"> [</w:t>
      </w:r>
      <w:r w:rsidRPr="00A6771D">
        <w:rPr>
          <w:rFonts w:ascii="Times New Roman" w:hAnsi="Times New Roman" w:cs="Times New Roman"/>
          <w:sz w:val="24"/>
          <w:szCs w:val="24"/>
          <w:lang w:val="en-US"/>
        </w:rPr>
        <w:fldChar w:fldCharType="begin" w:fldLock="1"/>
      </w:r>
      <w:r w:rsidR="00362664" w:rsidRPr="00A6771D">
        <w:rPr>
          <w:rFonts w:ascii="Times New Roman" w:hAnsi="Times New Roman" w:cs="Times New Roman"/>
          <w:sz w:val="24"/>
          <w:szCs w:val="24"/>
          <w:lang w:val="en-US"/>
        </w:rPr>
        <w:instrText>ADDIN CSL_CITATION {"citationItems":[{"id":"ITEM-1","itemData":{"DOI":"10.1152/ajprenal.00340.2017","ISSN":"15221466","PMID":"29631355","abstract":"Vimentin expression is re-quired for the development of EMT-related renal fibrosis following unilateral ureteral obstruction in mice. Am J Physiol Renal Physiol 315: F769–F780, 2018. First published April 4, 2018; doi:10.1152/ajprenal.00340.2017.—Most renal transplants ultimately fail secondary to chronic allograft nephropathy (CAN). Vimentin (vim) is a member of the intermediate filament family of proteins and has been shown to be important in the development of CAN. One of the pathways leading to chronic renal fibrosis after transplant is thought to be epithelial to mesenchymal transition (EMT). Even though vim expression is one of the main steps of EMT, it is unknown whether vim expression is required for EMT leading to renal fibrosis and allograft loss. To this end, the role of vim in renal fibrosis was determined via unilateral ureteral obstruction (UUO) in vim knockout mice (129 svs6 vim −/−). Following UUO, kidneys were recovered and analyzed via Western blotting, immunofluorescence, and tran-scriptomics. Cultured human proximal renal tubular (HK-2) cells were subjected to lentiviral-driven inhibition of vim expression and then treated with transforming growth factor (TGF)-β to undergo EMT. Immunoblotting as well as wound healing assays were used to determine development of EMT. Western blotting analyses of mice undergoing UUO reveal increased levels of vim soon after UUO. As expected, interstitial collagen deposition increased in control mice following UUO but decreased in vim −/− kidneys. Immunofluorescence analyses also revealed altered localization of β-catenin in vim −/− mice undergoing UUO without significant changes in mRNA levels. However, RNA sequencing revealed a decrease in β-catenin-dependent genes in vim −/− kidneys. Finally, vim-silenced HK-2 cell lines undergoing EMT were shown to have decreased cellular migration during wound healing. We conclude that vim inhibition decreases fibrosis following UUO by possibly altering β-catenin localization and downstream signaling.","author":[{"dropping-particle":"","family":"Wang","given":"Zheng","non-dropping-particle":"","parse-names":false,"suffix":""},{"dropping-particle":"","family":"Divanyan","given":"Alex","non-dropping-particle":"","parse-names":false,"suffix":""},{"dropping-particle":"","family":"Jourd’heuil","given":"Frances L.","non-dropping-particle":"","parse-names":false,"suffix":""},{"dropping-particle":"","family":"Goldman","given":"Robert D.","non-dropping-particle":"","parse-names":false,"suffix":""},{"dropping-particle":"","family":"Ridge","given":"Karen M.","non-dropping-particle":"","parse-names":false,"suffix":""},{"dropping-particle":"","family":"Jourd’heuil","given":"David","non-dropping-particle":"","parse-names":false,"suffix":""},{"dropping-particle":"","family":"Lopez-Soler","given":"Reynold I.","non-dropping-particle":"","parse-names":false,"suffix":""}],"container-title":"American Journal of Physiology - Renal Physiology","id":"ITEM-1","issue":"4","issued":{"date-parts":[["2018"]]},"page":"F769-F780","title":"Vimentin expression is required for the development of EMT-related renal fibrosis following unilateral ureteral obstruction in mice","type":"article-journal","volume":"315"},"uris":["http://www.mendeley.com/documents/?uuid=908bf8ce-9ab8-430c-ae25-6bf220a09029"]}],"mendeley":{"formattedCitation":"&lt;sup&gt;81&lt;/sup&gt;","plainTextFormattedCitation":"81","previouslyFormattedCitation":"&lt;sup&gt;81&lt;/sup&gt;"},"properties":{"noteIndex":0},"schema":"https://github.com/citation-style-language/schema/raw/master/csl-citation.json"}</w:instrText>
      </w:r>
      <w:r w:rsidRPr="00A6771D">
        <w:rPr>
          <w:rFonts w:ascii="Times New Roman" w:hAnsi="Times New Roman" w:cs="Times New Roman"/>
          <w:sz w:val="24"/>
          <w:szCs w:val="24"/>
          <w:lang w:val="en-US"/>
        </w:rPr>
        <w:fldChar w:fldCharType="separate"/>
      </w:r>
      <w:r w:rsidR="004A2BDA" w:rsidRPr="00A6771D">
        <w:rPr>
          <w:rFonts w:ascii="Times New Roman" w:hAnsi="Times New Roman" w:cs="Times New Roman"/>
          <w:noProof/>
          <w:sz w:val="24"/>
          <w:szCs w:val="24"/>
          <w:lang w:val="en-US"/>
        </w:rPr>
        <w:t>81</w:t>
      </w:r>
      <w:r w:rsidRPr="00A6771D">
        <w:rPr>
          <w:rFonts w:ascii="Times New Roman" w:hAnsi="Times New Roman" w:cs="Times New Roman"/>
          <w:sz w:val="24"/>
          <w:szCs w:val="24"/>
          <w:lang w:val="en-US"/>
        </w:rPr>
        <w:fldChar w:fldCharType="end"/>
      </w:r>
      <w:r w:rsidR="00A6771D">
        <w:rPr>
          <w:rFonts w:ascii="Times New Roman" w:hAnsi="Times New Roman" w:cs="Times New Roman"/>
          <w:sz w:val="24"/>
          <w:szCs w:val="24"/>
          <w:lang w:val="en-US"/>
        </w:rPr>
        <w:t>]</w:t>
      </w:r>
      <w:r w:rsidRPr="00405F18">
        <w:rPr>
          <w:rFonts w:ascii="Times New Roman" w:hAnsi="Times New Roman" w:cs="Times New Roman"/>
          <w:sz w:val="24"/>
          <w:szCs w:val="24"/>
          <w:lang w:val="en-US"/>
        </w:rPr>
        <w:t>. E</w:t>
      </w:r>
      <w:r w:rsidR="00235801" w:rsidRPr="00405F18">
        <w:rPr>
          <w:rFonts w:ascii="Times New Roman" w:hAnsi="Times New Roman" w:cs="Times New Roman"/>
          <w:sz w:val="24"/>
          <w:szCs w:val="24"/>
          <w:lang w:val="en-US"/>
        </w:rPr>
        <w:t>MT</w:t>
      </w:r>
      <w:r w:rsidRPr="00405F18">
        <w:rPr>
          <w:rFonts w:ascii="Times New Roman" w:hAnsi="Times New Roman" w:cs="Times New Roman"/>
          <w:sz w:val="24"/>
          <w:szCs w:val="24"/>
          <w:lang w:val="en-US"/>
        </w:rPr>
        <w:t xml:space="preserve"> is of great importance in renal diseases as it provides one third of fibroblasts in conditions of tubul</w:t>
      </w:r>
      <w:r w:rsidR="00235801" w:rsidRPr="00405F18">
        <w:rPr>
          <w:rFonts w:ascii="Times New Roman" w:hAnsi="Times New Roman" w:cs="Times New Roman"/>
          <w:sz w:val="24"/>
          <w:szCs w:val="24"/>
          <w:lang w:val="en-US"/>
        </w:rPr>
        <w:t>o</w:t>
      </w:r>
      <w:r w:rsidRPr="00405F18">
        <w:rPr>
          <w:rFonts w:ascii="Times New Roman" w:hAnsi="Times New Roman" w:cs="Times New Roman"/>
          <w:sz w:val="24"/>
          <w:szCs w:val="24"/>
          <w:lang w:val="en-US"/>
        </w:rPr>
        <w:t>-interstitial fibrosis</w:t>
      </w:r>
      <w:r w:rsidR="00A6771D">
        <w:rPr>
          <w:rFonts w:ascii="Times New Roman" w:hAnsi="Times New Roman" w:cs="Times New Roman"/>
          <w:sz w:val="24"/>
          <w:szCs w:val="24"/>
          <w:lang w:val="en-US"/>
        </w:rPr>
        <w:t xml:space="preserve"> [</w:t>
      </w:r>
      <w:r w:rsidRPr="00A6771D">
        <w:rPr>
          <w:rFonts w:ascii="Times New Roman" w:hAnsi="Times New Roman" w:cs="Times New Roman"/>
          <w:sz w:val="24"/>
          <w:szCs w:val="24"/>
          <w:lang w:val="en-US"/>
        </w:rPr>
        <w:fldChar w:fldCharType="begin" w:fldLock="1"/>
      </w:r>
      <w:r w:rsidR="00362664" w:rsidRPr="00A6771D">
        <w:rPr>
          <w:rFonts w:ascii="Times New Roman" w:hAnsi="Times New Roman" w:cs="Times New Roman"/>
          <w:sz w:val="24"/>
          <w:szCs w:val="24"/>
          <w:lang w:val="en-US"/>
        </w:rPr>
        <w:instrText>ADDIN CSL_CITATION {"citationItems":[{"id":"ITEM-1","itemData":{"DOI":"10.1172/JCI200320530.For","author":[{"dropping-particle":"","family":"Kalluri","given":"Raghu","non-dropping-particle":"","parse-names":false,"suffix":""},{"dropping-particle":"","family":"Neilson","given":"Eric G","non-dropping-particle":"","parse-names":false,"suffix":""},{"dropping-particle":"","family":"Kalluri","given":"Raghu","non-dropping-particle":"","parse-names":false,"suffix":""},{"dropping-particle":"","family":"Neilson","given":"Eric G","non-dropping-particle":"","parse-names":false,"suffix":""}],"id":"ITEM-1","issue":"12","issued":{"date-parts":[["2003"]]},"page":"1776-1784","title":"Epithelial-mesenchymal transition and its implications for fibrosis Find the latest version : Epithelial-mesenchymal transition and its implications for fibrosis","type":"article-journal","volume":"112"},"uris":["http://www.mendeley.com/documents/?uuid=b4b63e2c-9210-418a-8f40-6dd980b5a707"]}],"mendeley":{"formattedCitation":"&lt;sup&gt;72&lt;/sup&gt;","plainTextFormattedCitation":"72","previouslyFormattedCitation":"&lt;sup&gt;72&lt;/sup&gt;"},"properties":{"noteIndex":0},"schema":"https://github.com/citation-style-language/schema/raw/master/csl-citation.json"}</w:instrText>
      </w:r>
      <w:r w:rsidRPr="00A6771D">
        <w:rPr>
          <w:rFonts w:ascii="Times New Roman" w:hAnsi="Times New Roman" w:cs="Times New Roman"/>
          <w:sz w:val="24"/>
          <w:szCs w:val="24"/>
          <w:lang w:val="en-US"/>
        </w:rPr>
        <w:fldChar w:fldCharType="separate"/>
      </w:r>
      <w:r w:rsidR="004A2BDA" w:rsidRPr="00A6771D">
        <w:rPr>
          <w:rFonts w:ascii="Times New Roman" w:hAnsi="Times New Roman" w:cs="Times New Roman"/>
          <w:noProof/>
          <w:sz w:val="24"/>
          <w:szCs w:val="24"/>
          <w:lang w:val="en-US"/>
        </w:rPr>
        <w:t>72</w:t>
      </w:r>
      <w:r w:rsidRPr="00A6771D">
        <w:rPr>
          <w:rFonts w:ascii="Times New Roman" w:hAnsi="Times New Roman" w:cs="Times New Roman"/>
          <w:sz w:val="24"/>
          <w:szCs w:val="24"/>
          <w:lang w:val="en-US"/>
        </w:rPr>
        <w:fldChar w:fldCharType="end"/>
      </w:r>
      <w:r w:rsidR="00A6771D">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235801" w:rsidRPr="00405F18">
        <w:rPr>
          <w:rFonts w:ascii="Times New Roman" w:hAnsi="Times New Roman" w:cs="Times New Roman"/>
          <w:sz w:val="24"/>
          <w:szCs w:val="24"/>
          <w:lang w:val="en-US"/>
        </w:rPr>
        <w:t xml:space="preserve">a feature </w:t>
      </w:r>
      <w:r w:rsidRPr="00405F18">
        <w:rPr>
          <w:rFonts w:ascii="Times New Roman" w:hAnsi="Times New Roman" w:cs="Times New Roman"/>
          <w:sz w:val="24"/>
          <w:szCs w:val="24"/>
          <w:lang w:val="en-US"/>
        </w:rPr>
        <w:t xml:space="preserve">commonly associated with end-stage renal disease. In obesity-induced CKD, low-grade interstitial fibrosis </w:t>
      </w:r>
      <w:r w:rsidR="00235801" w:rsidRPr="00405F18">
        <w:rPr>
          <w:rFonts w:ascii="Times New Roman" w:hAnsi="Times New Roman" w:cs="Times New Roman"/>
          <w:sz w:val="24"/>
          <w:szCs w:val="24"/>
          <w:lang w:val="en-US"/>
        </w:rPr>
        <w:t>i</w:t>
      </w:r>
      <w:r w:rsidRPr="00405F18">
        <w:rPr>
          <w:rFonts w:ascii="Times New Roman" w:hAnsi="Times New Roman" w:cs="Times New Roman"/>
          <w:sz w:val="24"/>
          <w:szCs w:val="24"/>
          <w:lang w:val="en-US"/>
        </w:rPr>
        <w:t>s commonly reported but the underlying</w:t>
      </w:r>
      <w:r w:rsidR="00235801" w:rsidRPr="00405F18">
        <w:rPr>
          <w:rFonts w:ascii="Times New Roman" w:hAnsi="Times New Roman" w:cs="Times New Roman"/>
          <w:sz w:val="24"/>
          <w:szCs w:val="24"/>
          <w:lang w:val="en-US"/>
        </w:rPr>
        <w:t xml:space="preserve"> mechanisms</w:t>
      </w:r>
      <w:r w:rsidRPr="00405F18">
        <w:rPr>
          <w:rFonts w:ascii="Times New Roman" w:hAnsi="Times New Roman" w:cs="Times New Roman"/>
          <w:sz w:val="24"/>
          <w:szCs w:val="24"/>
          <w:lang w:val="en-US"/>
        </w:rPr>
        <w:t xml:space="preserve"> remain to be understood. Because</w:t>
      </w:r>
      <w:r w:rsidR="0031244A" w:rsidRPr="00405F18">
        <w:rPr>
          <w:rFonts w:ascii="Times New Roman" w:hAnsi="Times New Roman" w:cs="Times New Roman"/>
          <w:sz w:val="24"/>
          <w:szCs w:val="24"/>
          <w:lang w:val="en-US"/>
        </w:rPr>
        <w:t xml:space="preserve"> we showed that</w:t>
      </w:r>
      <w:r w:rsidRPr="00405F18">
        <w:rPr>
          <w:rFonts w:ascii="Times New Roman" w:hAnsi="Times New Roman" w:cs="Times New Roman"/>
          <w:sz w:val="24"/>
          <w:szCs w:val="24"/>
          <w:lang w:val="en-US"/>
        </w:rPr>
        <w:t xml:space="preserve"> PTEC</w:t>
      </w:r>
      <w:r w:rsidR="00162F8A"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 </w:t>
      </w:r>
      <w:r w:rsidR="00235801" w:rsidRPr="00405F18">
        <w:rPr>
          <w:rFonts w:ascii="Times New Roman" w:hAnsi="Times New Roman" w:cs="Times New Roman"/>
          <w:sz w:val="24"/>
          <w:szCs w:val="24"/>
          <w:lang w:val="en-US"/>
        </w:rPr>
        <w:t>undergo</w:t>
      </w:r>
      <w:r w:rsidRPr="00405F18">
        <w:rPr>
          <w:rFonts w:ascii="Times New Roman" w:hAnsi="Times New Roman" w:cs="Times New Roman"/>
          <w:sz w:val="24"/>
          <w:szCs w:val="24"/>
          <w:lang w:val="en-US"/>
        </w:rPr>
        <w:t xml:space="preserve"> EM</w:t>
      </w:r>
      <w:r w:rsidR="00235801" w:rsidRPr="00405F18">
        <w:rPr>
          <w:rFonts w:ascii="Times New Roman" w:hAnsi="Times New Roman" w:cs="Times New Roman"/>
          <w:sz w:val="24"/>
          <w:szCs w:val="24"/>
          <w:lang w:val="en-US"/>
        </w:rPr>
        <w:t>T</w:t>
      </w:r>
      <w:r w:rsidRPr="00405F18">
        <w:rPr>
          <w:rFonts w:ascii="Times New Roman" w:hAnsi="Times New Roman" w:cs="Times New Roman"/>
          <w:sz w:val="24"/>
          <w:szCs w:val="24"/>
          <w:lang w:val="en-US"/>
        </w:rPr>
        <w:t>, they m</w:t>
      </w:r>
      <w:r w:rsidR="009179F2" w:rsidRPr="00405F18">
        <w:rPr>
          <w:rFonts w:ascii="Times New Roman" w:hAnsi="Times New Roman" w:cs="Times New Roman"/>
          <w:sz w:val="24"/>
          <w:szCs w:val="24"/>
          <w:lang w:val="en-US"/>
        </w:rPr>
        <w:t>ight</w:t>
      </w:r>
      <w:r w:rsidRPr="00405F18">
        <w:rPr>
          <w:rFonts w:ascii="Times New Roman" w:hAnsi="Times New Roman" w:cs="Times New Roman"/>
          <w:sz w:val="24"/>
          <w:szCs w:val="24"/>
          <w:lang w:val="en-US"/>
        </w:rPr>
        <w:t xml:space="preserve"> play a role upon metabolic injury in the occurrence of tubul</w:t>
      </w:r>
      <w:r w:rsidR="0031244A" w:rsidRPr="00405F18">
        <w:rPr>
          <w:rFonts w:ascii="Times New Roman" w:hAnsi="Times New Roman" w:cs="Times New Roman"/>
          <w:sz w:val="24"/>
          <w:szCs w:val="24"/>
          <w:lang w:val="en-US"/>
        </w:rPr>
        <w:t>o</w:t>
      </w:r>
      <w:r w:rsidRPr="00405F18">
        <w:rPr>
          <w:rFonts w:ascii="Times New Roman" w:hAnsi="Times New Roman" w:cs="Times New Roman"/>
          <w:sz w:val="24"/>
          <w:szCs w:val="24"/>
          <w:lang w:val="en-US"/>
        </w:rPr>
        <w:t>-interstitial fibrosis</w:t>
      </w:r>
      <w:r w:rsidR="00394C97" w:rsidRPr="00405F18">
        <w:rPr>
          <w:rFonts w:ascii="Times New Roman" w:hAnsi="Times New Roman" w:cs="Times New Roman"/>
          <w:sz w:val="24"/>
          <w:szCs w:val="24"/>
          <w:lang w:val="en-US"/>
        </w:rPr>
        <w:t>,</w:t>
      </w:r>
      <w:r w:rsidR="008B621E" w:rsidRPr="00405F18">
        <w:rPr>
          <w:rFonts w:ascii="Times New Roman" w:hAnsi="Times New Roman" w:cs="Times New Roman"/>
          <w:sz w:val="24"/>
          <w:szCs w:val="24"/>
          <w:lang w:val="en-US"/>
        </w:rPr>
        <w:t xml:space="preserve"> which </w:t>
      </w:r>
      <w:proofErr w:type="gramStart"/>
      <w:r w:rsidR="008B621E" w:rsidRPr="00405F18">
        <w:rPr>
          <w:rFonts w:ascii="Times New Roman" w:hAnsi="Times New Roman" w:cs="Times New Roman"/>
          <w:sz w:val="24"/>
          <w:szCs w:val="24"/>
          <w:lang w:val="en-US"/>
        </w:rPr>
        <w:t>need</w:t>
      </w:r>
      <w:proofErr w:type="gramEnd"/>
      <w:r w:rsidR="008B621E" w:rsidRPr="00405F18">
        <w:rPr>
          <w:rFonts w:ascii="Times New Roman" w:hAnsi="Times New Roman" w:cs="Times New Roman"/>
          <w:sz w:val="24"/>
          <w:szCs w:val="24"/>
          <w:lang w:val="en-US"/>
        </w:rPr>
        <w:t xml:space="preserve"> to be further addressed. </w:t>
      </w:r>
    </w:p>
    <w:p w14:paraId="74DCA4BE" w14:textId="753E624A" w:rsidR="00235363" w:rsidRPr="00405F18" w:rsidRDefault="00813CFE" w:rsidP="00A6771D">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In conclusion, our d</w:t>
      </w:r>
      <w:r w:rsidR="00E84D5D" w:rsidRPr="00405F18">
        <w:rPr>
          <w:rFonts w:ascii="Times New Roman" w:hAnsi="Times New Roman" w:cs="Times New Roman"/>
          <w:sz w:val="24"/>
          <w:szCs w:val="24"/>
          <w:lang w:val="en-US"/>
        </w:rPr>
        <w:t>ata</w:t>
      </w:r>
      <w:r w:rsidR="00531078" w:rsidRPr="00405F18">
        <w:rPr>
          <w:rFonts w:ascii="Times New Roman" w:hAnsi="Times New Roman" w:cs="Times New Roman"/>
          <w:sz w:val="24"/>
          <w:szCs w:val="24"/>
          <w:lang w:val="en-US"/>
        </w:rPr>
        <w:t xml:space="preserve"> </w:t>
      </w:r>
      <w:r w:rsidR="008461A9" w:rsidRPr="00405F18">
        <w:rPr>
          <w:rFonts w:ascii="Times New Roman" w:hAnsi="Times New Roman" w:cs="Times New Roman"/>
          <w:sz w:val="24"/>
          <w:szCs w:val="24"/>
          <w:lang w:val="en-US"/>
        </w:rPr>
        <w:t xml:space="preserve">highlighted the importance of </w:t>
      </w:r>
      <w:r w:rsidR="00531078" w:rsidRPr="00405F18">
        <w:rPr>
          <w:rFonts w:ascii="Times New Roman" w:hAnsi="Times New Roman" w:cs="Times New Roman"/>
          <w:sz w:val="24"/>
          <w:szCs w:val="24"/>
          <w:lang w:val="en-US"/>
        </w:rPr>
        <w:t>lysosomal homeostasis</w:t>
      </w:r>
      <w:r w:rsidR="00132F13" w:rsidRPr="00405F18">
        <w:rPr>
          <w:rFonts w:ascii="Times New Roman" w:hAnsi="Times New Roman" w:cs="Times New Roman"/>
          <w:sz w:val="24"/>
          <w:szCs w:val="24"/>
          <w:lang w:val="en-US"/>
        </w:rPr>
        <w:t xml:space="preserve"> </w:t>
      </w:r>
      <w:r w:rsidR="008461A9" w:rsidRPr="00405F18">
        <w:rPr>
          <w:rFonts w:ascii="Times New Roman" w:hAnsi="Times New Roman" w:cs="Times New Roman"/>
          <w:sz w:val="24"/>
          <w:szCs w:val="24"/>
          <w:lang w:val="en-US"/>
        </w:rPr>
        <w:t xml:space="preserve">for </w:t>
      </w:r>
      <w:r w:rsidR="007E2082" w:rsidRPr="00405F18">
        <w:rPr>
          <w:rFonts w:ascii="Times New Roman" w:hAnsi="Times New Roman" w:cs="Times New Roman"/>
          <w:sz w:val="24"/>
          <w:szCs w:val="24"/>
          <w:lang w:val="en-US"/>
        </w:rPr>
        <w:t>PTEC physiology.</w:t>
      </w:r>
      <w:r w:rsidR="00A66522" w:rsidRPr="00405F18">
        <w:rPr>
          <w:rFonts w:ascii="Times New Roman" w:hAnsi="Times New Roman" w:cs="Times New Roman"/>
          <w:sz w:val="24"/>
          <w:szCs w:val="24"/>
          <w:lang w:val="en-US"/>
        </w:rPr>
        <w:t xml:space="preserve"> Increasing recent evidence on several cell types point out lysosomes as </w:t>
      </w:r>
      <w:proofErr w:type="gramStart"/>
      <w:r w:rsidR="00A66522" w:rsidRPr="00405F18">
        <w:rPr>
          <w:rFonts w:ascii="Times New Roman" w:hAnsi="Times New Roman" w:cs="Times New Roman"/>
          <w:sz w:val="24"/>
          <w:szCs w:val="24"/>
          <w:lang w:val="en-US"/>
        </w:rPr>
        <w:t>direct</w:t>
      </w:r>
      <w:proofErr w:type="gramEnd"/>
      <w:r w:rsidR="00A66522" w:rsidRPr="00405F18">
        <w:rPr>
          <w:rFonts w:ascii="Times New Roman" w:hAnsi="Times New Roman" w:cs="Times New Roman"/>
          <w:sz w:val="24"/>
          <w:szCs w:val="24"/>
          <w:lang w:val="en-US"/>
        </w:rPr>
        <w:t xml:space="preserve"> target </w:t>
      </w:r>
      <w:r w:rsidR="00A66522" w:rsidRPr="00405F18">
        <w:rPr>
          <w:rFonts w:ascii="Times New Roman" w:hAnsi="Times New Roman" w:cs="Times New Roman"/>
          <w:sz w:val="24"/>
          <w:szCs w:val="24"/>
          <w:lang w:val="en-US"/>
        </w:rPr>
        <w:lastRenderedPageBreak/>
        <w:t>of injury upon excess of saturated FA</w:t>
      </w:r>
      <w:r w:rsidR="00FC5917" w:rsidRPr="00405F18">
        <w:rPr>
          <w:rFonts w:ascii="Times New Roman" w:hAnsi="Times New Roman" w:cs="Times New Roman"/>
          <w:sz w:val="24"/>
          <w:szCs w:val="24"/>
          <w:lang w:val="en-US"/>
        </w:rPr>
        <w:t>s</w:t>
      </w:r>
      <w:r w:rsidR="00A66522" w:rsidRPr="00405F18">
        <w:rPr>
          <w:rFonts w:ascii="Times New Roman" w:hAnsi="Times New Roman" w:cs="Times New Roman"/>
          <w:sz w:val="24"/>
          <w:szCs w:val="24"/>
          <w:lang w:val="en-US"/>
        </w:rPr>
        <w:t>. The present study reinforced this hypothesis</w:t>
      </w:r>
      <w:r w:rsidR="008275E5" w:rsidRPr="00405F18">
        <w:rPr>
          <w:rFonts w:ascii="Times New Roman" w:hAnsi="Times New Roman" w:cs="Times New Roman"/>
          <w:sz w:val="24"/>
          <w:szCs w:val="24"/>
          <w:lang w:val="en-US"/>
        </w:rPr>
        <w:t>;</w:t>
      </w:r>
      <w:r w:rsidR="00A66522" w:rsidRPr="00405F18">
        <w:rPr>
          <w:rFonts w:ascii="Times New Roman" w:hAnsi="Times New Roman" w:cs="Times New Roman"/>
          <w:sz w:val="24"/>
          <w:szCs w:val="24"/>
          <w:lang w:val="en-US"/>
        </w:rPr>
        <w:t xml:space="preserve"> ly</w:t>
      </w:r>
      <w:r w:rsidR="00E84D5D" w:rsidRPr="00405F18">
        <w:rPr>
          <w:rFonts w:ascii="Times New Roman" w:hAnsi="Times New Roman" w:cs="Times New Roman"/>
          <w:sz w:val="24"/>
          <w:szCs w:val="24"/>
          <w:lang w:val="en-US"/>
        </w:rPr>
        <w:t xml:space="preserve">sosomal </w:t>
      </w:r>
      <w:r w:rsidR="00A66522" w:rsidRPr="00405F18">
        <w:rPr>
          <w:rFonts w:ascii="Times New Roman" w:hAnsi="Times New Roman" w:cs="Times New Roman"/>
          <w:sz w:val="24"/>
          <w:szCs w:val="24"/>
          <w:lang w:val="en-US"/>
        </w:rPr>
        <w:t>acidification</w:t>
      </w:r>
      <w:r w:rsidR="00E84D5D" w:rsidRPr="00405F18">
        <w:rPr>
          <w:rFonts w:ascii="Times New Roman" w:hAnsi="Times New Roman" w:cs="Times New Roman"/>
          <w:sz w:val="24"/>
          <w:szCs w:val="24"/>
          <w:lang w:val="en-US"/>
        </w:rPr>
        <w:t xml:space="preserve"> w</w:t>
      </w:r>
      <w:r w:rsidR="006F1C29" w:rsidRPr="00405F18">
        <w:rPr>
          <w:rFonts w:ascii="Times New Roman" w:hAnsi="Times New Roman" w:cs="Times New Roman"/>
          <w:sz w:val="24"/>
          <w:szCs w:val="24"/>
          <w:lang w:val="en-US"/>
        </w:rPr>
        <w:t>a</w:t>
      </w:r>
      <w:r w:rsidR="005D043E" w:rsidRPr="00405F18">
        <w:rPr>
          <w:rFonts w:ascii="Times New Roman" w:hAnsi="Times New Roman" w:cs="Times New Roman"/>
          <w:sz w:val="24"/>
          <w:szCs w:val="24"/>
          <w:lang w:val="en-US"/>
        </w:rPr>
        <w:t>s</w:t>
      </w:r>
      <w:r w:rsidR="00E84D5D" w:rsidRPr="00405F18">
        <w:rPr>
          <w:rFonts w:ascii="Times New Roman" w:hAnsi="Times New Roman" w:cs="Times New Roman"/>
          <w:sz w:val="24"/>
          <w:szCs w:val="24"/>
          <w:lang w:val="en-US"/>
        </w:rPr>
        <w:t xml:space="preserve"> </w:t>
      </w:r>
      <w:r w:rsidR="00A66522" w:rsidRPr="00405F18">
        <w:rPr>
          <w:rFonts w:ascii="Times New Roman" w:hAnsi="Times New Roman" w:cs="Times New Roman"/>
          <w:sz w:val="24"/>
          <w:szCs w:val="24"/>
          <w:lang w:val="en-US"/>
        </w:rPr>
        <w:t>shown</w:t>
      </w:r>
      <w:r w:rsidR="00E84D5D" w:rsidRPr="00405F18">
        <w:rPr>
          <w:rFonts w:ascii="Times New Roman" w:hAnsi="Times New Roman" w:cs="Times New Roman"/>
          <w:sz w:val="24"/>
          <w:szCs w:val="24"/>
          <w:lang w:val="en-US"/>
        </w:rPr>
        <w:t xml:space="preserve"> </w:t>
      </w:r>
      <w:r w:rsidR="00040EAE" w:rsidRPr="00405F18">
        <w:rPr>
          <w:rFonts w:ascii="Times New Roman" w:hAnsi="Times New Roman" w:cs="Times New Roman"/>
          <w:sz w:val="24"/>
          <w:szCs w:val="24"/>
          <w:lang w:val="en-US"/>
        </w:rPr>
        <w:t xml:space="preserve">in response to </w:t>
      </w:r>
      <w:r w:rsidR="00A66522" w:rsidRPr="00405F18">
        <w:rPr>
          <w:rFonts w:ascii="Times New Roman" w:hAnsi="Times New Roman" w:cs="Times New Roman"/>
          <w:sz w:val="24"/>
          <w:szCs w:val="24"/>
          <w:lang w:val="en-US"/>
        </w:rPr>
        <w:t>PA</w:t>
      </w:r>
      <w:r w:rsidR="00040EAE" w:rsidRPr="00405F18">
        <w:rPr>
          <w:rFonts w:ascii="Times New Roman" w:hAnsi="Times New Roman" w:cs="Times New Roman"/>
          <w:sz w:val="24"/>
          <w:szCs w:val="24"/>
          <w:lang w:val="en-US"/>
        </w:rPr>
        <w:t xml:space="preserve"> which </w:t>
      </w:r>
      <w:r w:rsidR="006F1C29" w:rsidRPr="00405F18">
        <w:rPr>
          <w:rFonts w:ascii="Times New Roman" w:hAnsi="Times New Roman" w:cs="Times New Roman"/>
          <w:sz w:val="24"/>
          <w:szCs w:val="24"/>
          <w:lang w:val="en-US"/>
        </w:rPr>
        <w:t>led</w:t>
      </w:r>
      <w:r w:rsidR="00040EAE" w:rsidRPr="00405F18">
        <w:rPr>
          <w:rFonts w:ascii="Times New Roman" w:hAnsi="Times New Roman" w:cs="Times New Roman"/>
          <w:sz w:val="24"/>
          <w:szCs w:val="24"/>
          <w:lang w:val="en-US"/>
        </w:rPr>
        <w:t xml:space="preserve"> to</w:t>
      </w:r>
      <w:r w:rsidR="008461A9" w:rsidRPr="00405F18">
        <w:rPr>
          <w:rFonts w:ascii="Times New Roman" w:hAnsi="Times New Roman" w:cs="Times New Roman"/>
          <w:sz w:val="24"/>
          <w:szCs w:val="24"/>
          <w:lang w:val="en-US"/>
        </w:rPr>
        <w:t xml:space="preserve"> loss of both </w:t>
      </w:r>
      <w:r w:rsidR="006F1C29" w:rsidRPr="00405F18">
        <w:rPr>
          <w:rFonts w:ascii="Times New Roman" w:hAnsi="Times New Roman" w:cs="Times New Roman"/>
          <w:sz w:val="24"/>
          <w:szCs w:val="24"/>
          <w:lang w:val="en-US"/>
        </w:rPr>
        <w:t xml:space="preserve">PTEC function and </w:t>
      </w:r>
      <w:r w:rsidR="00D81EAE" w:rsidRPr="00405F18">
        <w:rPr>
          <w:rFonts w:ascii="Times New Roman" w:hAnsi="Times New Roman" w:cs="Times New Roman"/>
          <w:sz w:val="24"/>
          <w:szCs w:val="24"/>
          <w:lang w:val="en-US"/>
        </w:rPr>
        <w:t>differentiation profile</w:t>
      </w:r>
      <w:r w:rsidR="006F1C29" w:rsidRPr="00405F18">
        <w:rPr>
          <w:rFonts w:ascii="Times New Roman" w:hAnsi="Times New Roman" w:cs="Times New Roman"/>
          <w:sz w:val="24"/>
          <w:szCs w:val="24"/>
          <w:lang w:val="en-US"/>
        </w:rPr>
        <w:t>.</w:t>
      </w:r>
      <w:r w:rsidR="008A7E7D" w:rsidRPr="00405F18">
        <w:rPr>
          <w:rFonts w:ascii="Times New Roman" w:hAnsi="Times New Roman" w:cs="Times New Roman"/>
          <w:sz w:val="24"/>
          <w:szCs w:val="24"/>
          <w:lang w:val="en-US"/>
        </w:rPr>
        <w:t xml:space="preserve"> </w:t>
      </w:r>
      <w:r w:rsidR="006F1C29" w:rsidRPr="00405F18">
        <w:rPr>
          <w:rFonts w:ascii="Times New Roman" w:hAnsi="Times New Roman" w:cs="Times New Roman"/>
          <w:sz w:val="24"/>
          <w:szCs w:val="24"/>
          <w:lang w:val="en-US"/>
        </w:rPr>
        <w:t>In addition,</w:t>
      </w:r>
      <w:r w:rsidR="00E31E68" w:rsidRPr="00405F18">
        <w:rPr>
          <w:rFonts w:ascii="Times New Roman" w:hAnsi="Times New Roman" w:cs="Times New Roman"/>
          <w:sz w:val="24"/>
          <w:szCs w:val="24"/>
          <w:lang w:val="en-US"/>
        </w:rPr>
        <w:t xml:space="preserve"> we highlighted the potential of</w:t>
      </w:r>
      <w:r w:rsidR="006F1C29" w:rsidRPr="00405F18">
        <w:rPr>
          <w:rFonts w:ascii="Times New Roman" w:hAnsi="Times New Roman" w:cs="Times New Roman"/>
          <w:sz w:val="24"/>
          <w:szCs w:val="24"/>
          <w:lang w:val="en-US"/>
        </w:rPr>
        <w:t xml:space="preserve"> </w:t>
      </w:r>
      <w:r w:rsidR="007E2082" w:rsidRPr="00405F18">
        <w:rPr>
          <w:rFonts w:ascii="Times New Roman" w:hAnsi="Times New Roman" w:cs="Times New Roman"/>
          <w:sz w:val="24"/>
          <w:szCs w:val="24"/>
          <w:lang w:val="en-US"/>
        </w:rPr>
        <w:t>lysosomal function</w:t>
      </w:r>
      <w:r w:rsidR="00E31E68" w:rsidRPr="00405F18">
        <w:rPr>
          <w:rFonts w:ascii="Times New Roman" w:hAnsi="Times New Roman" w:cs="Times New Roman"/>
          <w:sz w:val="24"/>
          <w:szCs w:val="24"/>
          <w:lang w:val="en-US"/>
        </w:rPr>
        <w:t xml:space="preserve"> maintenance as a</w:t>
      </w:r>
      <w:r w:rsidR="00963F9E" w:rsidRPr="00405F18">
        <w:rPr>
          <w:rFonts w:ascii="Times New Roman" w:hAnsi="Times New Roman" w:cs="Times New Roman"/>
          <w:sz w:val="24"/>
          <w:szCs w:val="24"/>
          <w:lang w:val="en-US"/>
        </w:rPr>
        <w:t xml:space="preserve"> valuable </w:t>
      </w:r>
      <w:r w:rsidR="00E31E68" w:rsidRPr="00405F18">
        <w:rPr>
          <w:rFonts w:ascii="Times New Roman" w:hAnsi="Times New Roman" w:cs="Times New Roman"/>
          <w:sz w:val="24"/>
          <w:szCs w:val="24"/>
          <w:lang w:val="en-US"/>
        </w:rPr>
        <w:t>therapeutic strategy</w:t>
      </w:r>
      <w:r w:rsidR="00054249" w:rsidRPr="00405F18">
        <w:rPr>
          <w:rFonts w:ascii="Times New Roman" w:hAnsi="Times New Roman" w:cs="Times New Roman"/>
          <w:sz w:val="24"/>
          <w:szCs w:val="24"/>
          <w:lang w:val="en-US"/>
        </w:rPr>
        <w:t xml:space="preserve"> to counteract the effect </w:t>
      </w:r>
      <w:r w:rsidR="007E2082" w:rsidRPr="00405F18">
        <w:rPr>
          <w:rFonts w:ascii="Times New Roman" w:hAnsi="Times New Roman" w:cs="Times New Roman"/>
          <w:sz w:val="24"/>
          <w:szCs w:val="24"/>
          <w:lang w:val="en-US"/>
        </w:rPr>
        <w:t xml:space="preserve">of </w:t>
      </w:r>
      <w:proofErr w:type="spellStart"/>
      <w:r w:rsidR="007E2082" w:rsidRPr="00405F18">
        <w:rPr>
          <w:rFonts w:ascii="Times New Roman" w:hAnsi="Times New Roman" w:cs="Times New Roman"/>
          <w:sz w:val="24"/>
          <w:szCs w:val="24"/>
          <w:lang w:val="en-US"/>
        </w:rPr>
        <w:t>lip</w:t>
      </w:r>
      <w:r w:rsidR="00E31E68" w:rsidRPr="00405F18">
        <w:rPr>
          <w:rFonts w:ascii="Times New Roman" w:hAnsi="Times New Roman" w:cs="Times New Roman"/>
          <w:sz w:val="24"/>
          <w:szCs w:val="24"/>
          <w:lang w:val="en-US"/>
        </w:rPr>
        <w:t>otoxicity</w:t>
      </w:r>
      <w:proofErr w:type="spellEnd"/>
      <w:r w:rsidR="00E31E68" w:rsidRPr="00405F18">
        <w:rPr>
          <w:rFonts w:ascii="Times New Roman" w:hAnsi="Times New Roman" w:cs="Times New Roman"/>
          <w:sz w:val="24"/>
          <w:szCs w:val="24"/>
          <w:lang w:val="en-US"/>
        </w:rPr>
        <w:t xml:space="preserve"> in PTEC</w:t>
      </w:r>
      <w:r w:rsidR="00162F8A" w:rsidRPr="00405F18">
        <w:rPr>
          <w:rFonts w:ascii="Times New Roman" w:hAnsi="Times New Roman" w:cs="Times New Roman"/>
          <w:sz w:val="24"/>
          <w:szCs w:val="24"/>
          <w:lang w:val="en-US"/>
        </w:rPr>
        <w:t>s</w:t>
      </w:r>
      <w:r w:rsidR="005C50A7" w:rsidRPr="00405F18">
        <w:rPr>
          <w:rFonts w:ascii="Times New Roman" w:hAnsi="Times New Roman" w:cs="Times New Roman"/>
          <w:sz w:val="24"/>
          <w:szCs w:val="24"/>
          <w:lang w:val="en-US"/>
        </w:rPr>
        <w:t xml:space="preserve"> and further demonstrated the </w:t>
      </w:r>
      <w:r w:rsidR="00C94C8A" w:rsidRPr="00405F18">
        <w:rPr>
          <w:rFonts w:ascii="Times New Roman" w:hAnsi="Times New Roman" w:cs="Times New Roman"/>
          <w:sz w:val="24"/>
          <w:szCs w:val="24"/>
          <w:lang w:val="en-US"/>
        </w:rPr>
        <w:t xml:space="preserve">benefits </w:t>
      </w:r>
      <w:r w:rsidR="005C50A7" w:rsidRPr="00405F18">
        <w:rPr>
          <w:rFonts w:ascii="Times New Roman" w:hAnsi="Times New Roman" w:cs="Times New Roman"/>
          <w:sz w:val="24"/>
          <w:szCs w:val="24"/>
          <w:lang w:val="en-US"/>
        </w:rPr>
        <w:t xml:space="preserve">of AMPK </w:t>
      </w:r>
      <w:r w:rsidR="00F53F57" w:rsidRPr="00405F18">
        <w:rPr>
          <w:rFonts w:ascii="Times New Roman" w:hAnsi="Times New Roman" w:cs="Times New Roman"/>
          <w:sz w:val="24"/>
          <w:szCs w:val="24"/>
          <w:lang w:val="en-US"/>
        </w:rPr>
        <w:t>activation</w:t>
      </w:r>
      <w:r w:rsidR="005C50A7" w:rsidRPr="00405F18">
        <w:rPr>
          <w:rFonts w:ascii="Times New Roman" w:hAnsi="Times New Roman" w:cs="Times New Roman"/>
          <w:sz w:val="24"/>
          <w:szCs w:val="24"/>
          <w:lang w:val="en-US"/>
        </w:rPr>
        <w:t xml:space="preserve"> in this context</w:t>
      </w:r>
      <w:r w:rsidR="0042146B" w:rsidRPr="00405F18">
        <w:rPr>
          <w:rFonts w:ascii="Times New Roman" w:hAnsi="Times New Roman" w:cs="Times New Roman"/>
          <w:sz w:val="24"/>
          <w:szCs w:val="24"/>
          <w:lang w:val="en-US"/>
        </w:rPr>
        <w:t xml:space="preserve">. </w:t>
      </w:r>
      <w:r w:rsidR="00235363" w:rsidRPr="00405F18">
        <w:rPr>
          <w:rFonts w:ascii="Times New Roman" w:hAnsi="Times New Roman" w:cs="Times New Roman"/>
          <w:sz w:val="24"/>
          <w:szCs w:val="24"/>
          <w:lang w:val="en-US"/>
        </w:rPr>
        <w:br w:type="page"/>
      </w:r>
    </w:p>
    <w:p w14:paraId="7873D9CE" w14:textId="4E4F30F4" w:rsidR="00E1398C" w:rsidRPr="00405F18" w:rsidRDefault="00E1398C"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b/>
          <w:bCs/>
          <w:sz w:val="24"/>
          <w:szCs w:val="24"/>
          <w:lang w:val="en-US"/>
        </w:rPr>
        <w:lastRenderedPageBreak/>
        <w:t>Material and methods</w:t>
      </w:r>
    </w:p>
    <w:p w14:paraId="0F779DB7" w14:textId="77777777" w:rsidR="00E1398C" w:rsidRPr="00405F18" w:rsidRDefault="00E1398C" w:rsidP="00270044">
      <w:pPr>
        <w:spacing w:after="100" w:afterAutospacing="1" w:line="480" w:lineRule="auto"/>
        <w:jc w:val="both"/>
        <w:rPr>
          <w:rFonts w:ascii="Times New Roman" w:hAnsi="Times New Roman" w:cs="Times New Roman"/>
          <w:b/>
          <w:bCs/>
          <w:sz w:val="24"/>
          <w:szCs w:val="24"/>
          <w:lang w:val="en-US"/>
        </w:rPr>
      </w:pPr>
      <w:r w:rsidRPr="00F25AA8">
        <w:rPr>
          <w:rFonts w:ascii="Times New Roman" w:hAnsi="Times New Roman" w:cs="Times New Roman"/>
          <w:b/>
          <w:bCs/>
          <w:i/>
          <w:iCs/>
          <w:sz w:val="24"/>
          <w:szCs w:val="24"/>
          <w:lang w:val="en-US"/>
        </w:rPr>
        <w:t>Antibodies</w:t>
      </w:r>
      <w:r w:rsidRPr="00405F18">
        <w:rPr>
          <w:rFonts w:ascii="Times New Roman" w:hAnsi="Times New Roman" w:cs="Times New Roman"/>
          <w:b/>
          <w:bCs/>
          <w:sz w:val="24"/>
          <w:szCs w:val="24"/>
          <w:lang w:val="en-US"/>
        </w:rPr>
        <w:t xml:space="preserve"> </w:t>
      </w:r>
    </w:p>
    <w:p w14:paraId="7AEA1BEA" w14:textId="12CBB533" w:rsidR="00E1398C" w:rsidRPr="00405F18" w:rsidRDefault="00E1398C"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The following antibodies were used for </w:t>
      </w:r>
      <w:bookmarkStart w:id="11" w:name="_Hlk160295573"/>
      <w:r w:rsidRPr="00405F18">
        <w:rPr>
          <w:rFonts w:ascii="Times New Roman" w:hAnsi="Times New Roman" w:cs="Times New Roman"/>
          <w:sz w:val="24"/>
          <w:szCs w:val="24"/>
          <w:lang w:val="en-US"/>
        </w:rPr>
        <w:t>immunofluorescence</w:t>
      </w:r>
      <w:bookmarkEnd w:id="11"/>
      <w:r w:rsidRPr="00405F18">
        <w:rPr>
          <w:rFonts w:ascii="Times New Roman" w:hAnsi="Times New Roman" w:cs="Times New Roman"/>
          <w:sz w:val="24"/>
          <w:szCs w:val="24"/>
          <w:lang w:val="en-US"/>
        </w:rPr>
        <w:t xml:space="preserve"> (IF) or western blot analysis (WB): </w:t>
      </w:r>
      <w:r w:rsidR="00E11F6C">
        <w:rPr>
          <w:rFonts w:ascii="Times New Roman" w:hAnsi="Times New Roman" w:cs="Times New Roman"/>
          <w:sz w:val="24"/>
          <w:szCs w:val="24"/>
          <w:lang w:val="en-US"/>
        </w:rPr>
        <w:t>EIF</w:t>
      </w:r>
      <w:r w:rsidRPr="00405F18">
        <w:rPr>
          <w:rFonts w:ascii="Times New Roman" w:hAnsi="Times New Roman" w:cs="Times New Roman"/>
          <w:sz w:val="24"/>
          <w:szCs w:val="24"/>
          <w:lang w:val="en-US"/>
        </w:rPr>
        <w:t>4EBP1 (Cell Signaling Technology, 9644S; WB, 1:1000); phospho-</w:t>
      </w:r>
      <w:r w:rsidR="00E11F6C">
        <w:rPr>
          <w:rFonts w:ascii="Times New Roman" w:hAnsi="Times New Roman" w:cs="Times New Roman"/>
          <w:sz w:val="24"/>
          <w:szCs w:val="24"/>
          <w:lang w:val="en-US"/>
        </w:rPr>
        <w:t>EIF</w:t>
      </w:r>
      <w:r w:rsidRPr="00405F18">
        <w:rPr>
          <w:rFonts w:ascii="Times New Roman" w:hAnsi="Times New Roman" w:cs="Times New Roman"/>
          <w:sz w:val="24"/>
          <w:szCs w:val="24"/>
          <w:lang w:val="en-US"/>
        </w:rPr>
        <w:t>4EBP1 (Thr37/46</w:t>
      </w:r>
      <w:r w:rsidR="00E11F6C">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Cell Signaling Technology, 2855S; WB, 1:1000); </w:t>
      </w:r>
      <w:r w:rsidR="00E11F6C">
        <w:rPr>
          <w:rFonts w:ascii="Times New Roman" w:hAnsi="Times New Roman" w:cs="Times New Roman"/>
          <w:sz w:val="24"/>
          <w:szCs w:val="24"/>
          <w:lang w:val="en-US"/>
        </w:rPr>
        <w:t>ACAC</w:t>
      </w:r>
      <w:r w:rsidRPr="00405F18">
        <w:rPr>
          <w:rFonts w:ascii="Times New Roman" w:hAnsi="Times New Roman" w:cs="Times New Roman"/>
          <w:sz w:val="24"/>
          <w:szCs w:val="24"/>
          <w:lang w:val="en-US"/>
        </w:rPr>
        <w:t xml:space="preserve"> (Cell Signaling Technology, 3676; WB, 1:1000); phospho-</w:t>
      </w:r>
      <w:r w:rsidR="00E11F6C">
        <w:rPr>
          <w:rFonts w:ascii="Times New Roman" w:hAnsi="Times New Roman" w:cs="Times New Roman"/>
          <w:sz w:val="24"/>
          <w:szCs w:val="24"/>
          <w:lang w:val="en-US"/>
        </w:rPr>
        <w:t>ACAC</w:t>
      </w:r>
      <w:r w:rsidRPr="00405F18">
        <w:rPr>
          <w:rFonts w:ascii="Times New Roman" w:hAnsi="Times New Roman" w:cs="Times New Roman"/>
          <w:sz w:val="24"/>
          <w:szCs w:val="24"/>
          <w:lang w:val="en-US"/>
        </w:rPr>
        <w:t xml:space="preserve"> (Ser79</w:t>
      </w:r>
      <w:r w:rsidR="00E11F6C">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Cell Signaling Technology, 11818; WB, 1:100); </w:t>
      </w:r>
      <w:r w:rsidR="00E11F6C">
        <w:rPr>
          <w:rFonts w:ascii="Times New Roman" w:hAnsi="Times New Roman" w:cs="Times New Roman"/>
          <w:sz w:val="24"/>
          <w:szCs w:val="24"/>
          <w:lang w:val="en-US"/>
        </w:rPr>
        <w:t>PRKAA/</w:t>
      </w:r>
      <w:r w:rsidRPr="00405F18">
        <w:rPr>
          <w:rFonts w:ascii="Times New Roman" w:hAnsi="Times New Roman" w:cs="Times New Roman"/>
          <w:sz w:val="24"/>
          <w:szCs w:val="24"/>
          <w:lang w:val="en-US"/>
        </w:rPr>
        <w:t>AMPKα (Cell Signaling Technology, 2532; WB, 1:1000); phospho-</w:t>
      </w:r>
      <w:r w:rsidR="00E11F6C">
        <w:rPr>
          <w:rFonts w:ascii="Times New Roman" w:hAnsi="Times New Roman" w:cs="Times New Roman"/>
          <w:sz w:val="24"/>
          <w:szCs w:val="24"/>
          <w:lang w:val="en-US"/>
        </w:rPr>
        <w:t>PRKAA/</w:t>
      </w:r>
      <w:r w:rsidRPr="00405F18">
        <w:rPr>
          <w:rFonts w:ascii="Times New Roman" w:hAnsi="Times New Roman" w:cs="Times New Roman"/>
          <w:sz w:val="24"/>
          <w:szCs w:val="24"/>
          <w:lang w:val="en-US"/>
        </w:rPr>
        <w:t>AMPKα (Thr172</w:t>
      </w:r>
      <w:r w:rsidR="004B5E6E">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Cell Signaling Technology, 2535; WB, 1:1000); </w:t>
      </w:r>
      <w:r w:rsidR="00E11F6C">
        <w:rPr>
          <w:rFonts w:ascii="Times New Roman" w:hAnsi="Times New Roman" w:cs="Times New Roman"/>
          <w:sz w:val="24"/>
          <w:szCs w:val="24"/>
          <w:lang w:val="en-US"/>
        </w:rPr>
        <w:t>ACTB</w:t>
      </w:r>
      <w:r w:rsidRPr="00405F18">
        <w:rPr>
          <w:rFonts w:ascii="Times New Roman" w:hAnsi="Times New Roman" w:cs="Times New Roman"/>
          <w:sz w:val="24"/>
          <w:szCs w:val="24"/>
          <w:lang w:val="en-US"/>
        </w:rPr>
        <w:t xml:space="preserve"> (Sigma-Aldrich, A5441; WB, 1:5000); </w:t>
      </w:r>
      <w:r w:rsidR="00DE0F9D" w:rsidRPr="00405F18">
        <w:rPr>
          <w:rFonts w:ascii="Times New Roman" w:hAnsi="Times New Roman" w:cs="Times New Roman"/>
          <w:sz w:val="24"/>
          <w:szCs w:val="24"/>
          <w:lang w:val="en-US"/>
        </w:rPr>
        <w:t>cleaved</w:t>
      </w:r>
      <w:r w:rsidR="004B5E6E">
        <w:rPr>
          <w:rFonts w:ascii="Times New Roman" w:hAnsi="Times New Roman" w:cs="Times New Roman"/>
          <w:sz w:val="24"/>
          <w:szCs w:val="24"/>
          <w:lang w:val="en-US"/>
        </w:rPr>
        <w:t>-</w:t>
      </w:r>
      <w:r w:rsidR="00E11F6C">
        <w:rPr>
          <w:rFonts w:ascii="Times New Roman" w:hAnsi="Times New Roman" w:cs="Times New Roman"/>
          <w:sz w:val="24"/>
          <w:szCs w:val="24"/>
          <w:lang w:val="en-US"/>
        </w:rPr>
        <w:t>CASP3</w:t>
      </w:r>
      <w:r w:rsidR="009B543D" w:rsidRPr="00405F18">
        <w:rPr>
          <w:rFonts w:ascii="Times New Roman" w:hAnsi="Times New Roman" w:cs="Times New Roman"/>
          <w:sz w:val="24"/>
          <w:szCs w:val="24"/>
          <w:lang w:val="en-US"/>
        </w:rPr>
        <w:t xml:space="preserve"> (Cell Signaling Technology, </w:t>
      </w:r>
      <w:r w:rsidR="00A74D45" w:rsidRPr="00405F18">
        <w:rPr>
          <w:rFonts w:ascii="Times New Roman" w:hAnsi="Times New Roman" w:cs="Times New Roman"/>
          <w:sz w:val="24"/>
          <w:szCs w:val="24"/>
          <w:lang w:val="en-US"/>
        </w:rPr>
        <w:t>9661</w:t>
      </w:r>
      <w:r w:rsidR="009B543D" w:rsidRPr="00405F18">
        <w:rPr>
          <w:rFonts w:ascii="Times New Roman" w:hAnsi="Times New Roman" w:cs="Times New Roman"/>
          <w:sz w:val="24"/>
          <w:szCs w:val="24"/>
          <w:lang w:val="en-US"/>
        </w:rPr>
        <w:t xml:space="preserve">; WB, 1:1000); </w:t>
      </w:r>
      <w:r w:rsidR="00E11F6C">
        <w:rPr>
          <w:rFonts w:ascii="Times New Roman" w:hAnsi="Times New Roman" w:cs="Times New Roman"/>
          <w:sz w:val="24"/>
          <w:szCs w:val="24"/>
          <w:lang w:val="en-US"/>
        </w:rPr>
        <w:t>LGALS3</w:t>
      </w:r>
      <w:r w:rsidRPr="00405F18">
        <w:rPr>
          <w:rFonts w:ascii="Times New Roman" w:hAnsi="Times New Roman" w:cs="Times New Roman"/>
          <w:sz w:val="24"/>
          <w:szCs w:val="24"/>
          <w:lang w:val="en-US"/>
        </w:rPr>
        <w:t xml:space="preserve"> (Santa</w:t>
      </w:r>
      <w:r w:rsidR="004B5E6E">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Cruz Biotechnology, sc-23938; IF, 1:100); LAMP1 (Developmental Studies Hybridoma Bank, 1D4B-C; IF, 1:100); LAMP2 (Developmental Studies Hybridoma Bank, ABL93; IF, 1:100); LC3 (Sigma-Aldrich, L7543; WB, 1:1000; IF, 1:100); OXPHOS cocktail, (</w:t>
      </w:r>
      <w:proofErr w:type="spellStart"/>
      <w:r w:rsidRPr="00405F18">
        <w:rPr>
          <w:rFonts w:ascii="Times New Roman" w:hAnsi="Times New Roman" w:cs="Times New Roman"/>
          <w:sz w:val="24"/>
          <w:szCs w:val="24"/>
          <w:lang w:val="en-US"/>
        </w:rPr>
        <w:t>abcam</w:t>
      </w:r>
      <w:proofErr w:type="spellEnd"/>
      <w:r w:rsidRPr="00405F18">
        <w:rPr>
          <w:rFonts w:ascii="Times New Roman" w:hAnsi="Times New Roman" w:cs="Times New Roman"/>
          <w:sz w:val="24"/>
          <w:szCs w:val="24"/>
          <w:lang w:val="en-US"/>
        </w:rPr>
        <w:t>, ab110413; IF, 1:500); PLIN2 (</w:t>
      </w:r>
      <w:proofErr w:type="spellStart"/>
      <w:r w:rsidRPr="00405F18">
        <w:rPr>
          <w:rFonts w:ascii="Times New Roman" w:hAnsi="Times New Roman" w:cs="Times New Roman"/>
          <w:sz w:val="24"/>
          <w:szCs w:val="24"/>
          <w:lang w:val="en-US"/>
        </w:rPr>
        <w:t>Progen</w:t>
      </w:r>
      <w:proofErr w:type="spellEnd"/>
      <w:r w:rsidRPr="00405F18">
        <w:rPr>
          <w:rFonts w:ascii="Times New Roman" w:hAnsi="Times New Roman" w:cs="Times New Roman"/>
          <w:sz w:val="24"/>
          <w:szCs w:val="24"/>
          <w:lang w:val="en-US"/>
        </w:rPr>
        <w:t xml:space="preserve">, GP40; IF, 1:100); SQSTM1 (Cell Signaling Technology, 23214S; WB, 1:1000; IF, 1:100); </w:t>
      </w:r>
      <w:r w:rsidR="00E11F6C">
        <w:rPr>
          <w:rFonts w:ascii="Times New Roman" w:hAnsi="Times New Roman" w:cs="Times New Roman"/>
          <w:sz w:val="24"/>
          <w:szCs w:val="24"/>
          <w:lang w:val="en-US"/>
        </w:rPr>
        <w:t>RPS6KB</w:t>
      </w:r>
      <w:r w:rsidRPr="00405F18">
        <w:rPr>
          <w:rFonts w:ascii="Times New Roman" w:hAnsi="Times New Roman" w:cs="Times New Roman"/>
          <w:sz w:val="24"/>
          <w:szCs w:val="24"/>
          <w:lang w:val="en-US"/>
        </w:rPr>
        <w:t xml:space="preserve"> (Cell Signaling Technology, 2708; WB, 1:1000); phospho-</w:t>
      </w:r>
      <w:r w:rsidR="00E11F6C">
        <w:rPr>
          <w:rFonts w:ascii="Times New Roman" w:hAnsi="Times New Roman" w:cs="Times New Roman"/>
          <w:sz w:val="24"/>
          <w:szCs w:val="24"/>
          <w:lang w:val="en-US"/>
        </w:rPr>
        <w:t>RPS6KB</w:t>
      </w:r>
      <w:r w:rsidRPr="00405F18">
        <w:rPr>
          <w:rFonts w:ascii="Times New Roman" w:hAnsi="Times New Roman" w:cs="Times New Roman"/>
          <w:sz w:val="24"/>
          <w:szCs w:val="24"/>
          <w:lang w:val="en-US"/>
        </w:rPr>
        <w:t xml:space="preserve"> (Thr389</w:t>
      </w:r>
      <w:r w:rsidR="00E11F6C">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01485B" w:rsidRPr="00405F18">
        <w:rPr>
          <w:rFonts w:ascii="Times New Roman" w:hAnsi="Times New Roman" w:cs="Times New Roman"/>
          <w:sz w:val="24"/>
          <w:szCs w:val="24"/>
          <w:lang w:val="en-US"/>
        </w:rPr>
        <w:t>Cell Signaling Technology</w:t>
      </w:r>
      <w:r w:rsidRPr="00405F18">
        <w:rPr>
          <w:rFonts w:ascii="Times New Roman" w:hAnsi="Times New Roman" w:cs="Times New Roman"/>
          <w:sz w:val="24"/>
          <w:szCs w:val="24"/>
          <w:lang w:val="en-US"/>
        </w:rPr>
        <w:t>, 9234; WB, 1:1000); TFEB (Bethyl Laboratories, A303-673A; IF, 1:100); ubiquitin (Santa</w:t>
      </w:r>
      <w:r w:rsidR="00E11F6C">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Cruz Biotechnology, sc-166553; WB, 1:1000; IF, 1:100); ULK1 (Cell Signaling Technology, 8054; WB, 1:1000) and phospho-ULK1 (Ser555</w:t>
      </w:r>
      <w:r w:rsidR="004B5E6E">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Cell Signaling Technology, 5869; WB, 1:1000).</w:t>
      </w:r>
    </w:p>
    <w:p w14:paraId="023DE72F" w14:textId="77777777" w:rsidR="00E1398C" w:rsidRPr="00405F18" w:rsidRDefault="00E1398C" w:rsidP="00270044">
      <w:pPr>
        <w:spacing w:after="100" w:afterAutospacing="1" w:line="480" w:lineRule="auto"/>
        <w:jc w:val="both"/>
        <w:rPr>
          <w:rFonts w:ascii="Times New Roman" w:hAnsi="Times New Roman" w:cs="Times New Roman"/>
          <w:b/>
          <w:bCs/>
          <w:sz w:val="24"/>
          <w:szCs w:val="24"/>
          <w:lang w:val="en-US"/>
        </w:rPr>
      </w:pPr>
      <w:proofErr w:type="gramStart"/>
      <w:r w:rsidRPr="004B5E6E">
        <w:rPr>
          <w:rFonts w:ascii="Times New Roman" w:hAnsi="Times New Roman" w:cs="Times New Roman"/>
          <w:b/>
          <w:bCs/>
          <w:i/>
          <w:iCs/>
          <w:sz w:val="24"/>
          <w:szCs w:val="24"/>
          <w:lang w:val="en-US"/>
        </w:rPr>
        <w:t>Reagents</w:t>
      </w:r>
      <w:proofErr w:type="gramEnd"/>
    </w:p>
    <w:p w14:paraId="1BDA9D44" w14:textId="6620D47D" w:rsidR="00E1398C" w:rsidRPr="00405F18" w:rsidRDefault="00E1398C"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When indicated and for referred incubation times, cell culture media were supplemented with: 100 µM A769662 (Sigma-Aldrich, SML2578); 2 mM 5-aminoimidazole-4-carboxamide-1-beta-D-ribofurasonide (AICAR</w:t>
      </w:r>
      <w:r w:rsidR="00531EF0">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Toronto Research Chemicals, A611700); 2 </w:t>
      </w:r>
      <w:proofErr w:type="spellStart"/>
      <w:r w:rsidRPr="00405F18">
        <w:rPr>
          <w:rFonts w:ascii="Times New Roman" w:hAnsi="Times New Roman" w:cs="Times New Roman"/>
          <w:sz w:val="24"/>
          <w:szCs w:val="24"/>
          <w:lang w:val="en-US"/>
        </w:rPr>
        <w:t>nM</w:t>
      </w:r>
      <w:proofErr w:type="spellEnd"/>
      <w:r w:rsidRPr="00405F18">
        <w:rPr>
          <w:rFonts w:ascii="Times New Roman" w:hAnsi="Times New Roman" w:cs="Times New Roman"/>
          <w:sz w:val="24"/>
          <w:szCs w:val="24"/>
          <w:lang w:val="en-US"/>
        </w:rPr>
        <w:t xml:space="preserve"> bafilomycin A</w:t>
      </w:r>
      <w:r w:rsidRPr="00FF7085">
        <w:rPr>
          <w:rFonts w:ascii="Times New Roman" w:hAnsi="Times New Roman" w:cs="Times New Roman"/>
          <w:sz w:val="24"/>
          <w:szCs w:val="24"/>
          <w:vertAlign w:val="subscript"/>
          <w:lang w:val="en-US"/>
        </w:rPr>
        <w:t>1</w:t>
      </w:r>
      <w:r w:rsidRPr="00405F18">
        <w:rPr>
          <w:rFonts w:ascii="Times New Roman" w:hAnsi="Times New Roman" w:cs="Times New Roman"/>
          <w:sz w:val="24"/>
          <w:szCs w:val="24"/>
          <w:lang w:val="en-US"/>
        </w:rPr>
        <w:t xml:space="preserve"> (Sigma-Aldrich, B1793); </w:t>
      </w:r>
      <w:r w:rsidR="00A74D45" w:rsidRPr="00405F18">
        <w:rPr>
          <w:rFonts w:ascii="Times New Roman" w:hAnsi="Times New Roman" w:cs="Times New Roman"/>
          <w:sz w:val="24"/>
          <w:szCs w:val="24"/>
          <w:lang w:val="en-US"/>
        </w:rPr>
        <w:t xml:space="preserve">10 µM </w:t>
      </w:r>
      <w:proofErr w:type="spellStart"/>
      <w:r w:rsidR="00B376A7" w:rsidRPr="00405F18">
        <w:rPr>
          <w:rFonts w:ascii="Times New Roman" w:hAnsi="Times New Roman" w:cs="Times New Roman"/>
          <w:sz w:val="24"/>
          <w:szCs w:val="24"/>
          <w:lang w:val="en-US"/>
        </w:rPr>
        <w:t>camptothecin</w:t>
      </w:r>
      <w:proofErr w:type="spellEnd"/>
      <w:r w:rsidR="00B376A7" w:rsidRPr="00405F18">
        <w:rPr>
          <w:rFonts w:ascii="Times New Roman" w:hAnsi="Times New Roman" w:cs="Times New Roman"/>
          <w:sz w:val="24"/>
          <w:szCs w:val="24"/>
          <w:lang w:val="en-US"/>
        </w:rPr>
        <w:t xml:space="preserve"> (</w:t>
      </w:r>
      <w:r w:rsidR="00066C2B" w:rsidRPr="00405F18">
        <w:rPr>
          <w:rFonts w:ascii="Times New Roman" w:hAnsi="Times New Roman" w:cs="Times New Roman"/>
          <w:sz w:val="24"/>
          <w:szCs w:val="24"/>
          <w:lang w:val="en-US"/>
        </w:rPr>
        <w:t>Merck, PHL89593)</w:t>
      </w:r>
      <w:r w:rsidR="00B376A7"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10 µM of </w:t>
      </w:r>
      <w:bookmarkStart w:id="12" w:name="_Hlk160295633"/>
      <w:r w:rsidRPr="00405F18">
        <w:rPr>
          <w:rFonts w:ascii="Times New Roman" w:hAnsi="Times New Roman" w:cs="Times New Roman"/>
          <w:sz w:val="24"/>
          <w:szCs w:val="24"/>
          <w:lang w:val="en-US"/>
        </w:rPr>
        <w:t xml:space="preserve">carbonyl </w:t>
      </w:r>
      <w:r w:rsidRPr="00405F18">
        <w:rPr>
          <w:rFonts w:ascii="Times New Roman" w:hAnsi="Times New Roman" w:cs="Times New Roman"/>
          <w:sz w:val="24"/>
          <w:szCs w:val="24"/>
          <w:lang w:val="en-US"/>
        </w:rPr>
        <w:lastRenderedPageBreak/>
        <w:t xml:space="preserve">cyanide 4-(trifluoromethoxy)phenylhydrazone </w:t>
      </w:r>
      <w:bookmarkEnd w:id="12"/>
      <w:r w:rsidRPr="00405F18">
        <w:rPr>
          <w:rFonts w:ascii="Times New Roman" w:hAnsi="Times New Roman" w:cs="Times New Roman"/>
          <w:sz w:val="24"/>
          <w:szCs w:val="24"/>
          <w:lang w:val="en-US"/>
        </w:rPr>
        <w:t xml:space="preserve">(FCCP, </w:t>
      </w:r>
      <w:proofErr w:type="spellStart"/>
      <w:r w:rsidRPr="00405F18">
        <w:rPr>
          <w:rFonts w:ascii="Times New Roman" w:hAnsi="Times New Roman" w:cs="Times New Roman"/>
          <w:sz w:val="24"/>
          <w:szCs w:val="24"/>
          <w:lang w:val="en-US"/>
        </w:rPr>
        <w:t>MedChemExpress</w:t>
      </w:r>
      <w:proofErr w:type="spellEnd"/>
      <w:r w:rsidRPr="00405F18">
        <w:rPr>
          <w:rFonts w:ascii="Times New Roman" w:hAnsi="Times New Roman" w:cs="Times New Roman"/>
          <w:sz w:val="24"/>
          <w:szCs w:val="24"/>
          <w:lang w:val="en-US"/>
        </w:rPr>
        <w:t xml:space="preserve">, HY-100410); 1 mM </w:t>
      </w:r>
      <w:r w:rsidR="00D9052D" w:rsidRPr="00405F18">
        <w:rPr>
          <w:rFonts w:ascii="Times New Roman" w:hAnsi="Times New Roman" w:cs="Times New Roman"/>
          <w:sz w:val="24"/>
          <w:szCs w:val="24"/>
          <w:lang w:val="en-US"/>
        </w:rPr>
        <w:t>lysosomal-membrane damaging agent L-leucyl-L-leucine methyl ester hydrobromide (</w:t>
      </w:r>
      <w:proofErr w:type="spellStart"/>
      <w:r w:rsidRPr="00405F18">
        <w:rPr>
          <w:rFonts w:ascii="Times New Roman" w:hAnsi="Times New Roman" w:cs="Times New Roman"/>
          <w:sz w:val="24"/>
          <w:szCs w:val="24"/>
          <w:lang w:val="en-US"/>
        </w:rPr>
        <w:t>LLOMe</w:t>
      </w:r>
      <w:proofErr w:type="spellEnd"/>
      <w:r w:rsidR="00D9052D"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Sigma-Aldrich, L7393); 10 µM</w:t>
      </w:r>
      <w:r w:rsidR="00202C45" w:rsidRPr="00405F18">
        <w:rPr>
          <w:rFonts w:ascii="Times New Roman" w:hAnsi="Times New Roman" w:cs="Times New Roman"/>
          <w:sz w:val="24"/>
          <w:szCs w:val="24"/>
          <w:lang w:val="en-US"/>
        </w:rPr>
        <w:t xml:space="preserve"> N-</w:t>
      </w:r>
      <w:proofErr w:type="spellStart"/>
      <w:r w:rsidR="00FF7085">
        <w:rPr>
          <w:rFonts w:ascii="Times New Roman" w:hAnsi="Times New Roman" w:cs="Times New Roman"/>
          <w:sz w:val="24"/>
          <w:szCs w:val="24"/>
          <w:lang w:val="en-US"/>
        </w:rPr>
        <w:t>b</w:t>
      </w:r>
      <w:r w:rsidR="00202C45" w:rsidRPr="00405F18">
        <w:rPr>
          <w:rFonts w:ascii="Times New Roman" w:hAnsi="Times New Roman" w:cs="Times New Roman"/>
          <w:sz w:val="24"/>
          <w:szCs w:val="24"/>
          <w:lang w:val="en-US"/>
        </w:rPr>
        <w:t>enzyloxycarbonyl</w:t>
      </w:r>
      <w:proofErr w:type="spellEnd"/>
      <w:r w:rsidR="00202C45" w:rsidRPr="00405F18">
        <w:rPr>
          <w:rFonts w:ascii="Times New Roman" w:hAnsi="Times New Roman" w:cs="Times New Roman"/>
          <w:sz w:val="24"/>
          <w:szCs w:val="24"/>
          <w:lang w:val="en-US"/>
        </w:rPr>
        <w:t>-L-leucyl-L-leucyl-L-</w:t>
      </w:r>
      <w:proofErr w:type="spellStart"/>
      <w:r w:rsidR="00202C45" w:rsidRPr="00405F18">
        <w:rPr>
          <w:rFonts w:ascii="Times New Roman" w:hAnsi="Times New Roman" w:cs="Times New Roman"/>
          <w:sz w:val="24"/>
          <w:szCs w:val="24"/>
          <w:lang w:val="en-US"/>
        </w:rPr>
        <w:t>leucinal</w:t>
      </w:r>
      <w:proofErr w:type="spellEnd"/>
      <w:r w:rsidRPr="00405F18">
        <w:rPr>
          <w:rFonts w:ascii="Times New Roman" w:hAnsi="Times New Roman" w:cs="Times New Roman"/>
          <w:sz w:val="24"/>
          <w:szCs w:val="24"/>
          <w:lang w:val="en-US"/>
        </w:rPr>
        <w:t xml:space="preserve"> </w:t>
      </w:r>
      <w:r w:rsidR="00872E5F"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MG132</w:t>
      </w:r>
      <w:r w:rsidR="00531EF0">
        <w:rPr>
          <w:rFonts w:ascii="Times New Roman" w:hAnsi="Times New Roman" w:cs="Times New Roman"/>
          <w:sz w:val="24"/>
          <w:szCs w:val="24"/>
          <w:lang w:val="en-US"/>
        </w:rPr>
        <w:t>;</w:t>
      </w:r>
      <w:r w:rsidR="00531EF0"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Sigma-Aldrich, M7449) or 300 µM </w:t>
      </w:r>
      <w:r w:rsidR="00186B0A" w:rsidRPr="00405F18">
        <w:rPr>
          <w:rFonts w:ascii="Times New Roman" w:hAnsi="Times New Roman" w:cs="Times New Roman"/>
          <w:sz w:val="24"/>
          <w:szCs w:val="24"/>
          <w:lang w:val="en-US"/>
        </w:rPr>
        <w:t>oleate</w:t>
      </w:r>
      <w:r w:rsidRPr="00405F18">
        <w:rPr>
          <w:rFonts w:ascii="Times New Roman" w:hAnsi="Times New Roman" w:cs="Times New Roman"/>
          <w:sz w:val="24"/>
          <w:szCs w:val="24"/>
          <w:lang w:val="en-US"/>
        </w:rPr>
        <w:t xml:space="preserve"> (OA</w:t>
      </w:r>
      <w:r w:rsidR="00531EF0">
        <w:rPr>
          <w:rFonts w:ascii="Times New Roman" w:hAnsi="Times New Roman" w:cs="Times New Roman"/>
          <w:sz w:val="24"/>
          <w:szCs w:val="24"/>
          <w:lang w:val="en-US"/>
        </w:rPr>
        <w:t>;</w:t>
      </w:r>
      <w:r w:rsidR="00531EF0"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Cayman Chemical, 29557).</w:t>
      </w:r>
    </w:p>
    <w:p w14:paraId="2CCFED1C" w14:textId="15E158A7" w:rsidR="00E1398C" w:rsidRPr="00FF7085" w:rsidRDefault="00E1398C" w:rsidP="00270044">
      <w:pPr>
        <w:spacing w:after="100" w:afterAutospacing="1" w:line="480" w:lineRule="auto"/>
        <w:jc w:val="both"/>
        <w:rPr>
          <w:rFonts w:ascii="Times New Roman" w:hAnsi="Times New Roman" w:cs="Times New Roman"/>
          <w:b/>
          <w:bCs/>
          <w:i/>
          <w:iCs/>
          <w:sz w:val="24"/>
          <w:szCs w:val="24"/>
          <w:u w:val="single"/>
          <w:lang w:val="en-US"/>
        </w:rPr>
      </w:pPr>
      <w:r w:rsidRPr="00FF7085">
        <w:rPr>
          <w:rFonts w:ascii="Times New Roman" w:hAnsi="Times New Roman" w:cs="Times New Roman"/>
          <w:b/>
          <w:bCs/>
          <w:i/>
          <w:iCs/>
          <w:sz w:val="24"/>
          <w:szCs w:val="24"/>
          <w:lang w:val="en-US"/>
        </w:rPr>
        <w:t xml:space="preserve">Primary </w:t>
      </w:r>
      <w:proofErr w:type="spellStart"/>
      <w:r w:rsidR="00CC5768">
        <w:rPr>
          <w:rFonts w:ascii="Times New Roman" w:hAnsi="Times New Roman" w:cs="Times New Roman"/>
          <w:b/>
          <w:bCs/>
          <w:i/>
          <w:iCs/>
          <w:sz w:val="24"/>
          <w:szCs w:val="24"/>
          <w:lang w:val="en-US"/>
        </w:rPr>
        <w:t>M</w:t>
      </w:r>
      <w:r w:rsidRPr="00FF7085">
        <w:rPr>
          <w:rFonts w:ascii="Times New Roman" w:hAnsi="Times New Roman" w:cs="Times New Roman"/>
          <w:b/>
          <w:bCs/>
          <w:i/>
          <w:iCs/>
          <w:sz w:val="24"/>
          <w:szCs w:val="24"/>
          <w:lang w:val="en-US"/>
        </w:rPr>
        <w:t>mPTEC</w:t>
      </w:r>
      <w:proofErr w:type="spellEnd"/>
      <w:r w:rsidRPr="00FF7085">
        <w:rPr>
          <w:rFonts w:ascii="Times New Roman" w:hAnsi="Times New Roman" w:cs="Times New Roman"/>
          <w:b/>
          <w:bCs/>
          <w:i/>
          <w:iCs/>
          <w:sz w:val="24"/>
          <w:szCs w:val="24"/>
          <w:lang w:val="en-US"/>
        </w:rPr>
        <w:t xml:space="preserve"> isolation and culture </w:t>
      </w:r>
    </w:p>
    <w:p w14:paraId="3FC80684" w14:textId="69E24F20" w:rsidR="00E1398C" w:rsidRPr="00405F18" w:rsidRDefault="00981E22"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The study conformed to the APS Guidelines for the Care and Use of Animals and was approved by the Animal Ethics Committee of the University of Namur.</w:t>
      </w:r>
      <w:r w:rsidR="00133763" w:rsidRPr="00405F18">
        <w:rPr>
          <w:rFonts w:ascii="Times New Roman" w:hAnsi="Times New Roman" w:cs="Times New Roman"/>
          <w:sz w:val="24"/>
          <w:szCs w:val="24"/>
          <w:lang w:val="en-US"/>
        </w:rPr>
        <w:t xml:space="preserve"> </w:t>
      </w:r>
      <w:r w:rsidR="00E1398C" w:rsidRPr="00405F18">
        <w:rPr>
          <w:rFonts w:ascii="Times New Roman" w:hAnsi="Times New Roman" w:cs="Times New Roman"/>
          <w:sz w:val="24"/>
          <w:szCs w:val="24"/>
          <w:lang w:val="en-US"/>
        </w:rPr>
        <w:t>The kidneys were harvested from 4- to 6-week-old wild type C57Bl/6J mice and proximal tubule (PT) segments were recovered as previously reported</w:t>
      </w:r>
      <w:r w:rsidR="00A6771D">
        <w:rPr>
          <w:rFonts w:ascii="Times New Roman" w:hAnsi="Times New Roman" w:cs="Times New Roman"/>
          <w:sz w:val="24"/>
          <w:szCs w:val="24"/>
          <w:lang w:val="en-US"/>
        </w:rPr>
        <w:t xml:space="preserve"> [</w:t>
      </w:r>
      <w:r w:rsidR="00E1398C" w:rsidRPr="00A6771D">
        <w:rPr>
          <w:rFonts w:ascii="Times New Roman" w:hAnsi="Times New Roman" w:cs="Times New Roman"/>
          <w:sz w:val="24"/>
          <w:szCs w:val="24"/>
          <w:lang w:val="en-US"/>
        </w:rPr>
        <w:fldChar w:fldCharType="begin" w:fldLock="1"/>
      </w:r>
      <w:r w:rsidR="00362664" w:rsidRPr="00A6771D">
        <w:rPr>
          <w:rFonts w:ascii="Times New Roman" w:hAnsi="Times New Roman" w:cs="Times New Roman"/>
          <w:sz w:val="24"/>
          <w:szCs w:val="24"/>
          <w:lang w:val="en-US"/>
        </w:rPr>
        <w:instrText>ADDIN CSL_CITATION {"citationItems":[{"id":"ITEM-1","itemData":{"DOI":"10.1152/ajprenal.00363.2006","ISSN":"03636127","PMID":"17475898","abstract":"A simple method is described to establish primary cultures of kidney proximal tubule cells (PTC) on membranes. The permeable membranes represent a unique culture surface, allowing a high degree of differentiation since both apical and basolateral membranes are accessible for medium. Proximal tubule (PT) segments from collagenase-digested mouse renal cortices were grown for 7 days, by which time cells were organized as a confluent monolayer. Electron microscopic evaluation revealed structurally polarized epithelial cells with numerous microvilli, basolateral invaginations, and apical tight junctions. Immunoblotting for markers of distinct parts of the nephron demonstrated that these primary cultures only expressed PT-specific proteins. Moreover immunodetection of distinct components of the receptor-mediated endocytic pathway and uptake of FITC-albumin indicated that these cells expressed a functional endocytotic apparatus. In addition, primary cultures possessed the PT brush-border enzymes, alkaline phosphatase, and γ-glutamyl-transferase, and a phloridzin-sensitive sodium-dependent glucose transport at their apical side. Electrophysiological measurements show that the primary cultured cells have a low transepithelial resistance and high short-circuit current that was completely carried by Na+ similar to a leaky epithelium like proximal tubule cells. This novel method established well-differentiated PTC cultures. Copyright © 2007 the American Physiological Society.","author":[{"dropping-particle":"","family":"Terryn","given":"Sara","non-dropping-particle":"","parse-names":false,"suffix":""},{"dropping-particle":"","family":"Jouret","given":"François","non-dropping-particle":"","parse-names":false,"suffix":""},{"dropping-particle":"","family":"Vandenabeele","given":"Frank","non-dropping-particle":"","parse-names":false,"suffix":""},{"dropping-particle":"","family":"Smolders","given":"Inge","non-dropping-particle":"","parse-names":false,"suffix":""},{"dropping-particle":"","family":"Moreels","given":"Marjan","non-dropping-particle":"","parse-names":false,"suffix":""},{"dropping-particle":"","family":"Devuyst","given":"Olivier","non-dropping-particle":"","parse-names":false,"suffix":""},{"dropping-particle":"","family":"Steels","given":"Paul","non-dropping-particle":"","parse-names":false,"suffix":""},{"dropping-particle":"","family":"Kerkhove","given":"Emmy","non-dropping-particle":"Van","parse-names":false,"suffix":""}],"container-title":"American Journal of Physiology - Renal Physiology","id":"ITEM-1","issued":{"date-parts":[["2007"]]},"title":"A primary culture of mouse proximal tubular cells, established on collagen-coated membranes","type":"article-journal"},"uris":["http://www.mendeley.com/documents/?uuid=67f8f90f-8c47-448b-8c90-e223015258c5"]},{"id":"ITEM-2","itemData":{"DOI":"10.1038/s41467-023-39261-3","ISSN":"20411723","PMID":"37452023","abstract":"Differentiation is critical for cell fate decisions, but the signals involved remain unclear. The kidney proximal tubule (PT) cells reabsorb disulphide-rich proteins through endocytosis, generating cystine via lysosomal proteolysis. Here we report that defective cystine mobilization from lysosomes through cystinosin (CTNS), which is mutated in cystinosis, diverts PT cells towards growth and proliferation, disrupting their functions. Mechanistically, cystine storage stimulates Ragulator-Rag GTPase-dependent recruitment of mechanistic target of rapamycin complex 1 (mTORC1) and its constitutive activation. Re-introduction of CTNS restores nutrient-dependent regulation of mTORC1 in knockout cells, whereas cell-permeant analogues of L-cystine, accumulating within lysosomes, render wild-type cells resistant to nutrient withdrawal. Therapeutic mTORC1 inhibition corrects lysosome and differentiation downstream of cystine storage, and phenotypes in preclinical models of cystinosis. Thus, cystine serves as a lysosomal signal that tailors mTORC1 and metabolism to direct epithelial cell fate decisions. These results identify mechanisms and therapeutic targets for dysregulated homeostasis in cystinosis.","author":[{"dropping-particle":"","family":"Berquez","given":"Marine","non-dropping-particle":"","parse-names":false,"suffix":""},{"dropping-particle":"","family":"Chen","given":"Zhiyong","non-dropping-particle":"","parse-names":false,"suffix":""},{"dropping-particle":"","family":"Festa","given":"Beatrice Paola","non-dropping-particle":"","parse-names":false,"suffix":""},{"dropping-particle":"","family":"Krohn","given":"Patrick","non-dropping-particle":"","parse-names":false,"suffix":""},{"dropping-particle":"","family":"Keller","given":"Svenja Aline","non-dropping-particle":"","parse-names":false,"suffix":""},{"dropping-particle":"","family":"Parolo","given":"Silvia","non-dropping-particle":"","parse-names":false,"suffix":""},{"dropping-particle":"","family":"Korzinkin","given":"Mikhail","non-dropping-particle":"","parse-names":false,"suffix":""},{"dropping-particle":"","family":"Gaponova","given":"Anna","non-dropping-particle":"","parse-names":false,"suffix":""},{"dropping-particle":"","family":"Laczko","given":"Endre","non-dropping-particle":"","parse-names":false,"suffix":""},{"dropping-particle":"","family":"Domenici","given":"Enrico","non-dropping-particle":"","parse-names":false,"suffix":""},{"dropping-particle":"","family":"Devuyst","given":"Olivier","non-dropping-particle":"","parse-names":false,"suffix":""},{"dropping-particle":"","family":"Luciani","given":"Alessandro","non-dropping-particle":"","parse-names":false,"suffix":""}],"container-title":"Nature Communications","id":"ITEM-2","issue":"1","issued":{"date-parts":[["2023"]]},"publisher":"Springer US","title":"Lysosomal cystine export regulates mTORC1 signaling to guide kidney epithelial cell fate specialization","type":"article-journal","volume":"14"},"uris":["http://www.mendeley.com/documents/?uuid=99599317-f7ea-468e-9afb-7dcae72590a1"]}],"mendeley":{"formattedCitation":"&lt;sup&gt;64,82&lt;/sup&gt;","plainTextFormattedCitation":"64,82","previouslyFormattedCitation":"&lt;sup&gt;64,82&lt;/sup&gt;"},"properties":{"noteIndex":0},"schema":"https://github.com/citation-style-language/schema/raw/master/csl-citation.json"}</w:instrText>
      </w:r>
      <w:r w:rsidR="00E1398C" w:rsidRPr="00A6771D">
        <w:rPr>
          <w:rFonts w:ascii="Times New Roman" w:hAnsi="Times New Roman" w:cs="Times New Roman"/>
          <w:sz w:val="24"/>
          <w:szCs w:val="24"/>
          <w:lang w:val="en-US"/>
        </w:rPr>
        <w:fldChar w:fldCharType="separate"/>
      </w:r>
      <w:r w:rsidR="004A2BDA" w:rsidRPr="00A6771D">
        <w:rPr>
          <w:rFonts w:ascii="Times New Roman" w:hAnsi="Times New Roman" w:cs="Times New Roman"/>
          <w:noProof/>
          <w:sz w:val="24"/>
          <w:szCs w:val="24"/>
          <w:lang w:val="en-US"/>
        </w:rPr>
        <w:t>64,82</w:t>
      </w:r>
      <w:r w:rsidR="00E1398C" w:rsidRPr="00A6771D">
        <w:rPr>
          <w:rFonts w:ascii="Times New Roman" w:hAnsi="Times New Roman" w:cs="Times New Roman"/>
          <w:sz w:val="24"/>
          <w:szCs w:val="24"/>
          <w:lang w:val="en-US"/>
        </w:rPr>
        <w:fldChar w:fldCharType="end"/>
      </w:r>
      <w:r w:rsidR="00A6771D">
        <w:rPr>
          <w:rFonts w:ascii="Times New Roman" w:hAnsi="Times New Roman" w:cs="Times New Roman"/>
          <w:sz w:val="24"/>
          <w:szCs w:val="24"/>
          <w:lang w:val="en-US"/>
        </w:rPr>
        <w:t>]</w:t>
      </w:r>
      <w:r w:rsidR="00E1398C" w:rsidRPr="00405F18">
        <w:rPr>
          <w:rFonts w:ascii="Times New Roman" w:hAnsi="Times New Roman" w:cs="Times New Roman"/>
          <w:sz w:val="24"/>
          <w:szCs w:val="24"/>
          <w:lang w:val="en-US"/>
        </w:rPr>
        <w:t xml:space="preserve">. Fresh PT were seeded in 15 µg/mL </w:t>
      </w:r>
      <w:r w:rsidR="00914FAC">
        <w:rPr>
          <w:rFonts w:ascii="Times New Roman" w:hAnsi="Times New Roman" w:cs="Times New Roman"/>
          <w:sz w:val="24"/>
          <w:szCs w:val="24"/>
          <w:lang w:val="en-US"/>
        </w:rPr>
        <w:t>FN1 (</w:t>
      </w:r>
      <w:r w:rsidR="00E1398C" w:rsidRPr="00405F18">
        <w:rPr>
          <w:rFonts w:ascii="Times New Roman" w:hAnsi="Times New Roman" w:cs="Times New Roman"/>
          <w:sz w:val="24"/>
          <w:szCs w:val="24"/>
          <w:lang w:val="en-US"/>
        </w:rPr>
        <w:t>fibronectin</w:t>
      </w:r>
      <w:r w:rsidR="00914FAC">
        <w:rPr>
          <w:rFonts w:ascii="Times New Roman" w:hAnsi="Times New Roman" w:cs="Times New Roman"/>
          <w:sz w:val="24"/>
          <w:szCs w:val="24"/>
          <w:lang w:val="en-US"/>
        </w:rPr>
        <w:t xml:space="preserve"> 1)</w:t>
      </w:r>
      <w:r w:rsidR="00E1398C" w:rsidRPr="00405F18">
        <w:rPr>
          <w:rFonts w:ascii="Times New Roman" w:hAnsi="Times New Roman" w:cs="Times New Roman"/>
          <w:sz w:val="24"/>
          <w:szCs w:val="24"/>
          <w:lang w:val="en-US"/>
        </w:rPr>
        <w:t>-coated (R&amp;D Systems, 1030-FN) 6-well plates and cultured at 37°C in a humid atmosphere containing 5% CO</w:t>
      </w:r>
      <w:r w:rsidR="00E1398C" w:rsidRPr="00405F18">
        <w:rPr>
          <w:rFonts w:ascii="Times New Roman" w:hAnsi="Times New Roman" w:cs="Times New Roman"/>
          <w:sz w:val="24"/>
          <w:szCs w:val="24"/>
          <w:vertAlign w:val="subscript"/>
          <w:lang w:val="en-US"/>
        </w:rPr>
        <w:t>2</w:t>
      </w:r>
      <w:r w:rsidR="00E1398C" w:rsidRPr="00405F18">
        <w:rPr>
          <w:rFonts w:ascii="Times New Roman" w:hAnsi="Times New Roman" w:cs="Times New Roman"/>
          <w:sz w:val="24"/>
          <w:szCs w:val="24"/>
          <w:lang w:val="en-US"/>
        </w:rPr>
        <w:t xml:space="preserve"> in medium composed of DMEM/F12 (</w:t>
      </w:r>
      <w:proofErr w:type="spellStart"/>
      <w:r w:rsidR="00E1398C" w:rsidRPr="00405F18">
        <w:rPr>
          <w:rFonts w:ascii="Times New Roman" w:hAnsi="Times New Roman" w:cs="Times New Roman"/>
          <w:sz w:val="24"/>
          <w:szCs w:val="24"/>
          <w:lang w:val="en-US"/>
        </w:rPr>
        <w:t>Thermo</w:t>
      </w:r>
      <w:proofErr w:type="spellEnd"/>
      <w:r w:rsidR="00E1398C" w:rsidRPr="00405F18">
        <w:rPr>
          <w:rFonts w:ascii="Times New Roman" w:hAnsi="Times New Roman" w:cs="Times New Roman"/>
          <w:sz w:val="24"/>
          <w:szCs w:val="24"/>
          <w:lang w:val="en-US"/>
        </w:rPr>
        <w:t xml:space="preserve"> Fisher Scientific</w:t>
      </w:r>
      <w:r w:rsidR="00914FAC">
        <w:rPr>
          <w:rFonts w:ascii="Times New Roman" w:hAnsi="Times New Roman" w:cs="Times New Roman"/>
          <w:sz w:val="24"/>
          <w:szCs w:val="24"/>
          <w:lang w:val="en-US"/>
        </w:rPr>
        <w:t xml:space="preserve">, </w:t>
      </w:r>
      <w:r w:rsidR="00914FAC" w:rsidRPr="00405F18">
        <w:rPr>
          <w:rFonts w:ascii="Times New Roman" w:hAnsi="Times New Roman" w:cs="Times New Roman"/>
          <w:sz w:val="24"/>
          <w:szCs w:val="24"/>
          <w:lang w:val="en-US"/>
        </w:rPr>
        <w:t>21041-025</w:t>
      </w:r>
      <w:r w:rsidR="00E1398C" w:rsidRPr="00405F18">
        <w:rPr>
          <w:rFonts w:ascii="Times New Roman" w:hAnsi="Times New Roman" w:cs="Times New Roman"/>
          <w:sz w:val="24"/>
          <w:szCs w:val="24"/>
          <w:lang w:val="en-US"/>
        </w:rPr>
        <w:t>) supplemented with 5% (</w:t>
      </w:r>
      <w:proofErr w:type="spellStart"/>
      <w:r w:rsidR="00E1398C" w:rsidRPr="00405F18">
        <w:rPr>
          <w:rFonts w:ascii="Times New Roman" w:hAnsi="Times New Roman" w:cs="Times New Roman"/>
          <w:sz w:val="24"/>
          <w:szCs w:val="24"/>
          <w:lang w:val="en-US"/>
        </w:rPr>
        <w:t>vol</w:t>
      </w:r>
      <w:r w:rsidR="00914FAC">
        <w:rPr>
          <w:rFonts w:ascii="Times New Roman" w:hAnsi="Times New Roman" w:cs="Times New Roman"/>
          <w:sz w:val="24"/>
          <w:szCs w:val="24"/>
          <w:lang w:val="en-US"/>
        </w:rPr>
        <w:t>:</w:t>
      </w:r>
      <w:r w:rsidR="00E1398C" w:rsidRPr="00405F18">
        <w:rPr>
          <w:rFonts w:ascii="Times New Roman" w:hAnsi="Times New Roman" w:cs="Times New Roman"/>
          <w:sz w:val="24"/>
          <w:szCs w:val="24"/>
          <w:lang w:val="en-US"/>
        </w:rPr>
        <w:t>vol</w:t>
      </w:r>
      <w:proofErr w:type="spellEnd"/>
      <w:r w:rsidR="00E1398C" w:rsidRPr="00405F18">
        <w:rPr>
          <w:rFonts w:ascii="Times New Roman" w:hAnsi="Times New Roman" w:cs="Times New Roman"/>
          <w:sz w:val="24"/>
          <w:szCs w:val="24"/>
          <w:lang w:val="en-US"/>
        </w:rPr>
        <w:t>) heat-inactivated fetal bovine serum (HIS</w:t>
      </w:r>
      <w:r w:rsidR="00914FAC">
        <w:rPr>
          <w:rFonts w:ascii="Times New Roman" w:hAnsi="Times New Roman" w:cs="Times New Roman"/>
          <w:sz w:val="24"/>
          <w:szCs w:val="24"/>
          <w:lang w:val="en-US"/>
        </w:rPr>
        <w:t>;</w:t>
      </w:r>
      <w:r w:rsidR="00E1398C" w:rsidRPr="00405F18">
        <w:rPr>
          <w:rFonts w:ascii="Times New Roman" w:hAnsi="Times New Roman" w:cs="Times New Roman"/>
          <w:sz w:val="24"/>
          <w:szCs w:val="24"/>
          <w:lang w:val="en-US"/>
        </w:rPr>
        <w:t xml:space="preserve"> </w:t>
      </w:r>
      <w:proofErr w:type="spellStart"/>
      <w:r w:rsidR="00E1398C" w:rsidRPr="00405F18">
        <w:rPr>
          <w:rFonts w:ascii="Times New Roman" w:hAnsi="Times New Roman" w:cs="Times New Roman"/>
          <w:sz w:val="24"/>
          <w:szCs w:val="24"/>
          <w:lang w:val="en-US"/>
        </w:rPr>
        <w:t>Dulis</w:t>
      </w:r>
      <w:proofErr w:type="spellEnd"/>
      <w:r w:rsidR="00E1398C" w:rsidRPr="00405F18">
        <w:rPr>
          <w:rFonts w:ascii="Times New Roman" w:hAnsi="Times New Roman" w:cs="Times New Roman"/>
          <w:sz w:val="24"/>
          <w:szCs w:val="24"/>
          <w:lang w:val="en-US"/>
        </w:rPr>
        <w:t>, 500105N1N), 15 mM HEPES (</w:t>
      </w:r>
      <w:proofErr w:type="spellStart"/>
      <w:r w:rsidR="00E1398C" w:rsidRPr="00405F18">
        <w:rPr>
          <w:rFonts w:ascii="Times New Roman" w:hAnsi="Times New Roman" w:cs="Times New Roman"/>
          <w:sz w:val="24"/>
          <w:szCs w:val="24"/>
          <w:lang w:val="en-US"/>
        </w:rPr>
        <w:t>Thermo</w:t>
      </w:r>
      <w:proofErr w:type="spellEnd"/>
      <w:r w:rsidR="00E1398C" w:rsidRPr="00405F18">
        <w:rPr>
          <w:rFonts w:ascii="Times New Roman" w:hAnsi="Times New Roman" w:cs="Times New Roman"/>
          <w:sz w:val="24"/>
          <w:szCs w:val="24"/>
          <w:lang w:val="en-US"/>
        </w:rPr>
        <w:t xml:space="preserve"> Fisher Scientific, 15630056), 0.55 mM sodium pyruvate (Sigma Aldrich, P2256), 0.1 ml/L non-essential amino acids (Sigma Aldrich, M7145), hydrocortisone, human EGF, epinephrine, insulin, triiodothyronine, transferrin, and </w:t>
      </w:r>
      <w:proofErr w:type="spellStart"/>
      <w:r w:rsidR="00E1398C" w:rsidRPr="00405F18">
        <w:rPr>
          <w:rFonts w:ascii="Times New Roman" w:hAnsi="Times New Roman" w:cs="Times New Roman"/>
          <w:sz w:val="24"/>
          <w:szCs w:val="24"/>
          <w:lang w:val="en-US"/>
        </w:rPr>
        <w:t>gentamicin</w:t>
      </w:r>
      <w:r w:rsidR="00E54583">
        <w:rPr>
          <w:rFonts w:ascii="Times New Roman" w:hAnsi="Times New Roman" w:cs="Times New Roman"/>
          <w:sz w:val="24"/>
          <w:szCs w:val="24"/>
          <w:lang w:val="en-US"/>
        </w:rPr>
        <w:t>+</w:t>
      </w:r>
      <w:r w:rsidR="00E1398C" w:rsidRPr="00405F18">
        <w:rPr>
          <w:rFonts w:ascii="Times New Roman" w:hAnsi="Times New Roman" w:cs="Times New Roman"/>
          <w:sz w:val="24"/>
          <w:szCs w:val="24"/>
          <w:lang w:val="en-US"/>
        </w:rPr>
        <w:t>amphotericin</w:t>
      </w:r>
      <w:proofErr w:type="spellEnd"/>
      <w:r w:rsidR="00E1398C" w:rsidRPr="00405F18">
        <w:rPr>
          <w:rFonts w:ascii="Times New Roman" w:hAnsi="Times New Roman" w:cs="Times New Roman"/>
          <w:sz w:val="24"/>
          <w:szCs w:val="24"/>
          <w:lang w:val="en-US"/>
        </w:rPr>
        <w:t xml:space="preserve"> (</w:t>
      </w:r>
      <w:proofErr w:type="spellStart"/>
      <w:r w:rsidR="00E1398C" w:rsidRPr="00405F18">
        <w:rPr>
          <w:rFonts w:ascii="Times New Roman" w:hAnsi="Times New Roman" w:cs="Times New Roman"/>
          <w:sz w:val="24"/>
          <w:szCs w:val="24"/>
          <w:lang w:val="en-US"/>
        </w:rPr>
        <w:t>SingleQuots</w:t>
      </w:r>
      <w:proofErr w:type="spellEnd"/>
      <w:r w:rsidR="00E1398C" w:rsidRPr="00405F18">
        <w:rPr>
          <w:rFonts w:ascii="Times New Roman" w:hAnsi="Times New Roman" w:cs="Times New Roman"/>
          <w:sz w:val="24"/>
          <w:szCs w:val="24"/>
          <w:lang w:val="en-US"/>
        </w:rPr>
        <w:t>® kit</w:t>
      </w:r>
      <w:r w:rsidR="00914FAC">
        <w:rPr>
          <w:rFonts w:ascii="Times New Roman" w:hAnsi="Times New Roman" w:cs="Times New Roman"/>
          <w:sz w:val="24"/>
          <w:szCs w:val="24"/>
          <w:lang w:val="en-US"/>
        </w:rPr>
        <w:t>;</w:t>
      </w:r>
      <w:r w:rsidR="00E1398C" w:rsidRPr="00405F18">
        <w:rPr>
          <w:rFonts w:ascii="Times New Roman" w:hAnsi="Times New Roman" w:cs="Times New Roman"/>
          <w:sz w:val="24"/>
          <w:szCs w:val="24"/>
          <w:lang w:val="en-US"/>
        </w:rPr>
        <w:t xml:space="preserve"> Lonza, CC</w:t>
      </w:r>
      <w:r w:rsidR="00E54583">
        <w:rPr>
          <w:rFonts w:ascii="Times New Roman" w:hAnsi="Times New Roman" w:cs="Times New Roman"/>
          <w:sz w:val="24"/>
          <w:szCs w:val="24"/>
          <w:lang w:val="en-US"/>
        </w:rPr>
        <w:t>-</w:t>
      </w:r>
      <w:r w:rsidR="00E1398C" w:rsidRPr="00405F18">
        <w:rPr>
          <w:rFonts w:ascii="Times New Roman" w:hAnsi="Times New Roman" w:cs="Times New Roman"/>
          <w:sz w:val="24"/>
          <w:szCs w:val="24"/>
          <w:lang w:val="en-US"/>
        </w:rPr>
        <w:t xml:space="preserve">4127), pH 7.4, 325 </w:t>
      </w:r>
      <w:proofErr w:type="spellStart"/>
      <w:r w:rsidR="00E1398C" w:rsidRPr="00405F18">
        <w:rPr>
          <w:rFonts w:ascii="Times New Roman" w:hAnsi="Times New Roman" w:cs="Times New Roman"/>
          <w:sz w:val="24"/>
          <w:szCs w:val="24"/>
          <w:lang w:val="en-US"/>
        </w:rPr>
        <w:t>mOsm</w:t>
      </w:r>
      <w:proofErr w:type="spellEnd"/>
      <w:r w:rsidR="00E1398C" w:rsidRPr="00405F18">
        <w:rPr>
          <w:rFonts w:ascii="Times New Roman" w:hAnsi="Times New Roman" w:cs="Times New Roman"/>
          <w:sz w:val="24"/>
          <w:szCs w:val="24"/>
          <w:lang w:val="en-US"/>
        </w:rPr>
        <w:t>/kg</w:t>
      </w:r>
      <w:r w:rsidR="00E54583">
        <w:rPr>
          <w:rFonts w:ascii="Times New Roman" w:hAnsi="Times New Roman" w:cs="Times New Roman"/>
          <w:sz w:val="24"/>
          <w:szCs w:val="24"/>
          <w:lang w:val="en-US"/>
        </w:rPr>
        <w:t xml:space="preserve"> </w:t>
      </w:r>
      <w:r w:rsidR="00E1398C" w:rsidRPr="00405F18">
        <w:rPr>
          <w:rFonts w:ascii="Times New Roman" w:hAnsi="Times New Roman" w:cs="Times New Roman"/>
          <w:sz w:val="24"/>
          <w:szCs w:val="24"/>
          <w:lang w:val="en-US"/>
        </w:rPr>
        <w:t>H</w:t>
      </w:r>
      <w:r w:rsidR="00E1398C" w:rsidRPr="00405F18">
        <w:rPr>
          <w:rFonts w:ascii="Times New Roman" w:hAnsi="Times New Roman" w:cs="Times New Roman"/>
          <w:sz w:val="24"/>
          <w:szCs w:val="24"/>
          <w:vertAlign w:val="subscript"/>
          <w:lang w:val="en-US"/>
        </w:rPr>
        <w:t>2</w:t>
      </w:r>
      <w:r w:rsidR="00E1398C" w:rsidRPr="00405F18">
        <w:rPr>
          <w:rFonts w:ascii="Times New Roman" w:hAnsi="Times New Roman" w:cs="Times New Roman"/>
          <w:sz w:val="24"/>
          <w:szCs w:val="24"/>
          <w:lang w:val="en-US"/>
        </w:rPr>
        <w:t>O. After 48 h, the seeding medium was replaced by fresh cell culture media with 2.</w:t>
      </w:r>
      <w:r w:rsidR="00E1398C" w:rsidRPr="004B5E6E">
        <w:rPr>
          <w:rFonts w:ascii="Times New Roman" w:hAnsi="Times New Roman" w:cs="Times New Roman"/>
          <w:sz w:val="24"/>
          <w:szCs w:val="24"/>
          <w:lang w:val="en-US"/>
        </w:rPr>
        <w:t>5%</w:t>
      </w:r>
      <w:r w:rsidR="00E1398C" w:rsidRPr="00405F18">
        <w:rPr>
          <w:rFonts w:ascii="Times New Roman" w:hAnsi="Times New Roman" w:cs="Times New Roman"/>
          <w:sz w:val="24"/>
          <w:szCs w:val="24"/>
          <w:lang w:val="en-US"/>
        </w:rPr>
        <w:t xml:space="preserve"> HIS. After 7 days, when cultured cells organized as a confluent monolayer of </w:t>
      </w:r>
      <w:proofErr w:type="spellStart"/>
      <w:r w:rsidR="009326CD">
        <w:rPr>
          <w:rFonts w:ascii="Times New Roman" w:hAnsi="Times New Roman" w:cs="Times New Roman"/>
          <w:sz w:val="24"/>
          <w:szCs w:val="24"/>
          <w:lang w:val="en-US"/>
        </w:rPr>
        <w:t>M</w:t>
      </w:r>
      <w:r w:rsidR="00E1398C" w:rsidRPr="00405F18">
        <w:rPr>
          <w:rFonts w:ascii="Times New Roman" w:hAnsi="Times New Roman" w:cs="Times New Roman"/>
          <w:sz w:val="24"/>
          <w:szCs w:val="24"/>
          <w:lang w:val="en-US"/>
        </w:rPr>
        <w:t>mPTEC</w:t>
      </w:r>
      <w:r w:rsidR="00162F8A" w:rsidRPr="00405F18">
        <w:rPr>
          <w:rFonts w:ascii="Times New Roman" w:hAnsi="Times New Roman" w:cs="Times New Roman"/>
          <w:sz w:val="24"/>
          <w:szCs w:val="24"/>
          <w:lang w:val="en-US"/>
        </w:rPr>
        <w:t>s</w:t>
      </w:r>
      <w:proofErr w:type="spellEnd"/>
      <w:r w:rsidR="00E1398C" w:rsidRPr="00405F18">
        <w:rPr>
          <w:rFonts w:ascii="Times New Roman" w:hAnsi="Times New Roman" w:cs="Times New Roman"/>
          <w:sz w:val="24"/>
          <w:szCs w:val="24"/>
          <w:lang w:val="en-US"/>
        </w:rPr>
        <w:t>, they were used for further analysis. These cells were negatively tested for mycoplasma contamination.</w:t>
      </w:r>
    </w:p>
    <w:p w14:paraId="77AECA65" w14:textId="4614FC02" w:rsidR="00E1398C" w:rsidRPr="00405F18" w:rsidRDefault="00E1398C" w:rsidP="00A6771D">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Sodium palmitate (Sigma-Aldrich, P9767) was added in 10% free-FA BSA (Sigma-Aldrich, A8806) solution at 37°C under agitation to reach PA concentration of 7.5 mM stock solution and a </w:t>
      </w:r>
      <w:proofErr w:type="gramStart"/>
      <w:r w:rsidRPr="00405F18">
        <w:rPr>
          <w:rFonts w:ascii="Times New Roman" w:hAnsi="Times New Roman" w:cs="Times New Roman"/>
          <w:sz w:val="24"/>
          <w:szCs w:val="24"/>
          <w:lang w:val="en-US"/>
        </w:rPr>
        <w:t>PA</w:t>
      </w:r>
      <w:r w:rsidR="00E54583">
        <w:rPr>
          <w:rFonts w:ascii="Times New Roman" w:hAnsi="Times New Roman" w:cs="Times New Roman"/>
          <w:sz w:val="24"/>
          <w:szCs w:val="24"/>
          <w:lang w:val="en-US"/>
        </w:rPr>
        <w:t>:</w:t>
      </w:r>
      <w:r w:rsidRPr="00405F18">
        <w:rPr>
          <w:rFonts w:ascii="Times New Roman" w:hAnsi="Times New Roman" w:cs="Times New Roman"/>
          <w:sz w:val="24"/>
          <w:szCs w:val="24"/>
          <w:lang w:val="en-US"/>
        </w:rPr>
        <w:t>BSA</w:t>
      </w:r>
      <w:proofErr w:type="gramEnd"/>
      <w:r w:rsidRPr="00405F18">
        <w:rPr>
          <w:rFonts w:ascii="Times New Roman" w:hAnsi="Times New Roman" w:cs="Times New Roman"/>
          <w:sz w:val="24"/>
          <w:szCs w:val="24"/>
          <w:lang w:val="en-US"/>
        </w:rPr>
        <w:t xml:space="preserve"> molar ratio of 5:2. The concentration was assessed after each complexation using the non-esterified </w:t>
      </w:r>
      <w:r w:rsidR="00F91138" w:rsidRPr="00405F18">
        <w:rPr>
          <w:rFonts w:ascii="Times New Roman" w:hAnsi="Times New Roman" w:cs="Times New Roman"/>
          <w:sz w:val="24"/>
          <w:szCs w:val="24"/>
          <w:lang w:val="en-US"/>
        </w:rPr>
        <w:t>FA</w:t>
      </w:r>
      <w:r w:rsidRPr="00405F18">
        <w:rPr>
          <w:rFonts w:ascii="Times New Roman" w:hAnsi="Times New Roman" w:cs="Times New Roman"/>
          <w:sz w:val="24"/>
          <w:szCs w:val="24"/>
          <w:lang w:val="en-US"/>
        </w:rPr>
        <w:t xml:space="preserve"> assay kit (Fujifilm WAKO, 434-91795 and 436-91995,). </w:t>
      </w:r>
      <w:proofErr w:type="spellStart"/>
      <w:r w:rsidR="009326CD">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162F8A"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were treated with 300 µM PA or BSA as a vehicle. </w:t>
      </w:r>
    </w:p>
    <w:p w14:paraId="079779BC" w14:textId="77777777" w:rsidR="00E1398C" w:rsidRPr="004B5E6E" w:rsidRDefault="00E1398C" w:rsidP="00270044">
      <w:pPr>
        <w:spacing w:after="100" w:afterAutospacing="1" w:line="480" w:lineRule="auto"/>
        <w:jc w:val="both"/>
        <w:rPr>
          <w:rFonts w:ascii="Times New Roman" w:hAnsi="Times New Roman" w:cs="Times New Roman"/>
          <w:b/>
          <w:bCs/>
          <w:i/>
          <w:iCs/>
          <w:sz w:val="24"/>
          <w:szCs w:val="24"/>
          <w:lang w:val="en-US"/>
        </w:rPr>
      </w:pPr>
      <w:r w:rsidRPr="004B5E6E">
        <w:rPr>
          <w:rFonts w:ascii="Times New Roman" w:hAnsi="Times New Roman" w:cs="Times New Roman"/>
          <w:b/>
          <w:bCs/>
          <w:i/>
          <w:iCs/>
          <w:sz w:val="24"/>
          <w:szCs w:val="24"/>
          <w:lang w:val="en-US"/>
        </w:rPr>
        <w:lastRenderedPageBreak/>
        <w:t>Fluorescence microscopy</w:t>
      </w:r>
    </w:p>
    <w:p w14:paraId="5925CA48" w14:textId="77777777" w:rsidR="00E1398C" w:rsidRPr="00405F18" w:rsidRDefault="00E1398C" w:rsidP="00270044">
      <w:pPr>
        <w:spacing w:after="100" w:afterAutospacing="1" w:line="480" w:lineRule="auto"/>
        <w:jc w:val="both"/>
        <w:rPr>
          <w:rFonts w:ascii="Times New Roman" w:hAnsi="Times New Roman" w:cs="Times New Roman"/>
          <w:i/>
          <w:iCs/>
          <w:sz w:val="24"/>
          <w:szCs w:val="24"/>
          <w:lang w:val="en-US"/>
        </w:rPr>
      </w:pPr>
      <w:r w:rsidRPr="00405F18">
        <w:rPr>
          <w:rFonts w:ascii="Times New Roman" w:hAnsi="Times New Roman" w:cs="Times New Roman"/>
          <w:i/>
          <w:iCs/>
          <w:sz w:val="24"/>
          <w:szCs w:val="24"/>
          <w:lang w:val="en-US"/>
        </w:rPr>
        <w:t>Lipid droplet imaging</w:t>
      </w:r>
    </w:p>
    <w:p w14:paraId="19CE13B6" w14:textId="04720571" w:rsidR="00E1398C" w:rsidRPr="00405F18" w:rsidRDefault="00E1398C"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Cells were incubated for 15 min at 37°C with 2.5 </w:t>
      </w:r>
      <w:r w:rsidR="005D5734">
        <w:rPr>
          <w:rFonts w:ascii="Times New Roman" w:hAnsi="Times New Roman" w:cs="Times New Roman"/>
          <w:sz w:val="24"/>
          <w:szCs w:val="24"/>
          <w:lang w:val="en-US"/>
        </w:rPr>
        <w:t>µ</w:t>
      </w:r>
      <w:r w:rsidRPr="00405F18">
        <w:rPr>
          <w:rFonts w:ascii="Times New Roman" w:hAnsi="Times New Roman" w:cs="Times New Roman"/>
          <w:sz w:val="24"/>
          <w:szCs w:val="24"/>
          <w:lang w:val="en-US"/>
        </w:rPr>
        <w:t>M BODIPY493/503 (</w:t>
      </w:r>
      <w:proofErr w:type="spellStart"/>
      <w:r w:rsidRPr="00405F18">
        <w:rPr>
          <w:rFonts w:ascii="Times New Roman" w:hAnsi="Times New Roman" w:cs="Times New Roman"/>
          <w:sz w:val="24"/>
          <w:szCs w:val="24"/>
          <w:lang w:val="en-US"/>
        </w:rPr>
        <w:t>Thermo</w:t>
      </w:r>
      <w:proofErr w:type="spellEnd"/>
      <w:r w:rsidRPr="00405F18">
        <w:rPr>
          <w:rFonts w:ascii="Times New Roman" w:hAnsi="Times New Roman" w:cs="Times New Roman"/>
          <w:sz w:val="24"/>
          <w:szCs w:val="24"/>
          <w:lang w:val="en-US"/>
        </w:rPr>
        <w:t xml:space="preserve"> Fisher Scientific, D3922) and 1 µM DAPI (</w:t>
      </w:r>
      <w:proofErr w:type="spellStart"/>
      <w:r w:rsidRPr="00405F18">
        <w:rPr>
          <w:rFonts w:ascii="Times New Roman" w:hAnsi="Times New Roman" w:cs="Times New Roman"/>
          <w:sz w:val="24"/>
          <w:szCs w:val="24"/>
          <w:lang w:val="en-US"/>
        </w:rPr>
        <w:t>Thermo</w:t>
      </w:r>
      <w:proofErr w:type="spellEnd"/>
      <w:r w:rsidRPr="00405F18">
        <w:rPr>
          <w:rFonts w:ascii="Times New Roman" w:hAnsi="Times New Roman" w:cs="Times New Roman"/>
          <w:sz w:val="24"/>
          <w:szCs w:val="24"/>
          <w:lang w:val="en-US"/>
        </w:rPr>
        <w:t xml:space="preserve"> Fisher Scientific, D1306). After two PBS</w:t>
      </w:r>
      <w:r w:rsidR="003949E9">
        <w:rPr>
          <w:rFonts w:ascii="Times New Roman" w:hAnsi="Times New Roman" w:cs="Times New Roman"/>
          <w:sz w:val="24"/>
          <w:szCs w:val="24"/>
          <w:lang w:val="en-US"/>
        </w:rPr>
        <w:t xml:space="preserve"> </w:t>
      </w:r>
      <w:r w:rsidR="00FD42AC">
        <w:rPr>
          <w:rFonts w:ascii="Times New Roman" w:hAnsi="Times New Roman" w:cs="Times New Roman"/>
          <w:sz w:val="24"/>
          <w:szCs w:val="24"/>
          <w:lang w:val="en-US"/>
        </w:rPr>
        <w:t>(</w:t>
      </w:r>
      <w:proofErr w:type="spellStart"/>
      <w:r w:rsidR="00FD42AC">
        <w:rPr>
          <w:rFonts w:ascii="Times New Roman" w:hAnsi="Times New Roman" w:cs="Times New Roman"/>
          <w:sz w:val="24"/>
          <w:szCs w:val="24"/>
          <w:lang w:val="en-US"/>
        </w:rPr>
        <w:t>Dulis</w:t>
      </w:r>
      <w:proofErr w:type="spellEnd"/>
      <w:r w:rsidR="00FD42AC">
        <w:rPr>
          <w:rFonts w:ascii="Times New Roman" w:hAnsi="Times New Roman" w:cs="Times New Roman"/>
          <w:sz w:val="24"/>
          <w:szCs w:val="24"/>
          <w:lang w:val="en-US"/>
        </w:rPr>
        <w:t>,</w:t>
      </w:r>
      <w:r w:rsidR="00FD42AC" w:rsidRPr="00FD42AC">
        <w:rPr>
          <w:lang w:val="en-US"/>
        </w:rPr>
        <w:t xml:space="preserve"> </w:t>
      </w:r>
      <w:r w:rsidR="00FD42AC" w:rsidRPr="00FD42AC">
        <w:rPr>
          <w:rFonts w:ascii="Times New Roman" w:hAnsi="Times New Roman" w:cs="Times New Roman"/>
          <w:sz w:val="24"/>
          <w:szCs w:val="24"/>
          <w:lang w:val="en-US"/>
        </w:rPr>
        <w:t>L0616-500</w:t>
      </w:r>
      <w:r w:rsidR="00FD42AC">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washes, </w:t>
      </w:r>
      <w:r w:rsidR="00BF1071" w:rsidRPr="00405F18">
        <w:rPr>
          <w:rFonts w:ascii="Times New Roman" w:hAnsi="Times New Roman" w:cs="Times New Roman"/>
          <w:sz w:val="24"/>
          <w:szCs w:val="24"/>
          <w:lang w:val="en-US"/>
        </w:rPr>
        <w:t xml:space="preserve">living cells were imaged with a </w:t>
      </w:r>
      <w:r w:rsidRPr="00405F18">
        <w:rPr>
          <w:rFonts w:ascii="Times New Roman" w:hAnsi="Times New Roman" w:cs="Times New Roman"/>
          <w:sz w:val="24"/>
          <w:szCs w:val="24"/>
          <w:lang w:val="en-US"/>
        </w:rPr>
        <w:t>Leica TCSSP5 II confocal laser-scanning microscope (Leica Microsystems, Belgium). Quantifications of LD size and number were performed using FIJI v.2.1.0. and the “</w:t>
      </w:r>
      <w:r w:rsidRPr="00405F18">
        <w:rPr>
          <w:rFonts w:ascii="Times New Roman" w:hAnsi="Times New Roman" w:cs="Times New Roman"/>
          <w:i/>
          <w:iCs/>
          <w:sz w:val="24"/>
          <w:szCs w:val="24"/>
          <w:lang w:val="en-US"/>
        </w:rPr>
        <w:t>MRI Lipid Droplets Tool</w:t>
      </w:r>
      <w:r w:rsidRPr="00405F18">
        <w:rPr>
          <w:rFonts w:ascii="Times New Roman" w:hAnsi="Times New Roman" w:cs="Times New Roman"/>
          <w:sz w:val="24"/>
          <w:szCs w:val="24"/>
          <w:lang w:val="en-US"/>
        </w:rPr>
        <w:t>” plugin</w:t>
      </w:r>
      <w:r w:rsidR="0021258E" w:rsidRPr="00405F18">
        <w:rPr>
          <w:rFonts w:ascii="Times New Roman" w:hAnsi="Times New Roman" w:cs="Times New Roman"/>
          <w:sz w:val="24"/>
          <w:szCs w:val="24"/>
          <w:lang w:val="en-US"/>
        </w:rPr>
        <w:t xml:space="preserve"> (Figure</w:t>
      </w:r>
      <w:r w:rsidR="00642BB7" w:rsidRPr="00405F18">
        <w:rPr>
          <w:rFonts w:ascii="Times New Roman" w:hAnsi="Times New Roman" w:cs="Times New Roman"/>
          <w:sz w:val="24"/>
          <w:szCs w:val="24"/>
          <w:lang w:val="en-US"/>
        </w:rPr>
        <w:t xml:space="preserve"> 1B, 1C</w:t>
      </w:r>
      <w:r w:rsidR="00FE5BAB" w:rsidRPr="00405F18">
        <w:rPr>
          <w:rFonts w:ascii="Times New Roman" w:hAnsi="Times New Roman" w:cs="Times New Roman"/>
          <w:sz w:val="24"/>
          <w:szCs w:val="24"/>
          <w:lang w:val="en-US"/>
        </w:rPr>
        <w:t>, S1B and S1C</w:t>
      </w:r>
      <w:r w:rsidR="00642BB7"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w:t>
      </w:r>
    </w:p>
    <w:p w14:paraId="11D6E1A5" w14:textId="1A3BB8D4" w:rsidR="00E1398C" w:rsidRPr="00405F18" w:rsidRDefault="00E1398C" w:rsidP="00270044">
      <w:pPr>
        <w:spacing w:after="100" w:afterAutospacing="1" w:line="480" w:lineRule="auto"/>
        <w:jc w:val="both"/>
        <w:rPr>
          <w:rFonts w:ascii="Times New Roman" w:hAnsi="Times New Roman" w:cs="Times New Roman"/>
          <w:i/>
          <w:iCs/>
          <w:sz w:val="24"/>
          <w:szCs w:val="24"/>
          <w:lang w:val="en-US"/>
        </w:rPr>
      </w:pPr>
      <w:proofErr w:type="spellStart"/>
      <w:r w:rsidRPr="00405F18">
        <w:rPr>
          <w:rFonts w:ascii="Times New Roman" w:hAnsi="Times New Roman" w:cs="Times New Roman"/>
          <w:i/>
          <w:iCs/>
          <w:sz w:val="24"/>
          <w:szCs w:val="24"/>
          <w:lang w:val="en-US"/>
        </w:rPr>
        <w:t>Lum</w:t>
      </w:r>
      <w:r w:rsidR="003949E9">
        <w:rPr>
          <w:rFonts w:ascii="Times New Roman" w:hAnsi="Times New Roman" w:cs="Times New Roman"/>
          <w:i/>
          <w:iCs/>
          <w:sz w:val="24"/>
          <w:szCs w:val="24"/>
          <w:lang w:val="en-US"/>
        </w:rPr>
        <w:t>e</w:t>
      </w:r>
      <w:r w:rsidRPr="00405F18">
        <w:rPr>
          <w:rFonts w:ascii="Times New Roman" w:hAnsi="Times New Roman" w:cs="Times New Roman"/>
          <w:i/>
          <w:iCs/>
          <w:sz w:val="24"/>
          <w:szCs w:val="24"/>
          <w:lang w:val="en-US"/>
        </w:rPr>
        <w:t>nal</w:t>
      </w:r>
      <w:proofErr w:type="spellEnd"/>
      <w:r w:rsidRPr="00405F18">
        <w:rPr>
          <w:rFonts w:ascii="Times New Roman" w:hAnsi="Times New Roman" w:cs="Times New Roman"/>
          <w:i/>
          <w:iCs/>
          <w:sz w:val="24"/>
          <w:szCs w:val="24"/>
          <w:lang w:val="en-US"/>
        </w:rPr>
        <w:t xml:space="preserve"> lysosomal and </w:t>
      </w:r>
      <w:proofErr w:type="spellStart"/>
      <w:r w:rsidRPr="00405F18">
        <w:rPr>
          <w:rFonts w:ascii="Times New Roman" w:hAnsi="Times New Roman" w:cs="Times New Roman"/>
          <w:i/>
          <w:iCs/>
          <w:sz w:val="24"/>
          <w:szCs w:val="24"/>
          <w:lang w:val="en-US"/>
        </w:rPr>
        <w:t>autophagosomal</w:t>
      </w:r>
      <w:proofErr w:type="spellEnd"/>
      <w:r w:rsidRPr="00405F18">
        <w:rPr>
          <w:rFonts w:ascii="Times New Roman" w:hAnsi="Times New Roman" w:cs="Times New Roman"/>
          <w:i/>
          <w:iCs/>
          <w:sz w:val="24"/>
          <w:szCs w:val="24"/>
          <w:lang w:val="en-US"/>
        </w:rPr>
        <w:t xml:space="preserve"> pH assessment</w:t>
      </w:r>
    </w:p>
    <w:p w14:paraId="7B9B3714" w14:textId="4CE32E5B" w:rsidR="00E1398C" w:rsidRPr="00405F18" w:rsidRDefault="00E1398C"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Cells were transduced with Premo™ autophagy tandem sensor RFP-GFP-LC3B kit (</w:t>
      </w:r>
      <w:proofErr w:type="spellStart"/>
      <w:r w:rsidRPr="00405F18">
        <w:rPr>
          <w:rFonts w:ascii="Times New Roman" w:hAnsi="Times New Roman" w:cs="Times New Roman"/>
          <w:sz w:val="24"/>
          <w:szCs w:val="24"/>
          <w:lang w:val="en-US"/>
        </w:rPr>
        <w:t>Thermo</w:t>
      </w:r>
      <w:proofErr w:type="spellEnd"/>
      <w:r w:rsidRPr="00405F18">
        <w:rPr>
          <w:rFonts w:ascii="Times New Roman" w:hAnsi="Times New Roman" w:cs="Times New Roman"/>
          <w:sz w:val="24"/>
          <w:szCs w:val="24"/>
          <w:lang w:val="en-US"/>
        </w:rPr>
        <w:t xml:space="preserve"> Fisher Scientific, P36239) and treated 24 h later. Cells were then incubated for 5 min with 1 µM DAPI and fixed with ice-cold </w:t>
      </w:r>
      <w:proofErr w:type="spellStart"/>
      <w:proofErr w:type="gramStart"/>
      <w:r w:rsidRPr="00405F18">
        <w:rPr>
          <w:rFonts w:ascii="Times New Roman" w:hAnsi="Times New Roman" w:cs="Times New Roman"/>
          <w:sz w:val="24"/>
          <w:szCs w:val="24"/>
          <w:lang w:val="en-US"/>
        </w:rPr>
        <w:t>methanol</w:t>
      </w:r>
      <w:r w:rsidR="003949E9">
        <w:rPr>
          <w:rFonts w:ascii="Times New Roman" w:hAnsi="Times New Roman" w:cs="Times New Roman"/>
          <w:sz w:val="24"/>
          <w:szCs w:val="24"/>
          <w:lang w:val="en-US"/>
        </w:rPr>
        <w:t>:</w:t>
      </w:r>
      <w:r w:rsidRPr="00405F18">
        <w:rPr>
          <w:rFonts w:ascii="Times New Roman" w:hAnsi="Times New Roman" w:cs="Times New Roman"/>
          <w:sz w:val="24"/>
          <w:szCs w:val="24"/>
          <w:lang w:val="en-US"/>
        </w:rPr>
        <w:t>acetone</w:t>
      </w:r>
      <w:proofErr w:type="spellEnd"/>
      <w:proofErr w:type="gramEnd"/>
      <w:r w:rsidRPr="00405F18">
        <w:rPr>
          <w:rFonts w:ascii="Times New Roman" w:hAnsi="Times New Roman" w:cs="Times New Roman"/>
          <w:sz w:val="24"/>
          <w:szCs w:val="24"/>
          <w:lang w:val="en-US"/>
        </w:rPr>
        <w:t xml:space="preserve"> (1</w:t>
      </w:r>
      <w:r w:rsidR="003949E9">
        <w:rPr>
          <w:rFonts w:ascii="Times New Roman" w:hAnsi="Times New Roman" w:cs="Times New Roman"/>
          <w:sz w:val="24"/>
          <w:szCs w:val="24"/>
          <w:lang w:val="en-US"/>
        </w:rPr>
        <w:t>:</w:t>
      </w:r>
      <w:r w:rsidRPr="00405F18">
        <w:rPr>
          <w:rFonts w:ascii="Times New Roman" w:hAnsi="Times New Roman" w:cs="Times New Roman"/>
          <w:sz w:val="24"/>
          <w:szCs w:val="24"/>
          <w:lang w:val="en-US"/>
        </w:rPr>
        <w:t>1) (Carl Roth, 7342.1 and T161.1</w:t>
      </w:r>
      <w:r w:rsidR="003949E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respectively) for 10 min and mounted in </w:t>
      </w:r>
      <w:proofErr w:type="spellStart"/>
      <w:r w:rsidRPr="00405F18">
        <w:rPr>
          <w:rFonts w:ascii="Times New Roman" w:hAnsi="Times New Roman" w:cs="Times New Roman"/>
          <w:sz w:val="24"/>
          <w:szCs w:val="24"/>
          <w:lang w:val="en-US"/>
        </w:rPr>
        <w:t>Fluoromount</w:t>
      </w:r>
      <w:proofErr w:type="spellEnd"/>
      <w:r w:rsidRPr="00405F18">
        <w:rPr>
          <w:rFonts w:ascii="Times New Roman" w:hAnsi="Times New Roman" w:cs="Times New Roman"/>
          <w:sz w:val="24"/>
          <w:szCs w:val="24"/>
          <w:lang w:val="en-US"/>
        </w:rPr>
        <w:t xml:space="preserve"> G (</w:t>
      </w:r>
      <w:proofErr w:type="spellStart"/>
      <w:r w:rsidRPr="00405F18">
        <w:rPr>
          <w:rFonts w:ascii="Times New Roman" w:hAnsi="Times New Roman" w:cs="Times New Roman"/>
          <w:sz w:val="24"/>
          <w:szCs w:val="24"/>
          <w:lang w:val="en-US"/>
        </w:rPr>
        <w:t>Thermo</w:t>
      </w:r>
      <w:proofErr w:type="spellEnd"/>
      <w:r w:rsidRPr="00405F18">
        <w:rPr>
          <w:rFonts w:ascii="Times New Roman" w:hAnsi="Times New Roman" w:cs="Times New Roman"/>
          <w:sz w:val="24"/>
          <w:szCs w:val="24"/>
          <w:lang w:val="en-US"/>
        </w:rPr>
        <w:t xml:space="preserve"> Fisher Scientific, 00-4958-02). </w:t>
      </w:r>
      <w:r w:rsidR="00BF1071" w:rsidRPr="00405F18">
        <w:rPr>
          <w:rFonts w:ascii="Times New Roman" w:hAnsi="Times New Roman" w:cs="Times New Roman"/>
          <w:sz w:val="24"/>
          <w:szCs w:val="24"/>
          <w:lang w:val="en-US"/>
        </w:rPr>
        <w:t xml:space="preserve">Samples were then imaged with a </w:t>
      </w:r>
      <w:r w:rsidRPr="00405F18">
        <w:rPr>
          <w:rFonts w:ascii="Times New Roman" w:hAnsi="Times New Roman" w:cs="Times New Roman"/>
          <w:sz w:val="24"/>
          <w:szCs w:val="24"/>
          <w:lang w:val="en-US"/>
        </w:rPr>
        <w:t xml:space="preserve">Zeiss LSM 900 confocal laser-scanning microscope equipped with an </w:t>
      </w:r>
      <w:proofErr w:type="spellStart"/>
      <w:r w:rsidRPr="00405F18">
        <w:rPr>
          <w:rFonts w:ascii="Times New Roman" w:hAnsi="Times New Roman" w:cs="Times New Roman"/>
          <w:sz w:val="24"/>
          <w:szCs w:val="24"/>
          <w:lang w:val="en-US"/>
        </w:rPr>
        <w:t>Airyscan</w:t>
      </w:r>
      <w:proofErr w:type="spellEnd"/>
      <w:r w:rsidRPr="00405F18">
        <w:rPr>
          <w:rFonts w:ascii="Times New Roman" w:hAnsi="Times New Roman" w:cs="Times New Roman"/>
          <w:sz w:val="24"/>
          <w:szCs w:val="24"/>
          <w:lang w:val="en-US"/>
        </w:rPr>
        <w:t xml:space="preserve"> 2 multiplex system (Carl Zeiss, Germany). The number of acidic LC3 puncta was determined by counting the GFP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RFP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puncta while the number of LC3 structures at neutral pH was obtained by the number of GFP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RFP</w:t>
      </w:r>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xml:space="preserve"> LC3 puncta per cell</w:t>
      </w:r>
      <w:r w:rsidR="00642BB7" w:rsidRPr="00405F18">
        <w:rPr>
          <w:rFonts w:ascii="Times New Roman" w:hAnsi="Times New Roman" w:cs="Times New Roman"/>
          <w:sz w:val="24"/>
          <w:szCs w:val="24"/>
          <w:lang w:val="en-US"/>
        </w:rPr>
        <w:t xml:space="preserve"> (Figure 1</w:t>
      </w:r>
      <w:r w:rsidR="00F73DC6" w:rsidRPr="00405F18">
        <w:rPr>
          <w:rFonts w:ascii="Times New Roman" w:hAnsi="Times New Roman" w:cs="Times New Roman"/>
          <w:sz w:val="24"/>
          <w:szCs w:val="24"/>
          <w:lang w:val="en-US"/>
        </w:rPr>
        <w:t xml:space="preserve">H, 1I, 3E, 3F, </w:t>
      </w:r>
      <w:r w:rsidR="00876DA3" w:rsidRPr="00405F18">
        <w:rPr>
          <w:rFonts w:ascii="Times New Roman" w:hAnsi="Times New Roman" w:cs="Times New Roman"/>
          <w:sz w:val="24"/>
          <w:szCs w:val="24"/>
          <w:lang w:val="en-US"/>
        </w:rPr>
        <w:t>S4E</w:t>
      </w:r>
      <w:r w:rsidR="00FE5BAB" w:rsidRPr="00405F18">
        <w:rPr>
          <w:rFonts w:ascii="Times New Roman" w:hAnsi="Times New Roman" w:cs="Times New Roman"/>
          <w:sz w:val="24"/>
          <w:szCs w:val="24"/>
          <w:lang w:val="en-US"/>
        </w:rPr>
        <w:t xml:space="preserve"> and </w:t>
      </w:r>
      <w:r w:rsidR="00876DA3" w:rsidRPr="00405F18">
        <w:rPr>
          <w:rFonts w:ascii="Times New Roman" w:hAnsi="Times New Roman" w:cs="Times New Roman"/>
          <w:sz w:val="24"/>
          <w:szCs w:val="24"/>
          <w:lang w:val="en-US"/>
        </w:rPr>
        <w:t>S4F)</w:t>
      </w:r>
      <w:r w:rsidRPr="00405F18">
        <w:rPr>
          <w:rFonts w:ascii="Times New Roman" w:hAnsi="Times New Roman" w:cs="Times New Roman"/>
          <w:sz w:val="24"/>
          <w:szCs w:val="24"/>
          <w:lang w:val="en-US"/>
        </w:rPr>
        <w:t>.</w:t>
      </w:r>
    </w:p>
    <w:p w14:paraId="0C9CE6B1" w14:textId="3CCEB47B" w:rsidR="00E1398C" w:rsidRPr="00405F18" w:rsidRDefault="00E1398C" w:rsidP="00A6771D">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For lysosomal pH assessment, cells were seeded on 96-well black with clear flat plate (Corning, 353219). After treatment, cells were incubated with 5 µM </w:t>
      </w:r>
      <w:proofErr w:type="spellStart"/>
      <w:r w:rsidRPr="00405F18">
        <w:rPr>
          <w:rFonts w:ascii="Times New Roman" w:hAnsi="Times New Roman" w:cs="Times New Roman"/>
          <w:sz w:val="24"/>
          <w:szCs w:val="24"/>
          <w:lang w:val="en-US"/>
        </w:rPr>
        <w:t>LysoSensor</w:t>
      </w:r>
      <w:proofErr w:type="spellEnd"/>
      <w:r w:rsidRPr="00405F18">
        <w:rPr>
          <w:rFonts w:ascii="Times New Roman" w:hAnsi="Times New Roman" w:cs="Times New Roman"/>
          <w:sz w:val="24"/>
          <w:szCs w:val="24"/>
          <w:lang w:val="en-US"/>
        </w:rPr>
        <w:t xml:space="preserve"> Yellow/Blue DND-160 (</w:t>
      </w:r>
      <w:proofErr w:type="spellStart"/>
      <w:r w:rsidRPr="00405F18">
        <w:rPr>
          <w:rFonts w:ascii="Times New Roman" w:hAnsi="Times New Roman" w:cs="Times New Roman"/>
          <w:sz w:val="24"/>
          <w:szCs w:val="24"/>
          <w:lang w:val="en-US"/>
        </w:rPr>
        <w:t>Thermo</w:t>
      </w:r>
      <w:proofErr w:type="spellEnd"/>
      <w:r w:rsidRPr="00405F18">
        <w:rPr>
          <w:rFonts w:ascii="Times New Roman" w:hAnsi="Times New Roman" w:cs="Times New Roman"/>
          <w:sz w:val="24"/>
          <w:szCs w:val="24"/>
          <w:lang w:val="en-US"/>
        </w:rPr>
        <w:t xml:space="preserve"> Fisher Scientific, L7545) for 3 min at 37°C. After two PBS washes, fluorescence emissions at 440 (lysosomal pH of 6-8) and 540 nm (lysosomal pH of 3-5) were measured with </w:t>
      </w:r>
      <w:proofErr w:type="spellStart"/>
      <w:r w:rsidRPr="00405F18">
        <w:rPr>
          <w:rFonts w:ascii="Times New Roman" w:hAnsi="Times New Roman" w:cs="Times New Roman"/>
          <w:sz w:val="24"/>
          <w:szCs w:val="24"/>
          <w:lang w:val="en-US"/>
        </w:rPr>
        <w:t>SpectraMax</w:t>
      </w:r>
      <w:proofErr w:type="spellEnd"/>
      <w:r w:rsidRPr="00405F18">
        <w:rPr>
          <w:rFonts w:ascii="Times New Roman" w:hAnsi="Times New Roman" w:cs="Times New Roman"/>
          <w:sz w:val="24"/>
          <w:szCs w:val="24"/>
          <w:lang w:val="en-US"/>
        </w:rPr>
        <w:t xml:space="preserve"> i3x Multi-Mode Microplate Detection Platform (Molecular </w:t>
      </w:r>
      <w:r w:rsidRPr="00405F18">
        <w:rPr>
          <w:rFonts w:ascii="Times New Roman" w:hAnsi="Times New Roman" w:cs="Times New Roman"/>
          <w:sz w:val="24"/>
          <w:szCs w:val="24"/>
          <w:lang w:val="en-US"/>
        </w:rPr>
        <w:lastRenderedPageBreak/>
        <w:t>Devices, United States).</w:t>
      </w:r>
      <w:r w:rsidR="00A173D6" w:rsidRPr="00405F18">
        <w:rPr>
          <w:rFonts w:ascii="Times New Roman" w:hAnsi="Times New Roman" w:cs="Times New Roman"/>
          <w:sz w:val="24"/>
          <w:szCs w:val="24"/>
          <w:lang w:val="en-US"/>
        </w:rPr>
        <w:t xml:space="preserve"> </w:t>
      </w:r>
      <w:r w:rsidR="008B72EE" w:rsidRPr="00405F18">
        <w:rPr>
          <w:rFonts w:ascii="Times New Roman" w:hAnsi="Times New Roman" w:cs="Times New Roman"/>
          <w:sz w:val="24"/>
          <w:szCs w:val="24"/>
          <w:lang w:val="en-US"/>
        </w:rPr>
        <w:t>Lysosomal pH was also assessed through</w:t>
      </w:r>
      <w:r w:rsidR="00147768" w:rsidRPr="00405F18">
        <w:rPr>
          <w:rFonts w:ascii="Times New Roman" w:hAnsi="Times New Roman" w:cs="Times New Roman"/>
          <w:sz w:val="24"/>
          <w:szCs w:val="24"/>
          <w:lang w:val="en-US"/>
        </w:rPr>
        <w:t xml:space="preserve"> cell incubation with</w:t>
      </w:r>
      <w:r w:rsidR="003B7E57" w:rsidRPr="00405F18">
        <w:rPr>
          <w:rFonts w:ascii="Times New Roman" w:hAnsi="Times New Roman" w:cs="Times New Roman"/>
          <w:sz w:val="24"/>
          <w:szCs w:val="24"/>
          <w:lang w:val="en-US"/>
        </w:rPr>
        <w:t xml:space="preserve"> </w:t>
      </w:r>
      <w:r w:rsidR="00501087" w:rsidRPr="00405F18">
        <w:rPr>
          <w:rFonts w:ascii="Times New Roman" w:hAnsi="Times New Roman" w:cs="Times New Roman"/>
          <w:sz w:val="24"/>
          <w:szCs w:val="24"/>
          <w:lang w:val="en-US"/>
        </w:rPr>
        <w:t>2.5 µM Acridine Orange</w:t>
      </w:r>
      <w:r w:rsidR="00AD44CE" w:rsidRPr="00405F18">
        <w:rPr>
          <w:rFonts w:ascii="Times New Roman" w:hAnsi="Times New Roman" w:cs="Times New Roman"/>
          <w:sz w:val="24"/>
          <w:szCs w:val="24"/>
          <w:lang w:val="en-US"/>
        </w:rPr>
        <w:t xml:space="preserve"> (Sigma-Aldrich, A-6014)</w:t>
      </w:r>
      <w:r w:rsidR="00501087" w:rsidRPr="00405F18">
        <w:rPr>
          <w:rFonts w:ascii="Times New Roman" w:hAnsi="Times New Roman" w:cs="Times New Roman"/>
          <w:sz w:val="24"/>
          <w:szCs w:val="24"/>
          <w:lang w:val="en-US"/>
        </w:rPr>
        <w:t xml:space="preserve"> for 15 min at 37°C.</w:t>
      </w:r>
      <w:r w:rsidR="00F41A04" w:rsidRPr="00405F18">
        <w:rPr>
          <w:rFonts w:ascii="Times New Roman" w:hAnsi="Times New Roman" w:cs="Times New Roman"/>
          <w:sz w:val="24"/>
          <w:szCs w:val="24"/>
          <w:lang w:val="en-US"/>
        </w:rPr>
        <w:t xml:space="preserve"> After two PBS washes, living cells were imaged with a Zeiss LSM 900 confocal laser-scanning microscope. The </w:t>
      </w:r>
      <w:proofErr w:type="spellStart"/>
      <w:proofErr w:type="gramStart"/>
      <w:r w:rsidR="00F41A04" w:rsidRPr="00405F18">
        <w:rPr>
          <w:rFonts w:ascii="Times New Roman" w:hAnsi="Times New Roman" w:cs="Times New Roman"/>
          <w:sz w:val="24"/>
          <w:szCs w:val="24"/>
          <w:lang w:val="en-US"/>
        </w:rPr>
        <w:t>red:green</w:t>
      </w:r>
      <w:proofErr w:type="spellEnd"/>
      <w:proofErr w:type="gramEnd"/>
      <w:r w:rsidR="00F41A04" w:rsidRPr="00405F18">
        <w:rPr>
          <w:rFonts w:ascii="Times New Roman" w:hAnsi="Times New Roman" w:cs="Times New Roman"/>
          <w:sz w:val="24"/>
          <w:szCs w:val="24"/>
          <w:lang w:val="en-US"/>
        </w:rPr>
        <w:t xml:space="preserve"> fluorescence ratios were quantified by the Integrated Density tool on FIJI v.2.1.0. software</w:t>
      </w:r>
      <w:r w:rsidR="00876DA3" w:rsidRPr="00405F18">
        <w:rPr>
          <w:rFonts w:ascii="Times New Roman" w:hAnsi="Times New Roman" w:cs="Times New Roman"/>
          <w:sz w:val="24"/>
          <w:szCs w:val="24"/>
          <w:lang w:val="en-US"/>
        </w:rPr>
        <w:t xml:space="preserve"> (Figure 6C)</w:t>
      </w:r>
      <w:r w:rsidR="00F41A04" w:rsidRPr="00405F18">
        <w:rPr>
          <w:rFonts w:ascii="Times New Roman" w:hAnsi="Times New Roman" w:cs="Times New Roman"/>
          <w:sz w:val="24"/>
          <w:szCs w:val="24"/>
          <w:lang w:val="en-US"/>
        </w:rPr>
        <w:t>.</w:t>
      </w:r>
    </w:p>
    <w:p w14:paraId="7A4AC17B" w14:textId="77777777" w:rsidR="00E1398C" w:rsidRPr="00405F18" w:rsidRDefault="00E1398C" w:rsidP="00270044">
      <w:pPr>
        <w:spacing w:after="100" w:afterAutospacing="1" w:line="480" w:lineRule="auto"/>
        <w:jc w:val="both"/>
        <w:rPr>
          <w:rFonts w:ascii="Times New Roman" w:hAnsi="Times New Roman" w:cs="Times New Roman"/>
          <w:i/>
          <w:iCs/>
          <w:sz w:val="24"/>
          <w:szCs w:val="24"/>
          <w:lang w:val="en-US"/>
        </w:rPr>
      </w:pPr>
      <w:r w:rsidRPr="00405F18">
        <w:rPr>
          <w:rFonts w:ascii="Times New Roman" w:hAnsi="Times New Roman" w:cs="Times New Roman"/>
          <w:i/>
          <w:iCs/>
          <w:sz w:val="24"/>
          <w:szCs w:val="24"/>
          <w:lang w:val="en-US"/>
        </w:rPr>
        <w:t>BSA-</w:t>
      </w:r>
      <w:proofErr w:type="spellStart"/>
      <w:r w:rsidRPr="00405F18">
        <w:rPr>
          <w:rFonts w:ascii="Times New Roman" w:hAnsi="Times New Roman" w:cs="Times New Roman"/>
          <w:i/>
          <w:iCs/>
          <w:sz w:val="24"/>
          <w:szCs w:val="24"/>
          <w:lang w:val="en-US"/>
        </w:rPr>
        <w:t>upatke</w:t>
      </w:r>
      <w:proofErr w:type="spellEnd"/>
      <w:r w:rsidRPr="00405F18">
        <w:rPr>
          <w:rFonts w:ascii="Times New Roman" w:hAnsi="Times New Roman" w:cs="Times New Roman"/>
          <w:i/>
          <w:iCs/>
          <w:sz w:val="24"/>
          <w:szCs w:val="24"/>
          <w:lang w:val="en-US"/>
        </w:rPr>
        <w:t xml:space="preserve"> endocytic assay</w:t>
      </w:r>
    </w:p>
    <w:p w14:paraId="20ED79D5" w14:textId="075E092C" w:rsidR="00E1398C" w:rsidRPr="00405F18" w:rsidRDefault="00E1398C"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The protein endocytic uptake was monitored in </w:t>
      </w:r>
      <w:proofErr w:type="spellStart"/>
      <w:r w:rsidR="009326CD">
        <w:rPr>
          <w:rFonts w:ascii="Times New Roman" w:hAnsi="Times New Roman" w:cs="Times New Roman"/>
          <w:sz w:val="24"/>
          <w:szCs w:val="24"/>
          <w:lang w:val="en-US"/>
        </w:rPr>
        <w:t>M</w:t>
      </w:r>
      <w:r w:rsidRPr="00405F18">
        <w:rPr>
          <w:rFonts w:ascii="Times New Roman" w:hAnsi="Times New Roman" w:cs="Times New Roman"/>
          <w:sz w:val="24"/>
          <w:szCs w:val="24"/>
          <w:lang w:val="en-US"/>
        </w:rPr>
        <w:t>mPTEC</w:t>
      </w:r>
      <w:r w:rsidR="00162F8A" w:rsidRPr="00405F18">
        <w:rPr>
          <w:rFonts w:ascii="Times New Roman" w:hAnsi="Times New Roman" w:cs="Times New Roman"/>
          <w:sz w:val="24"/>
          <w:szCs w:val="24"/>
          <w:lang w:val="en-US"/>
        </w:rPr>
        <w:t>s</w:t>
      </w:r>
      <w:proofErr w:type="spellEnd"/>
      <w:r w:rsidRPr="00405F18">
        <w:rPr>
          <w:rFonts w:ascii="Times New Roman" w:hAnsi="Times New Roman" w:cs="Times New Roman"/>
          <w:sz w:val="24"/>
          <w:szCs w:val="24"/>
          <w:lang w:val="en-US"/>
        </w:rPr>
        <w:t xml:space="preserve"> following incubation for 30 min at 37°C with 100 </w:t>
      </w:r>
      <w:proofErr w:type="spellStart"/>
      <w:r w:rsidRPr="00405F18">
        <w:rPr>
          <w:rFonts w:ascii="Times New Roman" w:hAnsi="Times New Roman" w:cs="Times New Roman"/>
          <w:sz w:val="24"/>
          <w:szCs w:val="24"/>
          <w:lang w:val="en-US"/>
        </w:rPr>
        <w:t>μg</w:t>
      </w:r>
      <w:proofErr w:type="spellEnd"/>
      <w:r w:rsidRPr="00405F18">
        <w:rPr>
          <w:rFonts w:ascii="Times New Roman" w:hAnsi="Times New Roman" w:cs="Times New Roman"/>
          <w:sz w:val="24"/>
          <w:szCs w:val="24"/>
          <w:lang w:val="en-US"/>
        </w:rPr>
        <w:t>/mL BSA-Alexa Fluor</w:t>
      </w:r>
      <w:r w:rsidR="003949E9">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488 (</w:t>
      </w:r>
      <w:proofErr w:type="spellStart"/>
      <w:r w:rsidRPr="00405F18">
        <w:rPr>
          <w:rFonts w:ascii="Times New Roman" w:hAnsi="Times New Roman" w:cs="Times New Roman"/>
          <w:sz w:val="24"/>
          <w:szCs w:val="24"/>
          <w:lang w:val="en-US"/>
        </w:rPr>
        <w:t>Thermo</w:t>
      </w:r>
      <w:proofErr w:type="spellEnd"/>
      <w:r w:rsidRPr="00405F18">
        <w:rPr>
          <w:rFonts w:ascii="Times New Roman" w:hAnsi="Times New Roman" w:cs="Times New Roman"/>
          <w:sz w:val="24"/>
          <w:szCs w:val="24"/>
          <w:lang w:val="en-US"/>
        </w:rPr>
        <w:t xml:space="preserve"> Fisher Scientific, A13100) in</w:t>
      </w:r>
      <w:r w:rsidR="00FD42AC">
        <w:rPr>
          <w:rFonts w:ascii="Times New Roman" w:hAnsi="Times New Roman" w:cs="Times New Roman"/>
          <w:sz w:val="24"/>
          <w:szCs w:val="24"/>
          <w:lang w:val="en-US"/>
        </w:rPr>
        <w:t xml:space="preserve"> </w:t>
      </w:r>
      <w:r w:rsidR="00FD42AC" w:rsidRPr="00405F18">
        <w:rPr>
          <w:rFonts w:ascii="Times New Roman" w:hAnsi="Times New Roman" w:cs="Times New Roman"/>
          <w:sz w:val="24"/>
          <w:szCs w:val="24"/>
          <w:lang w:val="en-US"/>
        </w:rPr>
        <w:t>DMEM/F12 (</w:t>
      </w:r>
      <w:proofErr w:type="spellStart"/>
      <w:r w:rsidR="00FD42AC" w:rsidRPr="00405F18">
        <w:rPr>
          <w:rFonts w:ascii="Times New Roman" w:hAnsi="Times New Roman" w:cs="Times New Roman"/>
          <w:sz w:val="24"/>
          <w:szCs w:val="24"/>
          <w:lang w:val="en-US"/>
        </w:rPr>
        <w:t>Thermo</w:t>
      </w:r>
      <w:proofErr w:type="spellEnd"/>
      <w:r w:rsidR="00FD42AC" w:rsidRPr="00405F18">
        <w:rPr>
          <w:rFonts w:ascii="Times New Roman" w:hAnsi="Times New Roman" w:cs="Times New Roman"/>
          <w:sz w:val="24"/>
          <w:szCs w:val="24"/>
          <w:lang w:val="en-US"/>
        </w:rPr>
        <w:t xml:space="preserve"> Fisher Scientific</w:t>
      </w:r>
      <w:r w:rsidR="00FD42AC">
        <w:rPr>
          <w:rFonts w:ascii="Times New Roman" w:hAnsi="Times New Roman" w:cs="Times New Roman"/>
          <w:sz w:val="24"/>
          <w:szCs w:val="24"/>
          <w:lang w:val="en-US"/>
        </w:rPr>
        <w:t xml:space="preserve">, </w:t>
      </w:r>
      <w:r w:rsidR="00FD42AC" w:rsidRPr="00405F18">
        <w:rPr>
          <w:rFonts w:ascii="Times New Roman" w:hAnsi="Times New Roman" w:cs="Times New Roman"/>
          <w:sz w:val="24"/>
          <w:szCs w:val="24"/>
          <w:lang w:val="en-US"/>
        </w:rPr>
        <w:t>21041-025)</w:t>
      </w:r>
      <w:r w:rsidRPr="00405F18">
        <w:rPr>
          <w:rFonts w:ascii="Times New Roman" w:hAnsi="Times New Roman" w:cs="Times New Roman"/>
          <w:sz w:val="24"/>
          <w:szCs w:val="24"/>
          <w:lang w:val="en-US"/>
        </w:rPr>
        <w:t xml:space="preserve">. After an acid wash, cells were rinsed and then fixed with 4% paraformaldehyde (VWR Chemicals, MFCD00133991) for 10 min and mounted with </w:t>
      </w:r>
      <w:proofErr w:type="spellStart"/>
      <w:r w:rsidRPr="00405F18">
        <w:rPr>
          <w:rFonts w:ascii="Times New Roman" w:hAnsi="Times New Roman" w:cs="Times New Roman"/>
          <w:sz w:val="24"/>
          <w:szCs w:val="24"/>
          <w:lang w:val="en-US"/>
        </w:rPr>
        <w:t>Fluoromount</w:t>
      </w:r>
      <w:proofErr w:type="spellEnd"/>
      <w:r w:rsidRPr="00405F18">
        <w:rPr>
          <w:rFonts w:ascii="Times New Roman" w:hAnsi="Times New Roman" w:cs="Times New Roman"/>
          <w:sz w:val="24"/>
          <w:szCs w:val="24"/>
          <w:lang w:val="en-US"/>
        </w:rPr>
        <w:t xml:space="preserve"> G. </w:t>
      </w:r>
      <w:r w:rsidR="00BF1071" w:rsidRPr="00405F18">
        <w:rPr>
          <w:rFonts w:ascii="Times New Roman" w:hAnsi="Times New Roman" w:cs="Times New Roman"/>
          <w:sz w:val="24"/>
          <w:szCs w:val="24"/>
          <w:lang w:val="en-US"/>
        </w:rPr>
        <w:t xml:space="preserve">A </w:t>
      </w:r>
      <w:r w:rsidRPr="00405F18">
        <w:rPr>
          <w:rFonts w:ascii="Times New Roman" w:hAnsi="Times New Roman" w:cs="Times New Roman"/>
          <w:sz w:val="24"/>
          <w:szCs w:val="24"/>
          <w:lang w:val="en-US"/>
        </w:rPr>
        <w:t>Leica TCSSP5 II confocal laser-scanning microscope was</w:t>
      </w:r>
      <w:r w:rsidR="00BF1071" w:rsidRPr="00405F18">
        <w:rPr>
          <w:rFonts w:ascii="Times New Roman" w:hAnsi="Times New Roman" w:cs="Times New Roman"/>
          <w:sz w:val="24"/>
          <w:szCs w:val="24"/>
          <w:lang w:val="en-US"/>
        </w:rPr>
        <w:t xml:space="preserve"> then</w:t>
      </w:r>
      <w:r w:rsidRPr="00405F18">
        <w:rPr>
          <w:rFonts w:ascii="Times New Roman" w:hAnsi="Times New Roman" w:cs="Times New Roman"/>
          <w:sz w:val="24"/>
          <w:szCs w:val="24"/>
          <w:lang w:val="en-US"/>
        </w:rPr>
        <w:t xml:space="preserve"> used to </w:t>
      </w:r>
      <w:r w:rsidR="00357530" w:rsidRPr="00405F18">
        <w:rPr>
          <w:rFonts w:ascii="Times New Roman" w:hAnsi="Times New Roman" w:cs="Times New Roman"/>
          <w:sz w:val="24"/>
          <w:szCs w:val="24"/>
          <w:lang w:val="en-US"/>
        </w:rPr>
        <w:t xml:space="preserve">measure </w:t>
      </w:r>
      <w:r w:rsidRPr="00405F18">
        <w:rPr>
          <w:rFonts w:ascii="Times New Roman" w:hAnsi="Times New Roman" w:cs="Times New Roman"/>
          <w:sz w:val="24"/>
          <w:szCs w:val="24"/>
          <w:lang w:val="en-US"/>
        </w:rPr>
        <w:t>BSA-Alexa Fluor</w:t>
      </w:r>
      <w:r w:rsidR="003949E9">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488 endocytosis.  Fluorescence intensities were quantified by the Integrated Density tool on FIJI v.2.1.0. software</w:t>
      </w:r>
      <w:r w:rsidR="00025052" w:rsidRPr="00405F18">
        <w:rPr>
          <w:rFonts w:ascii="Times New Roman" w:hAnsi="Times New Roman" w:cs="Times New Roman"/>
          <w:sz w:val="24"/>
          <w:szCs w:val="24"/>
          <w:lang w:val="en-US"/>
        </w:rPr>
        <w:t xml:space="preserve"> (Figure 9A, 9E, 10A).</w:t>
      </w:r>
    </w:p>
    <w:p w14:paraId="51679474" w14:textId="77777777" w:rsidR="00E1398C" w:rsidRPr="00405F18" w:rsidRDefault="00E1398C" w:rsidP="00270044">
      <w:pPr>
        <w:spacing w:after="100" w:afterAutospacing="1" w:line="480" w:lineRule="auto"/>
        <w:jc w:val="both"/>
        <w:rPr>
          <w:rFonts w:ascii="Times New Roman" w:hAnsi="Times New Roman" w:cs="Times New Roman"/>
          <w:i/>
          <w:iCs/>
          <w:sz w:val="24"/>
          <w:szCs w:val="24"/>
          <w:lang w:val="en-US"/>
        </w:rPr>
      </w:pPr>
      <w:r w:rsidRPr="00405F18">
        <w:rPr>
          <w:rFonts w:ascii="Times New Roman" w:hAnsi="Times New Roman" w:cs="Times New Roman"/>
          <w:i/>
          <w:iCs/>
          <w:sz w:val="24"/>
          <w:szCs w:val="24"/>
          <w:lang w:val="en-US"/>
        </w:rPr>
        <w:t xml:space="preserve">Sample preparation and </w:t>
      </w:r>
      <w:proofErr w:type="gramStart"/>
      <w:r w:rsidRPr="00405F18">
        <w:rPr>
          <w:rFonts w:ascii="Times New Roman" w:hAnsi="Times New Roman" w:cs="Times New Roman"/>
          <w:i/>
          <w:iCs/>
          <w:sz w:val="24"/>
          <w:szCs w:val="24"/>
          <w:lang w:val="en-US"/>
        </w:rPr>
        <w:t>analyses</w:t>
      </w:r>
      <w:proofErr w:type="gramEnd"/>
      <w:r w:rsidRPr="00405F18">
        <w:rPr>
          <w:rFonts w:ascii="Times New Roman" w:hAnsi="Times New Roman" w:cs="Times New Roman"/>
          <w:i/>
          <w:iCs/>
          <w:sz w:val="24"/>
          <w:szCs w:val="24"/>
          <w:lang w:val="en-US"/>
        </w:rPr>
        <w:t xml:space="preserve"> of immunofluorescence</w:t>
      </w:r>
    </w:p>
    <w:p w14:paraId="0DB70933" w14:textId="64341C5F" w:rsidR="00E1398C" w:rsidRPr="00405F18" w:rsidRDefault="00E1398C"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After fixation with </w:t>
      </w:r>
      <w:r w:rsidRPr="004B5E6E">
        <w:rPr>
          <w:rFonts w:ascii="Times New Roman" w:hAnsi="Times New Roman" w:cs="Times New Roman"/>
          <w:sz w:val="24"/>
          <w:szCs w:val="24"/>
          <w:lang w:val="en-US"/>
        </w:rPr>
        <w:t>4%</w:t>
      </w:r>
      <w:r w:rsidRPr="00405F18">
        <w:rPr>
          <w:rFonts w:ascii="Times New Roman" w:hAnsi="Times New Roman" w:cs="Times New Roman"/>
          <w:sz w:val="24"/>
          <w:szCs w:val="24"/>
          <w:lang w:val="en-US"/>
        </w:rPr>
        <w:t xml:space="preserve"> </w:t>
      </w:r>
      <w:r w:rsidR="003949E9">
        <w:rPr>
          <w:rFonts w:ascii="Times New Roman" w:hAnsi="Times New Roman" w:cs="Times New Roman"/>
          <w:sz w:val="24"/>
          <w:szCs w:val="24"/>
          <w:lang w:val="en-US"/>
        </w:rPr>
        <w:t>paraformaldehyde</w:t>
      </w:r>
      <w:r w:rsidR="003949E9"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for 10 min, cells were incubated for 30 min in a permeabilization and blocking buffer composed of 15 mM glycine (Carl Roth, 3908.2), 0.05% (</w:t>
      </w:r>
      <w:proofErr w:type="spellStart"/>
      <w:proofErr w:type="gramStart"/>
      <w:r w:rsidRPr="00405F18">
        <w:rPr>
          <w:rFonts w:ascii="Times New Roman" w:hAnsi="Times New Roman" w:cs="Times New Roman"/>
          <w:sz w:val="24"/>
          <w:szCs w:val="24"/>
          <w:lang w:val="en-US"/>
        </w:rPr>
        <w:t>wt</w:t>
      </w:r>
      <w:r w:rsidR="003949E9">
        <w:rPr>
          <w:rFonts w:ascii="Times New Roman" w:hAnsi="Times New Roman" w:cs="Times New Roman"/>
          <w:sz w:val="24"/>
          <w:szCs w:val="24"/>
          <w:lang w:val="en-US"/>
        </w:rPr>
        <w:t>:</w:t>
      </w:r>
      <w:r w:rsidRPr="00405F18">
        <w:rPr>
          <w:rFonts w:ascii="Times New Roman" w:hAnsi="Times New Roman" w:cs="Times New Roman"/>
          <w:sz w:val="24"/>
          <w:szCs w:val="24"/>
          <w:lang w:val="en-US"/>
        </w:rPr>
        <w:t>vol</w:t>
      </w:r>
      <w:proofErr w:type="spellEnd"/>
      <w:proofErr w:type="gramEnd"/>
      <w:r w:rsidRPr="00405F18">
        <w:rPr>
          <w:rFonts w:ascii="Times New Roman" w:hAnsi="Times New Roman" w:cs="Times New Roman"/>
          <w:sz w:val="24"/>
          <w:szCs w:val="24"/>
          <w:lang w:val="en-US"/>
        </w:rPr>
        <w:t>) saponin (Sigma-Aldrich, 47036), 0.5% (</w:t>
      </w:r>
      <w:proofErr w:type="spellStart"/>
      <w:r w:rsidRPr="00405F18">
        <w:rPr>
          <w:rFonts w:ascii="Times New Roman" w:hAnsi="Times New Roman" w:cs="Times New Roman"/>
          <w:sz w:val="24"/>
          <w:szCs w:val="24"/>
          <w:lang w:val="en-US"/>
        </w:rPr>
        <w:t>wt</w:t>
      </w:r>
      <w:r w:rsidR="003949E9">
        <w:rPr>
          <w:rFonts w:ascii="Times New Roman" w:hAnsi="Times New Roman" w:cs="Times New Roman"/>
          <w:sz w:val="24"/>
          <w:szCs w:val="24"/>
          <w:lang w:val="en-US"/>
        </w:rPr>
        <w:t>:</w:t>
      </w:r>
      <w:r w:rsidRPr="00405F18">
        <w:rPr>
          <w:rFonts w:ascii="Times New Roman" w:hAnsi="Times New Roman" w:cs="Times New Roman"/>
          <w:sz w:val="24"/>
          <w:szCs w:val="24"/>
          <w:lang w:val="en-US"/>
        </w:rPr>
        <w:t>vol</w:t>
      </w:r>
      <w:proofErr w:type="spellEnd"/>
      <w:r w:rsidRPr="00405F18">
        <w:rPr>
          <w:rFonts w:ascii="Times New Roman" w:hAnsi="Times New Roman" w:cs="Times New Roman"/>
          <w:sz w:val="24"/>
          <w:szCs w:val="24"/>
          <w:lang w:val="en-US"/>
        </w:rPr>
        <w:t>) BSA (Carl Roth, 1ET6.3), 50 mM NH</w:t>
      </w:r>
      <w:r w:rsidRPr="009D33F5">
        <w:rPr>
          <w:rFonts w:ascii="Times New Roman" w:hAnsi="Times New Roman" w:cs="Times New Roman"/>
          <w:sz w:val="24"/>
          <w:szCs w:val="24"/>
          <w:vertAlign w:val="subscript"/>
          <w:lang w:val="en-US"/>
        </w:rPr>
        <w:t>4</w:t>
      </w:r>
      <w:r w:rsidRPr="00405F18">
        <w:rPr>
          <w:rFonts w:ascii="Times New Roman" w:hAnsi="Times New Roman" w:cs="Times New Roman"/>
          <w:sz w:val="24"/>
          <w:szCs w:val="24"/>
          <w:lang w:val="en-US"/>
        </w:rPr>
        <w:t xml:space="preserve">Cl (Sigma-Aldrich, A9734), pH 7.4. For LC3 immunostaining, cells were fixed with ice-cold </w:t>
      </w:r>
      <w:proofErr w:type="spellStart"/>
      <w:r w:rsidRPr="00405F18">
        <w:rPr>
          <w:rFonts w:ascii="Times New Roman" w:hAnsi="Times New Roman" w:cs="Times New Roman"/>
          <w:sz w:val="24"/>
          <w:szCs w:val="24"/>
          <w:lang w:val="en-US"/>
        </w:rPr>
        <w:t>methanol</w:t>
      </w:r>
      <w:r w:rsidR="003949E9">
        <w:rPr>
          <w:rFonts w:ascii="Times New Roman" w:hAnsi="Times New Roman" w:cs="Times New Roman"/>
          <w:sz w:val="24"/>
          <w:szCs w:val="24"/>
          <w:lang w:val="en-US"/>
        </w:rPr>
        <w:t>:</w:t>
      </w:r>
      <w:r w:rsidRPr="00405F18">
        <w:rPr>
          <w:rFonts w:ascii="Times New Roman" w:hAnsi="Times New Roman" w:cs="Times New Roman"/>
          <w:sz w:val="24"/>
          <w:szCs w:val="24"/>
          <w:lang w:val="en-US"/>
        </w:rPr>
        <w:t>acetone</w:t>
      </w:r>
      <w:proofErr w:type="spellEnd"/>
      <w:r w:rsidRPr="00405F18">
        <w:rPr>
          <w:rFonts w:ascii="Times New Roman" w:hAnsi="Times New Roman" w:cs="Times New Roman"/>
          <w:sz w:val="24"/>
          <w:szCs w:val="24"/>
          <w:lang w:val="en-US"/>
        </w:rPr>
        <w:t xml:space="preserve"> (1</w:t>
      </w:r>
      <w:r w:rsidR="003949E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1) for 10 min. Cells were then incubated with primary antibodies overnight at 4°C, rinsed three times with blocking buffer and incubated with fluorophore-conjugated Alexa </w:t>
      </w:r>
      <w:r w:rsidR="004A5C43">
        <w:rPr>
          <w:rFonts w:ascii="Times New Roman" w:hAnsi="Times New Roman" w:cs="Times New Roman"/>
          <w:sz w:val="24"/>
          <w:szCs w:val="24"/>
          <w:lang w:val="en-US"/>
        </w:rPr>
        <w:t xml:space="preserve">Fluor </w:t>
      </w:r>
      <w:r w:rsidRPr="00405F18">
        <w:rPr>
          <w:rFonts w:ascii="Times New Roman" w:hAnsi="Times New Roman" w:cs="Times New Roman"/>
          <w:sz w:val="24"/>
          <w:szCs w:val="24"/>
          <w:lang w:val="en-US"/>
        </w:rPr>
        <w:t>secondary antibodies (1:400</w:t>
      </w:r>
      <w:r w:rsidR="003949E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proofErr w:type="spellStart"/>
      <w:r w:rsidRPr="00405F18">
        <w:rPr>
          <w:rFonts w:ascii="Times New Roman" w:hAnsi="Times New Roman" w:cs="Times New Roman"/>
          <w:sz w:val="24"/>
          <w:szCs w:val="24"/>
          <w:lang w:val="en-US"/>
        </w:rPr>
        <w:t>Thermo</w:t>
      </w:r>
      <w:proofErr w:type="spellEnd"/>
      <w:r w:rsidRPr="00405F18">
        <w:rPr>
          <w:rFonts w:ascii="Times New Roman" w:hAnsi="Times New Roman" w:cs="Times New Roman"/>
          <w:sz w:val="24"/>
          <w:szCs w:val="24"/>
          <w:lang w:val="en-US"/>
        </w:rPr>
        <w:t xml:space="preserve"> Fisher Scientific</w:t>
      </w:r>
      <w:r w:rsidR="00AE1BE5">
        <w:rPr>
          <w:rFonts w:ascii="Times New Roman" w:hAnsi="Times New Roman" w:cs="Times New Roman"/>
          <w:sz w:val="24"/>
          <w:szCs w:val="24"/>
          <w:lang w:val="en-US"/>
        </w:rPr>
        <w:t xml:space="preserve">, </w:t>
      </w:r>
      <w:r w:rsidR="00AE1BE5" w:rsidRPr="00AE1BE5">
        <w:rPr>
          <w:rFonts w:ascii="Times New Roman" w:hAnsi="Times New Roman" w:cs="Times New Roman"/>
          <w:sz w:val="24"/>
          <w:szCs w:val="24"/>
          <w:lang w:val="en-US"/>
        </w:rPr>
        <w:t>A32790</w:t>
      </w:r>
      <w:r w:rsidR="00AE1BE5">
        <w:rPr>
          <w:rFonts w:ascii="Times New Roman" w:hAnsi="Times New Roman" w:cs="Times New Roman"/>
          <w:sz w:val="24"/>
          <w:szCs w:val="24"/>
          <w:lang w:val="en-US"/>
        </w:rPr>
        <w:t xml:space="preserve">, </w:t>
      </w:r>
      <w:r w:rsidR="00AE1BE5" w:rsidRPr="00AE1BE5">
        <w:rPr>
          <w:rFonts w:ascii="Times New Roman" w:hAnsi="Times New Roman" w:cs="Times New Roman"/>
          <w:sz w:val="24"/>
          <w:szCs w:val="24"/>
          <w:lang w:val="en-US"/>
        </w:rPr>
        <w:t>A10042</w:t>
      </w:r>
      <w:r w:rsidR="00AE1BE5">
        <w:rPr>
          <w:rFonts w:ascii="Times New Roman" w:hAnsi="Times New Roman" w:cs="Times New Roman"/>
          <w:sz w:val="24"/>
          <w:szCs w:val="24"/>
          <w:lang w:val="en-US"/>
        </w:rPr>
        <w:t xml:space="preserve">, </w:t>
      </w:r>
      <w:r w:rsidR="00AE1BE5" w:rsidRPr="00AE1BE5">
        <w:rPr>
          <w:rFonts w:ascii="Times New Roman" w:hAnsi="Times New Roman" w:cs="Times New Roman"/>
          <w:sz w:val="24"/>
          <w:szCs w:val="24"/>
          <w:lang w:val="en-US"/>
        </w:rPr>
        <w:t>A32766</w:t>
      </w:r>
      <w:r w:rsidR="00AE1BE5">
        <w:rPr>
          <w:rFonts w:ascii="Times New Roman" w:hAnsi="Times New Roman" w:cs="Times New Roman"/>
          <w:sz w:val="24"/>
          <w:szCs w:val="24"/>
          <w:lang w:val="en-US"/>
        </w:rPr>
        <w:t xml:space="preserve">, </w:t>
      </w:r>
      <w:r w:rsidR="00AE1BE5" w:rsidRPr="00AE1BE5">
        <w:rPr>
          <w:rFonts w:ascii="Times New Roman" w:hAnsi="Times New Roman" w:cs="Times New Roman"/>
          <w:sz w:val="24"/>
          <w:szCs w:val="24"/>
          <w:lang w:val="en-US"/>
        </w:rPr>
        <w:t>A11031</w:t>
      </w:r>
      <w:r w:rsidR="00AE1BE5">
        <w:rPr>
          <w:rFonts w:ascii="Times New Roman" w:hAnsi="Times New Roman" w:cs="Times New Roman"/>
          <w:sz w:val="24"/>
          <w:szCs w:val="24"/>
          <w:lang w:val="en-US"/>
        </w:rPr>
        <w:t xml:space="preserve">, </w:t>
      </w:r>
      <w:r w:rsidR="00AE1BE5" w:rsidRPr="00AE1BE5">
        <w:rPr>
          <w:rFonts w:ascii="Times New Roman" w:hAnsi="Times New Roman" w:cs="Times New Roman"/>
          <w:sz w:val="24"/>
          <w:szCs w:val="24"/>
          <w:lang w:val="en-US"/>
        </w:rPr>
        <w:t>A11075</w:t>
      </w:r>
      <w:r w:rsidR="00AE1BE5">
        <w:rPr>
          <w:rFonts w:ascii="Times New Roman" w:hAnsi="Times New Roman" w:cs="Times New Roman"/>
          <w:sz w:val="24"/>
          <w:szCs w:val="24"/>
          <w:lang w:val="en-US"/>
        </w:rPr>
        <w:t xml:space="preserve">, </w:t>
      </w:r>
      <w:r w:rsidR="00AE1BE5" w:rsidRPr="00AE1BE5">
        <w:rPr>
          <w:rFonts w:ascii="Times New Roman" w:hAnsi="Times New Roman" w:cs="Times New Roman"/>
          <w:sz w:val="24"/>
          <w:szCs w:val="24"/>
          <w:lang w:val="en-US"/>
        </w:rPr>
        <w:t>A11077</w:t>
      </w:r>
      <w:r w:rsidRPr="00405F18">
        <w:rPr>
          <w:rFonts w:ascii="Times New Roman" w:hAnsi="Times New Roman" w:cs="Times New Roman"/>
          <w:sz w:val="24"/>
          <w:szCs w:val="24"/>
          <w:lang w:val="en-US"/>
        </w:rPr>
        <w:t xml:space="preserve">) and 1 µM DAPI for 1 h and finally mounted with </w:t>
      </w:r>
      <w:proofErr w:type="spellStart"/>
      <w:r w:rsidRPr="00405F18">
        <w:rPr>
          <w:rFonts w:ascii="Times New Roman" w:hAnsi="Times New Roman" w:cs="Times New Roman"/>
          <w:sz w:val="24"/>
          <w:szCs w:val="24"/>
          <w:lang w:val="en-US"/>
        </w:rPr>
        <w:t>Fluoromount</w:t>
      </w:r>
      <w:proofErr w:type="spellEnd"/>
      <w:r w:rsidRPr="00405F18">
        <w:rPr>
          <w:rFonts w:ascii="Times New Roman" w:hAnsi="Times New Roman" w:cs="Times New Roman"/>
          <w:sz w:val="24"/>
          <w:szCs w:val="24"/>
          <w:lang w:val="en-US"/>
        </w:rPr>
        <w:t xml:space="preserve"> G. </w:t>
      </w:r>
      <w:r w:rsidR="00357530" w:rsidRPr="00405F18">
        <w:rPr>
          <w:rFonts w:ascii="Times New Roman" w:hAnsi="Times New Roman" w:cs="Times New Roman"/>
          <w:sz w:val="24"/>
          <w:szCs w:val="24"/>
          <w:lang w:val="en-US"/>
        </w:rPr>
        <w:t>Samples were imaged</w:t>
      </w:r>
      <w:r w:rsidRPr="00405F18">
        <w:rPr>
          <w:rFonts w:ascii="Times New Roman" w:hAnsi="Times New Roman" w:cs="Times New Roman"/>
          <w:sz w:val="24"/>
          <w:szCs w:val="24"/>
          <w:lang w:val="en-US"/>
        </w:rPr>
        <w:t xml:space="preserve"> with a Zeiss LSM 900 confocal laser-scanning </w:t>
      </w:r>
      <w:r w:rsidRPr="00405F18">
        <w:rPr>
          <w:rFonts w:ascii="Times New Roman" w:hAnsi="Times New Roman" w:cs="Times New Roman"/>
          <w:sz w:val="24"/>
          <w:szCs w:val="24"/>
          <w:lang w:val="en-US"/>
        </w:rPr>
        <w:lastRenderedPageBreak/>
        <w:t xml:space="preserve">microscope equipped with an </w:t>
      </w:r>
      <w:proofErr w:type="spellStart"/>
      <w:r w:rsidRPr="00405F18">
        <w:rPr>
          <w:rFonts w:ascii="Times New Roman" w:hAnsi="Times New Roman" w:cs="Times New Roman"/>
          <w:sz w:val="24"/>
          <w:szCs w:val="24"/>
          <w:lang w:val="en-US"/>
        </w:rPr>
        <w:t>Airyscan</w:t>
      </w:r>
      <w:proofErr w:type="spellEnd"/>
      <w:r w:rsidRPr="00405F18">
        <w:rPr>
          <w:rFonts w:ascii="Times New Roman" w:hAnsi="Times New Roman" w:cs="Times New Roman"/>
          <w:sz w:val="24"/>
          <w:szCs w:val="24"/>
          <w:lang w:val="en-US"/>
        </w:rPr>
        <w:t xml:space="preserve"> 2 multiplex system (Figures 4A,</w:t>
      </w:r>
      <w:r w:rsidR="004C03B4" w:rsidRPr="00405F18">
        <w:rPr>
          <w:rFonts w:ascii="Times New Roman" w:hAnsi="Times New Roman" w:cs="Times New Roman"/>
          <w:sz w:val="24"/>
          <w:szCs w:val="24"/>
          <w:lang w:val="en-US"/>
        </w:rPr>
        <w:t xml:space="preserve"> 4</w:t>
      </w:r>
      <w:r w:rsidRPr="00405F18">
        <w:rPr>
          <w:rFonts w:ascii="Times New Roman" w:hAnsi="Times New Roman" w:cs="Times New Roman"/>
          <w:sz w:val="24"/>
          <w:szCs w:val="24"/>
          <w:lang w:val="en-US"/>
        </w:rPr>
        <w:t>F, 5A,</w:t>
      </w:r>
      <w:r w:rsidR="004C03B4" w:rsidRPr="00405F18">
        <w:rPr>
          <w:rFonts w:ascii="Times New Roman" w:hAnsi="Times New Roman" w:cs="Times New Roman"/>
          <w:sz w:val="24"/>
          <w:szCs w:val="24"/>
          <w:lang w:val="en-US"/>
        </w:rPr>
        <w:t xml:space="preserve"> 5</w:t>
      </w:r>
      <w:r w:rsidRPr="00405F18">
        <w:rPr>
          <w:rFonts w:ascii="Times New Roman" w:hAnsi="Times New Roman" w:cs="Times New Roman"/>
          <w:sz w:val="24"/>
          <w:szCs w:val="24"/>
          <w:lang w:val="en-US"/>
        </w:rPr>
        <w:t xml:space="preserve">C, </w:t>
      </w:r>
      <w:r w:rsidR="007143F2" w:rsidRPr="00405F18">
        <w:rPr>
          <w:rFonts w:ascii="Times New Roman" w:hAnsi="Times New Roman" w:cs="Times New Roman"/>
          <w:sz w:val="24"/>
          <w:szCs w:val="24"/>
          <w:lang w:val="en-US"/>
        </w:rPr>
        <w:t xml:space="preserve">6B, </w:t>
      </w:r>
      <w:r w:rsidRPr="00405F18">
        <w:rPr>
          <w:rFonts w:ascii="Times New Roman" w:hAnsi="Times New Roman" w:cs="Times New Roman"/>
          <w:sz w:val="24"/>
          <w:szCs w:val="24"/>
          <w:lang w:val="en-US"/>
        </w:rPr>
        <w:t>7A,</w:t>
      </w:r>
      <w:r w:rsidR="004C03B4" w:rsidRPr="00405F18">
        <w:rPr>
          <w:rFonts w:ascii="Times New Roman" w:hAnsi="Times New Roman" w:cs="Times New Roman"/>
          <w:sz w:val="24"/>
          <w:szCs w:val="24"/>
          <w:lang w:val="en-US"/>
        </w:rPr>
        <w:t xml:space="preserve"> 7</w:t>
      </w:r>
      <w:r w:rsidR="007143F2" w:rsidRPr="00405F18">
        <w:rPr>
          <w:rFonts w:ascii="Times New Roman" w:hAnsi="Times New Roman" w:cs="Times New Roman"/>
          <w:sz w:val="24"/>
          <w:szCs w:val="24"/>
          <w:lang w:val="en-US"/>
        </w:rPr>
        <w:t>E,</w:t>
      </w:r>
      <w:r w:rsidRPr="00405F18">
        <w:rPr>
          <w:rFonts w:ascii="Times New Roman" w:hAnsi="Times New Roman" w:cs="Times New Roman"/>
          <w:sz w:val="24"/>
          <w:szCs w:val="24"/>
          <w:lang w:val="en-US"/>
        </w:rPr>
        <w:t xml:space="preserve"> S5A,</w:t>
      </w:r>
      <w:r w:rsidR="004C03B4" w:rsidRPr="00405F18">
        <w:rPr>
          <w:rFonts w:ascii="Times New Roman" w:hAnsi="Times New Roman" w:cs="Times New Roman"/>
          <w:sz w:val="24"/>
          <w:szCs w:val="24"/>
          <w:lang w:val="en-US"/>
        </w:rPr>
        <w:t xml:space="preserve"> S5</w:t>
      </w:r>
      <w:r w:rsidRPr="00405F18">
        <w:rPr>
          <w:rFonts w:ascii="Times New Roman" w:hAnsi="Times New Roman" w:cs="Times New Roman"/>
          <w:sz w:val="24"/>
          <w:szCs w:val="24"/>
          <w:lang w:val="en-US"/>
        </w:rPr>
        <w:t>B and S</w:t>
      </w:r>
      <w:r w:rsidR="00E53CBA" w:rsidRPr="00405F18">
        <w:rPr>
          <w:rFonts w:ascii="Times New Roman" w:hAnsi="Times New Roman" w:cs="Times New Roman"/>
          <w:sz w:val="24"/>
          <w:szCs w:val="24"/>
          <w:lang w:val="en-US"/>
        </w:rPr>
        <w:t>6A</w:t>
      </w:r>
      <w:r w:rsidRPr="00405F18">
        <w:rPr>
          <w:rFonts w:ascii="Times New Roman" w:hAnsi="Times New Roman" w:cs="Times New Roman"/>
          <w:sz w:val="24"/>
          <w:szCs w:val="24"/>
          <w:lang w:val="en-US"/>
        </w:rPr>
        <w:t xml:space="preserve">) or Leica TCSSP5 II confocal laser-scanning microscope (Figure </w:t>
      </w:r>
      <w:r w:rsidR="004C03B4" w:rsidRPr="00405F18">
        <w:rPr>
          <w:rFonts w:ascii="Times New Roman" w:hAnsi="Times New Roman" w:cs="Times New Roman"/>
          <w:sz w:val="24"/>
          <w:szCs w:val="24"/>
          <w:lang w:val="en-US"/>
        </w:rPr>
        <w:t>8A and S</w:t>
      </w:r>
      <w:r w:rsidR="007E7879" w:rsidRPr="00405F18">
        <w:rPr>
          <w:rFonts w:ascii="Times New Roman" w:hAnsi="Times New Roman" w:cs="Times New Roman"/>
          <w:sz w:val="24"/>
          <w:szCs w:val="24"/>
          <w:lang w:val="en-US"/>
        </w:rPr>
        <w:t>8</w:t>
      </w:r>
      <w:r w:rsidR="004C03B4" w:rsidRPr="00405F18">
        <w:rPr>
          <w:rFonts w:ascii="Times New Roman" w:hAnsi="Times New Roman" w:cs="Times New Roman"/>
          <w:sz w:val="24"/>
          <w:szCs w:val="24"/>
          <w:lang w:val="en-US"/>
        </w:rPr>
        <w:t>A</w:t>
      </w:r>
      <w:r w:rsidRPr="00405F18">
        <w:rPr>
          <w:rFonts w:ascii="Times New Roman" w:hAnsi="Times New Roman" w:cs="Times New Roman"/>
          <w:sz w:val="24"/>
          <w:szCs w:val="24"/>
          <w:lang w:val="en-US"/>
        </w:rPr>
        <w:t>).</w:t>
      </w:r>
    </w:p>
    <w:p w14:paraId="41E8A1F3" w14:textId="74220750" w:rsidR="00E1398C" w:rsidRPr="00405F18" w:rsidRDefault="00E1398C" w:rsidP="00A6771D">
      <w:pPr>
        <w:spacing w:after="100" w:afterAutospacing="1" w:line="480" w:lineRule="auto"/>
        <w:ind w:firstLine="708"/>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Fluorescent micrographs were quantified using the FIJI v.2.1.0 software. Co</w:t>
      </w:r>
      <w:r w:rsidR="00025052" w:rsidRPr="00405F18">
        <w:rPr>
          <w:rFonts w:ascii="Times New Roman" w:hAnsi="Times New Roman" w:cs="Times New Roman"/>
          <w:sz w:val="24"/>
          <w:szCs w:val="24"/>
          <w:lang w:val="en-US"/>
        </w:rPr>
        <w:t>localization</w:t>
      </w:r>
      <w:r w:rsidRPr="00405F18">
        <w:rPr>
          <w:rFonts w:ascii="Times New Roman" w:hAnsi="Times New Roman" w:cs="Times New Roman"/>
          <w:sz w:val="24"/>
          <w:szCs w:val="24"/>
          <w:lang w:val="en-US"/>
        </w:rPr>
        <w:t xml:space="preserve"> studies were assessed on individual cells with the JACOP plugin using Mander’s coefficients (Figures 4</w:t>
      </w:r>
      <w:r w:rsidR="00F25424" w:rsidRPr="00405F18">
        <w:rPr>
          <w:rFonts w:ascii="Times New Roman" w:hAnsi="Times New Roman" w:cs="Times New Roman"/>
          <w:sz w:val="24"/>
          <w:szCs w:val="24"/>
          <w:lang w:val="en-US"/>
        </w:rPr>
        <w:t>C</w:t>
      </w:r>
      <w:r w:rsidRPr="00405F18">
        <w:rPr>
          <w:rFonts w:ascii="Times New Roman" w:hAnsi="Times New Roman" w:cs="Times New Roman"/>
          <w:sz w:val="24"/>
          <w:szCs w:val="24"/>
          <w:lang w:val="en-US"/>
        </w:rPr>
        <w:t>, 5</w:t>
      </w:r>
      <w:r w:rsidR="00C14894"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 7</w:t>
      </w:r>
      <w:r w:rsidR="00C14894" w:rsidRPr="00405F18">
        <w:rPr>
          <w:rFonts w:ascii="Times New Roman" w:hAnsi="Times New Roman" w:cs="Times New Roman"/>
          <w:sz w:val="24"/>
          <w:szCs w:val="24"/>
          <w:lang w:val="en-US"/>
        </w:rPr>
        <w:t>C</w:t>
      </w:r>
      <w:r w:rsidRPr="00405F18">
        <w:rPr>
          <w:rFonts w:ascii="Times New Roman" w:hAnsi="Times New Roman" w:cs="Times New Roman"/>
          <w:sz w:val="24"/>
          <w:szCs w:val="24"/>
          <w:lang w:val="en-US"/>
        </w:rPr>
        <w:t>, S5A, S5</w:t>
      </w:r>
      <w:r w:rsidR="00C14894" w:rsidRPr="00405F18">
        <w:rPr>
          <w:rFonts w:ascii="Times New Roman" w:hAnsi="Times New Roman" w:cs="Times New Roman"/>
          <w:sz w:val="24"/>
          <w:szCs w:val="24"/>
          <w:lang w:val="en-US"/>
        </w:rPr>
        <w:t>C, S5D</w:t>
      </w:r>
      <w:r w:rsidRPr="00405F18">
        <w:rPr>
          <w:rFonts w:ascii="Times New Roman" w:hAnsi="Times New Roman" w:cs="Times New Roman"/>
          <w:sz w:val="24"/>
          <w:szCs w:val="24"/>
          <w:lang w:val="en-US"/>
        </w:rPr>
        <w:t xml:space="preserve"> and S</w:t>
      </w:r>
      <w:r w:rsidR="00B54F11" w:rsidRPr="00405F18">
        <w:rPr>
          <w:rFonts w:ascii="Times New Roman" w:hAnsi="Times New Roman" w:cs="Times New Roman"/>
          <w:sz w:val="24"/>
          <w:szCs w:val="24"/>
          <w:lang w:val="en-US"/>
        </w:rPr>
        <w:t>6</w:t>
      </w:r>
      <w:r w:rsidR="009E54FE" w:rsidRPr="00405F18">
        <w:rPr>
          <w:rFonts w:ascii="Times New Roman" w:hAnsi="Times New Roman" w:cs="Times New Roman"/>
          <w:sz w:val="24"/>
          <w:szCs w:val="24"/>
          <w:lang w:val="en-US"/>
        </w:rPr>
        <w:t>D</w:t>
      </w:r>
      <w:r w:rsidRPr="00405F18">
        <w:rPr>
          <w:rFonts w:ascii="Times New Roman" w:hAnsi="Times New Roman" w:cs="Times New Roman"/>
          <w:sz w:val="24"/>
          <w:szCs w:val="24"/>
          <w:lang w:val="en-US"/>
        </w:rPr>
        <w:t xml:space="preserve">) or </w:t>
      </w:r>
      <w:r w:rsidR="00357530" w:rsidRPr="00405F18">
        <w:rPr>
          <w:rFonts w:ascii="Times New Roman" w:hAnsi="Times New Roman" w:cs="Times New Roman"/>
          <w:sz w:val="24"/>
          <w:szCs w:val="24"/>
          <w:lang w:val="en-US"/>
        </w:rPr>
        <w:t>an</w:t>
      </w:r>
      <w:r w:rsidRPr="00405F18">
        <w:rPr>
          <w:rFonts w:ascii="Times New Roman" w:hAnsi="Times New Roman" w:cs="Times New Roman"/>
          <w:sz w:val="24"/>
          <w:szCs w:val="24"/>
          <w:lang w:val="en-US"/>
        </w:rPr>
        <w:t xml:space="preserve"> objects-based method (Figure 4</w:t>
      </w:r>
      <w:r w:rsidR="009E54FE" w:rsidRPr="00405F18">
        <w:rPr>
          <w:rFonts w:ascii="Times New Roman" w:hAnsi="Times New Roman" w:cs="Times New Roman"/>
          <w:sz w:val="24"/>
          <w:szCs w:val="24"/>
          <w:lang w:val="en-US"/>
        </w:rPr>
        <w:t>H</w:t>
      </w:r>
      <w:r w:rsidRPr="00405F18">
        <w:rPr>
          <w:rFonts w:ascii="Times New Roman" w:hAnsi="Times New Roman" w:cs="Times New Roman"/>
          <w:sz w:val="24"/>
          <w:szCs w:val="24"/>
          <w:lang w:val="en-US"/>
        </w:rPr>
        <w:t>). In case of LC3 immuno-staining, a threshold was applied first to keep punctua</w:t>
      </w:r>
      <w:r w:rsidR="00DC220B" w:rsidRPr="00405F18">
        <w:rPr>
          <w:rFonts w:ascii="Times New Roman" w:hAnsi="Times New Roman" w:cs="Times New Roman"/>
          <w:sz w:val="24"/>
          <w:szCs w:val="24"/>
          <w:lang w:val="en-US"/>
        </w:rPr>
        <w:t>ted structures</w:t>
      </w:r>
      <w:r w:rsidRPr="00405F18">
        <w:rPr>
          <w:rFonts w:ascii="Times New Roman" w:hAnsi="Times New Roman" w:cs="Times New Roman"/>
          <w:sz w:val="24"/>
          <w:szCs w:val="24"/>
          <w:lang w:val="en-US"/>
        </w:rPr>
        <w:t xml:space="preserve"> (indicative of autophagosomes) and remove diffuse cytosolic signal (Figures 5A, 7A</w:t>
      </w:r>
      <w:r w:rsidR="00845A84" w:rsidRPr="00405F18">
        <w:rPr>
          <w:rFonts w:ascii="Times New Roman" w:hAnsi="Times New Roman" w:cs="Times New Roman"/>
          <w:sz w:val="24"/>
          <w:szCs w:val="24"/>
          <w:lang w:val="en-US"/>
        </w:rPr>
        <w:t xml:space="preserve"> and</w:t>
      </w:r>
      <w:r w:rsidRPr="00405F18">
        <w:rPr>
          <w:rFonts w:ascii="Times New Roman" w:hAnsi="Times New Roman" w:cs="Times New Roman"/>
          <w:sz w:val="24"/>
          <w:szCs w:val="24"/>
          <w:lang w:val="en-US"/>
        </w:rPr>
        <w:t xml:space="preserve"> S5</w:t>
      </w:r>
      <w:proofErr w:type="gramStart"/>
      <w:r w:rsidRPr="00405F18">
        <w:rPr>
          <w:rFonts w:ascii="Times New Roman" w:hAnsi="Times New Roman" w:cs="Times New Roman"/>
          <w:sz w:val="24"/>
          <w:szCs w:val="24"/>
          <w:lang w:val="en-US"/>
        </w:rPr>
        <w:t>A,B</w:t>
      </w:r>
      <w:proofErr w:type="gramEnd"/>
      <w:r w:rsidRPr="00405F18">
        <w:rPr>
          <w:rFonts w:ascii="Times New Roman" w:hAnsi="Times New Roman" w:cs="Times New Roman"/>
          <w:sz w:val="24"/>
          <w:szCs w:val="24"/>
          <w:lang w:val="en-US"/>
        </w:rPr>
        <w:t xml:space="preserve">). The percentages of cells with TFEB nuclear </w:t>
      </w:r>
      <w:r w:rsidR="00DB0A2B" w:rsidRPr="00405F18">
        <w:rPr>
          <w:rFonts w:ascii="Times New Roman" w:hAnsi="Times New Roman" w:cs="Times New Roman"/>
          <w:sz w:val="24"/>
          <w:szCs w:val="24"/>
          <w:lang w:val="en-US"/>
        </w:rPr>
        <w:t>localization</w:t>
      </w:r>
      <w:r w:rsidRPr="00405F18">
        <w:rPr>
          <w:rFonts w:ascii="Times New Roman" w:hAnsi="Times New Roman" w:cs="Times New Roman"/>
          <w:sz w:val="24"/>
          <w:szCs w:val="24"/>
          <w:lang w:val="en-US"/>
        </w:rPr>
        <w:t xml:space="preserve"> were obtained by calculating the ratio between the number of cells with positive nuclear TFEB-related fluorescence and the total number of cells (Figure </w:t>
      </w:r>
      <w:r w:rsidR="004F7B12" w:rsidRPr="00405F18">
        <w:rPr>
          <w:rFonts w:ascii="Times New Roman" w:hAnsi="Times New Roman" w:cs="Times New Roman"/>
          <w:sz w:val="24"/>
          <w:szCs w:val="24"/>
          <w:lang w:val="en-US"/>
        </w:rPr>
        <w:t>8</w:t>
      </w:r>
      <w:r w:rsidR="0045426B" w:rsidRPr="00405F18">
        <w:rPr>
          <w:rFonts w:ascii="Times New Roman" w:hAnsi="Times New Roman" w:cs="Times New Roman"/>
          <w:sz w:val="24"/>
          <w:szCs w:val="24"/>
          <w:lang w:val="en-US"/>
        </w:rPr>
        <w:t>B</w:t>
      </w:r>
      <w:r w:rsidRPr="00405F18">
        <w:rPr>
          <w:rFonts w:ascii="Times New Roman" w:hAnsi="Times New Roman" w:cs="Times New Roman"/>
          <w:sz w:val="24"/>
          <w:szCs w:val="24"/>
          <w:lang w:val="en-US"/>
        </w:rPr>
        <w:t>).</w:t>
      </w:r>
      <w:r w:rsidR="00962FB3" w:rsidRPr="00405F18">
        <w:rPr>
          <w:rFonts w:ascii="Times New Roman" w:hAnsi="Times New Roman" w:cs="Times New Roman"/>
          <w:sz w:val="24"/>
          <w:szCs w:val="24"/>
          <w:lang w:val="en-US"/>
        </w:rPr>
        <w:t xml:space="preserve"> </w:t>
      </w:r>
      <w:r w:rsidR="001E3E8E" w:rsidRPr="00405F18">
        <w:rPr>
          <w:rFonts w:ascii="Times New Roman" w:hAnsi="Times New Roman" w:cs="Times New Roman"/>
          <w:sz w:val="24"/>
          <w:szCs w:val="24"/>
          <w:lang w:val="en-US"/>
        </w:rPr>
        <w:t>The number of u</w:t>
      </w:r>
      <w:r w:rsidR="00962FB3" w:rsidRPr="00405F18">
        <w:rPr>
          <w:rFonts w:ascii="Times New Roman" w:hAnsi="Times New Roman" w:cs="Times New Roman"/>
          <w:sz w:val="24"/>
          <w:szCs w:val="24"/>
          <w:lang w:val="en-US"/>
        </w:rPr>
        <w:t>biquitin</w:t>
      </w:r>
      <w:r w:rsidR="002F1D02" w:rsidRPr="00405F18">
        <w:rPr>
          <w:rFonts w:ascii="Times New Roman" w:hAnsi="Times New Roman" w:cs="Times New Roman"/>
          <w:sz w:val="24"/>
          <w:szCs w:val="24"/>
          <w:lang w:val="en-US"/>
        </w:rPr>
        <w:t xml:space="preserve"> (Figure 4B, 4G</w:t>
      </w:r>
      <w:r w:rsidR="00845A84" w:rsidRPr="00405F18">
        <w:rPr>
          <w:rFonts w:ascii="Times New Roman" w:hAnsi="Times New Roman" w:cs="Times New Roman"/>
          <w:sz w:val="24"/>
          <w:szCs w:val="24"/>
          <w:lang w:val="en-US"/>
        </w:rPr>
        <w:t xml:space="preserve"> and</w:t>
      </w:r>
      <w:r w:rsidR="002F1D02" w:rsidRPr="00405F18">
        <w:rPr>
          <w:rFonts w:ascii="Times New Roman" w:hAnsi="Times New Roman" w:cs="Times New Roman"/>
          <w:sz w:val="24"/>
          <w:szCs w:val="24"/>
          <w:lang w:val="en-US"/>
        </w:rPr>
        <w:t xml:space="preserve"> 5D) and </w:t>
      </w:r>
      <w:r w:rsidR="00946F1F">
        <w:rPr>
          <w:rFonts w:ascii="Times New Roman" w:hAnsi="Times New Roman" w:cs="Times New Roman"/>
          <w:sz w:val="24"/>
          <w:szCs w:val="24"/>
          <w:lang w:val="en-US"/>
        </w:rPr>
        <w:t>LGALS3</w:t>
      </w:r>
      <w:r w:rsidR="002F1D02" w:rsidRPr="00405F18">
        <w:rPr>
          <w:rFonts w:ascii="Times New Roman" w:hAnsi="Times New Roman" w:cs="Times New Roman"/>
          <w:sz w:val="24"/>
          <w:szCs w:val="24"/>
          <w:lang w:val="en-US"/>
        </w:rPr>
        <w:t xml:space="preserve"> (</w:t>
      </w:r>
      <w:r w:rsidR="00845A84" w:rsidRPr="00405F18">
        <w:rPr>
          <w:rFonts w:ascii="Times New Roman" w:hAnsi="Times New Roman" w:cs="Times New Roman"/>
          <w:sz w:val="24"/>
          <w:szCs w:val="24"/>
          <w:lang w:val="en-US"/>
        </w:rPr>
        <w:t>Figure 7B and 7F)</w:t>
      </w:r>
      <w:r w:rsidR="00962FB3" w:rsidRPr="00405F18">
        <w:rPr>
          <w:rFonts w:ascii="Times New Roman" w:hAnsi="Times New Roman" w:cs="Times New Roman"/>
          <w:sz w:val="24"/>
          <w:szCs w:val="24"/>
          <w:lang w:val="en-US"/>
        </w:rPr>
        <w:t xml:space="preserve"> puncta </w:t>
      </w:r>
      <w:r w:rsidR="001E3E8E" w:rsidRPr="00405F18">
        <w:rPr>
          <w:rFonts w:ascii="Times New Roman" w:hAnsi="Times New Roman" w:cs="Times New Roman"/>
          <w:sz w:val="24"/>
          <w:szCs w:val="24"/>
          <w:lang w:val="en-US"/>
        </w:rPr>
        <w:t>w</w:t>
      </w:r>
      <w:r w:rsidR="002F1D02" w:rsidRPr="00405F18">
        <w:rPr>
          <w:rFonts w:ascii="Times New Roman" w:hAnsi="Times New Roman" w:cs="Times New Roman"/>
          <w:sz w:val="24"/>
          <w:szCs w:val="24"/>
          <w:lang w:val="en-US"/>
        </w:rPr>
        <w:t>ere</w:t>
      </w:r>
      <w:r w:rsidR="001E3E8E" w:rsidRPr="00405F18">
        <w:rPr>
          <w:rFonts w:ascii="Times New Roman" w:hAnsi="Times New Roman" w:cs="Times New Roman"/>
          <w:sz w:val="24"/>
          <w:szCs w:val="24"/>
          <w:lang w:val="en-US"/>
        </w:rPr>
        <w:t xml:space="preserve"> calculated with the </w:t>
      </w:r>
      <w:r w:rsidR="001B7483" w:rsidRPr="00405F18">
        <w:rPr>
          <w:rFonts w:ascii="Times New Roman" w:hAnsi="Times New Roman" w:cs="Times New Roman"/>
          <w:sz w:val="24"/>
          <w:szCs w:val="24"/>
          <w:lang w:val="en-US"/>
        </w:rPr>
        <w:t>“</w:t>
      </w:r>
      <w:r w:rsidR="001E3E8E" w:rsidRPr="00405F18">
        <w:rPr>
          <w:rFonts w:ascii="Times New Roman" w:hAnsi="Times New Roman" w:cs="Times New Roman"/>
          <w:i/>
          <w:iCs/>
          <w:sz w:val="24"/>
          <w:szCs w:val="24"/>
          <w:lang w:val="en-US"/>
        </w:rPr>
        <w:t>Analyze Particles</w:t>
      </w:r>
      <w:r w:rsidR="001B7483" w:rsidRPr="00405F18">
        <w:rPr>
          <w:rFonts w:ascii="Times New Roman" w:hAnsi="Times New Roman" w:cs="Times New Roman"/>
          <w:sz w:val="24"/>
          <w:szCs w:val="24"/>
          <w:lang w:val="en-US"/>
        </w:rPr>
        <w:t>”</w:t>
      </w:r>
      <w:r w:rsidR="001E3E8E" w:rsidRPr="00405F18">
        <w:rPr>
          <w:rFonts w:ascii="Times New Roman" w:hAnsi="Times New Roman" w:cs="Times New Roman"/>
          <w:sz w:val="24"/>
          <w:szCs w:val="24"/>
          <w:lang w:val="en-US"/>
        </w:rPr>
        <w:t xml:space="preserve"> </w:t>
      </w:r>
      <w:r w:rsidR="0017097C" w:rsidRPr="00405F18">
        <w:rPr>
          <w:rFonts w:ascii="Times New Roman" w:hAnsi="Times New Roman" w:cs="Times New Roman"/>
          <w:sz w:val="24"/>
          <w:szCs w:val="24"/>
          <w:lang w:val="en-US"/>
        </w:rPr>
        <w:t>function</w:t>
      </w:r>
      <w:r w:rsidR="003A5E03" w:rsidRPr="00405F18">
        <w:rPr>
          <w:rFonts w:ascii="Times New Roman" w:hAnsi="Times New Roman" w:cs="Times New Roman"/>
          <w:sz w:val="24"/>
          <w:szCs w:val="24"/>
          <w:lang w:val="en-US"/>
        </w:rPr>
        <w:t xml:space="preserve"> (</w:t>
      </w:r>
      <w:r w:rsidR="002F1D02" w:rsidRPr="00405F18">
        <w:rPr>
          <w:rFonts w:ascii="Times New Roman" w:hAnsi="Times New Roman" w:cs="Times New Roman"/>
          <w:sz w:val="24"/>
          <w:szCs w:val="24"/>
          <w:lang w:val="en-US"/>
        </w:rPr>
        <w:t xml:space="preserve">for </w:t>
      </w:r>
      <w:proofErr w:type="spellStart"/>
      <w:r w:rsidR="002F1D02" w:rsidRPr="00405F18">
        <w:rPr>
          <w:rFonts w:ascii="Times New Roman" w:hAnsi="Times New Roman" w:cs="Times New Roman"/>
          <w:sz w:val="24"/>
          <w:szCs w:val="24"/>
          <w:lang w:val="en-US"/>
        </w:rPr>
        <w:t>ub</w:t>
      </w:r>
      <w:proofErr w:type="spellEnd"/>
      <w:r w:rsidR="002F1D02" w:rsidRPr="00405F18">
        <w:rPr>
          <w:rFonts w:ascii="Times New Roman" w:hAnsi="Times New Roman" w:cs="Times New Roman"/>
          <w:sz w:val="24"/>
          <w:szCs w:val="24"/>
          <w:lang w:val="en-US"/>
        </w:rPr>
        <w:t xml:space="preserve"> puncta, </w:t>
      </w:r>
      <w:r w:rsidR="0017097C" w:rsidRPr="00405F18">
        <w:rPr>
          <w:rFonts w:ascii="Times New Roman" w:hAnsi="Times New Roman" w:cs="Times New Roman"/>
          <w:sz w:val="24"/>
          <w:szCs w:val="24"/>
          <w:lang w:val="en-US"/>
        </w:rPr>
        <w:t>only thos</w:t>
      </w:r>
      <w:r w:rsidR="001B7483" w:rsidRPr="00405F18">
        <w:rPr>
          <w:rFonts w:ascii="Times New Roman" w:hAnsi="Times New Roman" w:cs="Times New Roman"/>
          <w:sz w:val="24"/>
          <w:szCs w:val="24"/>
          <w:lang w:val="en-US"/>
        </w:rPr>
        <w:t xml:space="preserve">e </w:t>
      </w:r>
      <w:r w:rsidR="0017097C" w:rsidRPr="00405F18">
        <w:rPr>
          <w:rFonts w:ascii="Times New Roman" w:hAnsi="Times New Roman" w:cs="Times New Roman"/>
          <w:sz w:val="24"/>
          <w:szCs w:val="24"/>
          <w:lang w:val="en-US"/>
        </w:rPr>
        <w:t>higher than 0.5 µm</w:t>
      </w:r>
      <w:r w:rsidR="00B15FF2" w:rsidRPr="00405F18">
        <w:rPr>
          <w:rFonts w:ascii="Times New Roman" w:hAnsi="Times New Roman" w:cs="Times New Roman"/>
          <w:sz w:val="24"/>
          <w:szCs w:val="24"/>
          <w:vertAlign w:val="superscript"/>
          <w:lang w:val="en-US"/>
        </w:rPr>
        <w:t>2</w:t>
      </w:r>
      <w:r w:rsidR="0017097C" w:rsidRPr="00405F18">
        <w:rPr>
          <w:rFonts w:ascii="Times New Roman" w:hAnsi="Times New Roman" w:cs="Times New Roman"/>
          <w:sz w:val="24"/>
          <w:szCs w:val="24"/>
          <w:lang w:val="en-US"/>
        </w:rPr>
        <w:t xml:space="preserve"> were kept</w:t>
      </w:r>
      <w:r w:rsidR="003A5E03" w:rsidRPr="00405F18">
        <w:rPr>
          <w:rFonts w:ascii="Times New Roman" w:hAnsi="Times New Roman" w:cs="Times New Roman"/>
          <w:sz w:val="24"/>
          <w:szCs w:val="24"/>
          <w:lang w:val="en-US"/>
        </w:rPr>
        <w:t xml:space="preserve">) and normalized </w:t>
      </w:r>
      <w:r w:rsidR="00DC264D" w:rsidRPr="00405F18">
        <w:rPr>
          <w:rFonts w:ascii="Times New Roman" w:hAnsi="Times New Roman" w:cs="Times New Roman"/>
          <w:sz w:val="24"/>
          <w:szCs w:val="24"/>
          <w:lang w:val="en-US"/>
        </w:rPr>
        <w:t xml:space="preserve">by the number of </w:t>
      </w:r>
      <w:proofErr w:type="gramStart"/>
      <w:r w:rsidR="00DC264D" w:rsidRPr="00405F18">
        <w:rPr>
          <w:rFonts w:ascii="Times New Roman" w:hAnsi="Times New Roman" w:cs="Times New Roman"/>
          <w:sz w:val="24"/>
          <w:szCs w:val="24"/>
          <w:lang w:val="en-US"/>
        </w:rPr>
        <w:t>nucleus</w:t>
      </w:r>
      <w:proofErr w:type="gramEnd"/>
      <w:r w:rsidR="0017097C" w:rsidRPr="00405F18">
        <w:rPr>
          <w:rFonts w:ascii="Times New Roman" w:hAnsi="Times New Roman" w:cs="Times New Roman"/>
          <w:sz w:val="24"/>
          <w:szCs w:val="24"/>
          <w:lang w:val="en-US"/>
        </w:rPr>
        <w:t>.</w:t>
      </w:r>
    </w:p>
    <w:p w14:paraId="1499B881" w14:textId="77777777" w:rsidR="00E1398C" w:rsidRPr="009D33F5" w:rsidRDefault="00E1398C" w:rsidP="00270044">
      <w:pPr>
        <w:spacing w:after="100" w:afterAutospacing="1" w:line="480" w:lineRule="auto"/>
        <w:jc w:val="both"/>
        <w:rPr>
          <w:rFonts w:ascii="Times New Roman" w:hAnsi="Times New Roman" w:cs="Times New Roman"/>
          <w:b/>
          <w:bCs/>
          <w:i/>
          <w:iCs/>
          <w:sz w:val="24"/>
          <w:szCs w:val="24"/>
          <w:lang w:val="en-US"/>
        </w:rPr>
      </w:pPr>
      <w:r w:rsidRPr="009D33F5">
        <w:rPr>
          <w:rFonts w:ascii="Times New Roman" w:hAnsi="Times New Roman" w:cs="Times New Roman"/>
          <w:b/>
          <w:bCs/>
          <w:i/>
          <w:iCs/>
          <w:sz w:val="24"/>
          <w:szCs w:val="24"/>
          <w:lang w:val="en-US"/>
        </w:rPr>
        <w:t>Western blot analyses</w:t>
      </w:r>
    </w:p>
    <w:p w14:paraId="6847DC71" w14:textId="5B112C06" w:rsidR="00E1398C" w:rsidRPr="00405F18" w:rsidRDefault="00E1398C"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Cells were lysed in 100 µL/well of ice-cold lysis buffer composed of cell lysis buffer (1:10) (Cell Signaling Technology, 9803) and halt protease and phosphatase inhibitor cocktail (1:100</w:t>
      </w:r>
      <w:r w:rsidR="00512F7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proofErr w:type="spellStart"/>
      <w:r w:rsidRPr="00405F18">
        <w:rPr>
          <w:rFonts w:ascii="Times New Roman" w:hAnsi="Times New Roman" w:cs="Times New Roman"/>
          <w:sz w:val="24"/>
          <w:szCs w:val="24"/>
          <w:lang w:val="en-US"/>
        </w:rPr>
        <w:t>Thermo</w:t>
      </w:r>
      <w:proofErr w:type="spellEnd"/>
      <w:r w:rsidRPr="00405F18">
        <w:rPr>
          <w:rFonts w:ascii="Times New Roman" w:hAnsi="Times New Roman" w:cs="Times New Roman"/>
          <w:sz w:val="24"/>
          <w:szCs w:val="24"/>
          <w:lang w:val="en-US"/>
        </w:rPr>
        <w:t xml:space="preserve"> Fisher Scientific, 87786). An equivalent of 20 µg of proteins were loaded on a bis-Tris 4-12% or a Tris-Acetate 3-8% gel (</w:t>
      </w:r>
      <w:proofErr w:type="spellStart"/>
      <w:r w:rsidRPr="00405F18">
        <w:rPr>
          <w:rFonts w:ascii="Times New Roman" w:hAnsi="Times New Roman" w:cs="Times New Roman"/>
          <w:sz w:val="24"/>
          <w:szCs w:val="24"/>
          <w:lang w:val="en-US"/>
        </w:rPr>
        <w:t>Thermo</w:t>
      </w:r>
      <w:proofErr w:type="spellEnd"/>
      <w:r w:rsidRPr="00405F18">
        <w:rPr>
          <w:rFonts w:ascii="Times New Roman" w:hAnsi="Times New Roman" w:cs="Times New Roman"/>
          <w:sz w:val="24"/>
          <w:szCs w:val="24"/>
          <w:lang w:val="en-US"/>
        </w:rPr>
        <w:t xml:space="preserve"> Fisher Scientific, NP0323 or EA03755</w:t>
      </w:r>
      <w:r w:rsidR="00512F7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respectively) and separated with 200 V for 45 min. Proteins were then transferred on a polyvinylidene fluoride membrane (Sigma-Aldrich, IPFL00010) which were blocked with Intercept Tris Buffer Saline (TBS) buffer for 1 h at room temperature (Li-Cor Biosciences, 927-60001) and incubated overnight at 4°C with primary antibodies. The next day, membranes were rinsed with TBS containing 0.1% Tween 20 (Carl Roth, 9127.1) and incubated for 1 h with </w:t>
      </w:r>
      <w:r w:rsidRPr="00405F18">
        <w:rPr>
          <w:rFonts w:ascii="Times New Roman" w:hAnsi="Times New Roman" w:cs="Times New Roman"/>
          <w:sz w:val="24"/>
          <w:szCs w:val="24"/>
          <w:lang w:val="en-US"/>
        </w:rPr>
        <w:lastRenderedPageBreak/>
        <w:t>secondary antibodies (1:10000</w:t>
      </w:r>
      <w:r w:rsidR="00512F7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Li-Cor Biosciences). Fluorescence was quantified with Odyssey LI-COR scanner (LI-COR Biosciences, United States).</w:t>
      </w:r>
    </w:p>
    <w:p w14:paraId="27E0C201" w14:textId="77777777" w:rsidR="00E1398C" w:rsidRPr="009D33F5" w:rsidRDefault="00E1398C" w:rsidP="00270044">
      <w:pPr>
        <w:spacing w:after="100" w:afterAutospacing="1" w:line="480" w:lineRule="auto"/>
        <w:jc w:val="both"/>
        <w:rPr>
          <w:rFonts w:ascii="Times New Roman" w:hAnsi="Times New Roman" w:cs="Times New Roman"/>
          <w:b/>
          <w:bCs/>
          <w:i/>
          <w:iCs/>
          <w:sz w:val="24"/>
          <w:szCs w:val="24"/>
          <w:lang w:val="en-US"/>
        </w:rPr>
      </w:pPr>
      <w:r w:rsidRPr="009D33F5">
        <w:rPr>
          <w:rFonts w:ascii="Times New Roman" w:hAnsi="Times New Roman" w:cs="Times New Roman"/>
          <w:b/>
          <w:bCs/>
          <w:i/>
          <w:iCs/>
          <w:sz w:val="24"/>
          <w:szCs w:val="24"/>
          <w:lang w:val="en-US"/>
        </w:rPr>
        <w:t>AMPK immunoprecipitation and assay</w:t>
      </w:r>
    </w:p>
    <w:p w14:paraId="119C2938" w14:textId="1F94C2DE" w:rsidR="00760499" w:rsidRPr="00405F18" w:rsidRDefault="00E1398C"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AMPK phosphotransferase activity was measured as previously described</w:t>
      </w:r>
      <w:r w:rsidR="00A6771D">
        <w:rPr>
          <w:rFonts w:ascii="Times New Roman" w:hAnsi="Times New Roman" w:cs="Times New Roman"/>
          <w:sz w:val="24"/>
          <w:szCs w:val="24"/>
          <w:lang w:val="en-US"/>
        </w:rPr>
        <w:t xml:space="preserve"> [</w:t>
      </w:r>
      <w:r w:rsidR="007C0D5C" w:rsidRPr="00A6771D">
        <w:rPr>
          <w:rFonts w:ascii="Times New Roman" w:hAnsi="Times New Roman" w:cs="Times New Roman"/>
          <w:sz w:val="24"/>
          <w:szCs w:val="24"/>
          <w:lang w:val="en-US"/>
        </w:rPr>
        <w:fldChar w:fldCharType="begin" w:fldLock="1"/>
      </w:r>
      <w:r w:rsidR="00362664" w:rsidRPr="00A6771D">
        <w:rPr>
          <w:rFonts w:ascii="Times New Roman" w:hAnsi="Times New Roman" w:cs="Times New Roman"/>
          <w:sz w:val="24"/>
          <w:szCs w:val="24"/>
          <w:lang w:val="en-US"/>
        </w:rPr>
        <w:instrText>ADDIN CSL_CITATION {"citationItems":[{"id":"ITEM-1","itemData":{"DOI":"10.1152/ajpendo.00237.2016","ISSN":"15221555","PMID":"27577855","abstract":"AMP-activated protein kinase (AMPK) plays diverse roles and coordinates complex metabolic pathways for maintenance of energy homeostasis. This could be explained by the fact that AMPK exists as multiple heterotrimer complexes comprising a catalytic α-subunit (α1 and α2) and regulatory β (β1 and β2)- and γ (γ1, γ2, γ3)-subunits, which are uniquely distributed across different cell types. There has been keen interest in developing specific and isoform-selective AMPK-activating drugs for therapeutic use and also as research tools. Moreover, establishing ways of enhancing cellular AMPK activity would be beneficial for both purposes. Here, we investigated if a recently described potent AMPK activator called 991, in combination with the commonly used activator 5-aminoimidazole-4-carboxamide riboside or contraction, further enhances AMPK activity and glucose transport in mouse skeletal muscle ex vivo. Given that the γ3-subunit is exclusively expressed in skeletal muscle and has been implicated in contraction-induced glucose transport, we measured the activity of AMPKγ3 as well as ubiquitously expressed γ1-containing complexes. We initially validated the specificity of the antibodies for the assessment of isoform-specific AMPK activity using AMPK-deficient mouse models. We observed that a low dose of 991 (5 µM) stimulated a modest or negligible activity of both γ1- and γ3-containing AMPK complexes. Strikingly, dual treatment with 991 and 5-aminoimidazole- 4-carboxamide riboside or 991 and contraction profoundly enhanced AMPKγ1/γ3 complex activation and glucose transport compared with any of the single treatments. The study demonstrates the utility of a dual activator approach to achieve a greater activation of AMPK and downstream physiological responses in various cell types, including skeletal muscle.","author":[{"dropping-particle":"","family":"Bultot","given":"Laurent","non-dropping-particle":"","parse-names":false,"suffix":""},{"dropping-particle":"","family":"Jensen","given":"Thomas E.","non-dropping-particle":"","parse-names":false,"suffix":""},{"dropping-particle":"","family":"Lai","given":"Yu Chiang","non-dropping-particle":"","parse-names":false,"suffix":""},{"dropping-particle":"","family":"Madsen","given":"Agnete L.B.","non-dropping-particle":"","parse-names":false,"suffix":""},{"dropping-particle":"","family":"Collodet","given":"Caterina","non-dropping-particle":"","parse-names":false,"suffix":""},{"dropping-particle":"","family":"Kviklyte","given":"Samanta","non-dropping-particle":"","parse-names":false,"suffix":""},{"dropping-particle":"","family":"Deak","given":"Maria","non-dropping-particle":"","parse-names":false,"suffix":""},{"dropping-particle":"","family":"Yavari","given":"Arash","non-dropping-particle":"","parse-names":false,"suffix":""},{"dropping-particle":"","family":"Foretz","given":"Marc","non-dropping-particle":"","parse-names":false,"suffix":""},{"dropping-particle":"","family":"Ghaffari","given":"Sahar","non-dropping-particle":"","parse-names":false,"suffix":""},{"dropping-particle":"","family":"Bellahcene","given":"Mohamed","non-dropping-particle":"","parse-names":false,"suffix":""},{"dropping-particle":"","family":"Ashrafian","given":"Houman","non-dropping-particle":"","parse-names":false,"suffix":""},{"dropping-particle":"","family":"Rider","given":"Mark H.","non-dropping-particle":"","parse-names":false,"suffix":""},{"dropping-particle":"","family":"Richter","given":"Erik A.","non-dropping-particle":"","parse-names":false,"suffix":""},{"dropping-particle":"","family":"Sakamoto","given":"Kei","non-dropping-particle":"","parse-names":false,"suffix":""}],"container-title":"American Journal of Physiology - Endocrinology and Metabolism","id":"ITEM-1","issue":"4","issued":{"date-parts":[["2016"]]},"page":"E706-E719","title":"Benzimidazole derivative small-molecule 991 enhances AMPK activity and glucose uptake induced by AICAR or contraction in skeletal muscle","type":"article-journal","volume":"311"},"uris":["http://www.mendeley.com/documents/?uuid=40d3245a-6874-42b2-be59-0c526997fc4f"]}],"mendeley":{"formattedCitation":"&lt;sup&gt;83&lt;/sup&gt;","plainTextFormattedCitation":"83","previouslyFormattedCitation":"&lt;sup&gt;83&lt;/sup&gt;"},"properties":{"noteIndex":0},"schema":"https://github.com/citation-style-language/schema/raw/master/csl-citation.json"}</w:instrText>
      </w:r>
      <w:r w:rsidR="007C0D5C" w:rsidRPr="00A6771D">
        <w:rPr>
          <w:rFonts w:ascii="Times New Roman" w:hAnsi="Times New Roman" w:cs="Times New Roman"/>
          <w:sz w:val="24"/>
          <w:szCs w:val="24"/>
          <w:lang w:val="en-US"/>
        </w:rPr>
        <w:fldChar w:fldCharType="separate"/>
      </w:r>
      <w:r w:rsidR="004A2BDA" w:rsidRPr="00A6771D">
        <w:rPr>
          <w:rFonts w:ascii="Times New Roman" w:hAnsi="Times New Roman" w:cs="Times New Roman"/>
          <w:noProof/>
          <w:sz w:val="24"/>
          <w:szCs w:val="24"/>
          <w:lang w:val="en-US"/>
        </w:rPr>
        <w:t>83</w:t>
      </w:r>
      <w:r w:rsidR="007C0D5C" w:rsidRPr="00A6771D">
        <w:rPr>
          <w:rFonts w:ascii="Times New Roman" w:hAnsi="Times New Roman" w:cs="Times New Roman"/>
          <w:sz w:val="24"/>
          <w:szCs w:val="24"/>
          <w:lang w:val="en-US"/>
        </w:rPr>
        <w:fldChar w:fldCharType="end"/>
      </w:r>
      <w:r w:rsidR="00A6771D">
        <w:rPr>
          <w:rFonts w:ascii="Times New Roman" w:hAnsi="Times New Roman" w:cs="Times New Roman"/>
          <w:sz w:val="24"/>
          <w:szCs w:val="24"/>
          <w:lang w:val="en-US"/>
        </w:rPr>
        <w:t>]</w:t>
      </w:r>
      <w:r w:rsidRPr="00405F18">
        <w:rPr>
          <w:rFonts w:ascii="Times New Roman" w:hAnsi="Times New Roman" w:cs="Times New Roman"/>
          <w:sz w:val="24"/>
          <w:szCs w:val="24"/>
          <w:lang w:val="en-US"/>
        </w:rPr>
        <w:t>. Briefly, total AMPK was immunoprecipitated from 50 µg of cell lysates with Protein G-Sepharose 4 Fast Flow beads (</w:t>
      </w:r>
      <w:proofErr w:type="spellStart"/>
      <w:r w:rsidRPr="00405F18">
        <w:rPr>
          <w:rFonts w:ascii="Times New Roman" w:hAnsi="Times New Roman" w:cs="Times New Roman"/>
          <w:sz w:val="24"/>
          <w:szCs w:val="24"/>
          <w:lang w:val="en-US"/>
        </w:rPr>
        <w:t>Cytivia</w:t>
      </w:r>
      <w:proofErr w:type="spellEnd"/>
      <w:r w:rsidRPr="00405F18">
        <w:rPr>
          <w:rFonts w:ascii="Times New Roman" w:hAnsi="Times New Roman" w:cs="Times New Roman"/>
          <w:sz w:val="24"/>
          <w:szCs w:val="24"/>
          <w:lang w:val="en-US"/>
        </w:rPr>
        <w:t>, 17-0618-01) coupled to 2 µg of anti-</w:t>
      </w:r>
      <w:r w:rsidR="00512F79">
        <w:rPr>
          <w:rFonts w:ascii="Times New Roman" w:hAnsi="Times New Roman" w:cs="Times New Roman"/>
          <w:sz w:val="24"/>
          <w:szCs w:val="24"/>
          <w:lang w:val="en-US"/>
        </w:rPr>
        <w:t>PRKAA1/</w:t>
      </w:r>
      <w:r w:rsidRPr="00405F18">
        <w:rPr>
          <w:rFonts w:ascii="Times New Roman" w:hAnsi="Times New Roman" w:cs="Times New Roman"/>
          <w:sz w:val="24"/>
          <w:szCs w:val="24"/>
          <w:lang w:val="en-US"/>
        </w:rPr>
        <w:t>AMPKα1 and 2 µg of anti-</w:t>
      </w:r>
      <w:r w:rsidR="00512F79">
        <w:rPr>
          <w:rFonts w:ascii="Times New Roman" w:hAnsi="Times New Roman" w:cs="Times New Roman"/>
          <w:sz w:val="24"/>
          <w:szCs w:val="24"/>
          <w:lang w:val="en-US"/>
        </w:rPr>
        <w:t>PRKAA2/</w:t>
      </w:r>
      <w:r w:rsidRPr="00405F18">
        <w:rPr>
          <w:rFonts w:ascii="Times New Roman" w:hAnsi="Times New Roman" w:cs="Times New Roman"/>
          <w:sz w:val="24"/>
          <w:szCs w:val="24"/>
          <w:lang w:val="en-US"/>
        </w:rPr>
        <w:t>AMPKα2 antibodies. After several washes, AMPK activity was measured for 45 min at 30°C in a reaction mixture containing 50 mM HEPES, pH 7.4, 10 mM MgCl</w:t>
      </w:r>
      <w:r w:rsidRPr="00405F18">
        <w:rPr>
          <w:rFonts w:ascii="Times New Roman" w:hAnsi="Times New Roman" w:cs="Times New Roman"/>
          <w:sz w:val="24"/>
          <w:szCs w:val="24"/>
          <w:vertAlign w:val="subscript"/>
          <w:lang w:val="en-US"/>
        </w:rPr>
        <w:t>2</w:t>
      </w:r>
      <w:r w:rsidRPr="00405F18">
        <w:rPr>
          <w:rFonts w:ascii="Times New Roman" w:hAnsi="Times New Roman" w:cs="Times New Roman"/>
          <w:sz w:val="24"/>
          <w:szCs w:val="24"/>
          <w:lang w:val="en-US"/>
        </w:rPr>
        <w:t>, 100 µM of AMARA peptide</w:t>
      </w:r>
      <w:r w:rsidR="003929CE">
        <w:rPr>
          <w:rFonts w:ascii="Times New Roman" w:hAnsi="Times New Roman" w:cs="Times New Roman"/>
          <w:sz w:val="24"/>
          <w:szCs w:val="24"/>
          <w:lang w:val="en-US"/>
        </w:rPr>
        <w:t xml:space="preserve"> (homemade, gift from the</w:t>
      </w:r>
      <w:r w:rsidR="00E00E6E">
        <w:rPr>
          <w:rFonts w:ascii="Times New Roman" w:hAnsi="Times New Roman" w:cs="Times New Roman"/>
          <w:sz w:val="24"/>
          <w:szCs w:val="24"/>
          <w:lang w:val="en-US"/>
        </w:rPr>
        <w:t xml:space="preserve"> </w:t>
      </w:r>
      <w:r w:rsidR="00E00E6E">
        <w:rPr>
          <w:rFonts w:ascii="Times New Roman" w:eastAsia="Times New Roman" w:hAnsi="Times New Roman" w:cs="Times New Roman"/>
          <w:sz w:val="24"/>
          <w:szCs w:val="24"/>
          <w:shd w:val="clear" w:color="auto" w:fill="FFFFFF"/>
          <w:lang w:val="en-US" w:eastAsia="it-IT"/>
        </w:rPr>
        <w:t>CARD</w:t>
      </w:r>
      <w:r w:rsidR="00E00E6E" w:rsidRPr="00CB51D5">
        <w:rPr>
          <w:rFonts w:ascii="Times New Roman" w:eastAsia="Times New Roman" w:hAnsi="Times New Roman" w:cs="Times New Roman"/>
          <w:sz w:val="24"/>
          <w:szCs w:val="24"/>
          <w:shd w:val="clear" w:color="auto" w:fill="FFFFFF"/>
          <w:lang w:val="en-US" w:eastAsia="it-IT"/>
        </w:rPr>
        <w:t xml:space="preserve">, </w:t>
      </w:r>
      <w:proofErr w:type="spellStart"/>
      <w:r w:rsidR="00E00E6E" w:rsidRPr="00CB51D5">
        <w:rPr>
          <w:rFonts w:ascii="Times New Roman" w:eastAsia="Times New Roman" w:hAnsi="Times New Roman" w:cs="Times New Roman"/>
          <w:sz w:val="24"/>
          <w:szCs w:val="24"/>
          <w:shd w:val="clear" w:color="auto" w:fill="FFFFFF"/>
          <w:lang w:val="en-US" w:eastAsia="it-IT"/>
        </w:rPr>
        <w:t>UCLouvain</w:t>
      </w:r>
      <w:proofErr w:type="spellEnd"/>
      <w:r w:rsidR="003929CE">
        <w:rPr>
          <w:rFonts w:ascii="Times New Roman" w:hAnsi="Times New Roman" w:cs="Times New Roman"/>
          <w:sz w:val="24"/>
          <w:szCs w:val="24"/>
          <w:lang w:val="en-US"/>
        </w:rPr>
        <w:t>)</w:t>
      </w:r>
      <w:r w:rsidRPr="00405F18">
        <w:rPr>
          <w:rFonts w:ascii="Times New Roman" w:hAnsi="Times New Roman" w:cs="Times New Roman"/>
          <w:sz w:val="24"/>
          <w:szCs w:val="24"/>
          <w:lang w:val="en-US"/>
        </w:rPr>
        <w:t>, 100 µM of ATP</w:t>
      </w:r>
      <w:r w:rsidR="003929CE">
        <w:rPr>
          <w:rFonts w:ascii="Times New Roman" w:hAnsi="Times New Roman" w:cs="Times New Roman"/>
          <w:sz w:val="24"/>
          <w:szCs w:val="24"/>
          <w:lang w:val="en-US"/>
        </w:rPr>
        <w:t xml:space="preserve"> (Roche </w:t>
      </w:r>
      <w:r w:rsidR="003929CE" w:rsidRPr="00405F18">
        <w:rPr>
          <w:rFonts w:ascii="Times New Roman" w:hAnsi="Times New Roman" w:cs="Times New Roman"/>
          <w:sz w:val="24"/>
          <w:szCs w:val="24"/>
          <w:lang w:val="en-US"/>
        </w:rPr>
        <w:t>Applied Science</w:t>
      </w:r>
      <w:r w:rsidR="003929CE">
        <w:rPr>
          <w:rFonts w:ascii="Times New Roman" w:hAnsi="Times New Roman" w:cs="Times New Roman"/>
          <w:sz w:val="24"/>
          <w:szCs w:val="24"/>
          <w:lang w:val="en-US"/>
        </w:rPr>
        <w:t xml:space="preserve">, </w:t>
      </w:r>
      <w:r w:rsidR="003929CE" w:rsidRPr="003929CE">
        <w:rPr>
          <w:rFonts w:ascii="Times New Roman" w:hAnsi="Times New Roman" w:cs="Times New Roman"/>
          <w:sz w:val="24"/>
          <w:szCs w:val="24"/>
          <w:lang w:val="en-US"/>
        </w:rPr>
        <w:t>06529194103</w:t>
      </w:r>
      <w:r w:rsidR="003929CE">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in the presence of [γ-</w:t>
      </w:r>
      <w:r w:rsidRPr="00405F18">
        <w:rPr>
          <w:rFonts w:ascii="Times New Roman" w:hAnsi="Times New Roman" w:cs="Times New Roman"/>
          <w:sz w:val="24"/>
          <w:szCs w:val="24"/>
          <w:vertAlign w:val="superscript"/>
          <w:lang w:val="en-US"/>
        </w:rPr>
        <w:t>32</w:t>
      </w:r>
      <w:r w:rsidRPr="00405F18">
        <w:rPr>
          <w:rFonts w:ascii="Times New Roman" w:hAnsi="Times New Roman" w:cs="Times New Roman"/>
          <w:sz w:val="24"/>
          <w:szCs w:val="24"/>
          <w:lang w:val="en-US"/>
        </w:rPr>
        <w:t>P] ATP (1 µCu</w:t>
      </w:r>
      <w:r w:rsidR="00512F79">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proofErr w:type="spellStart"/>
      <w:r w:rsidRPr="00405F18">
        <w:rPr>
          <w:rFonts w:ascii="Times New Roman" w:hAnsi="Times New Roman" w:cs="Times New Roman"/>
          <w:sz w:val="24"/>
          <w:szCs w:val="24"/>
          <w:lang w:val="en-US"/>
        </w:rPr>
        <w:t>Revvity</w:t>
      </w:r>
      <w:proofErr w:type="spellEnd"/>
      <w:r w:rsidRPr="00405F18">
        <w:rPr>
          <w:rFonts w:ascii="Times New Roman" w:hAnsi="Times New Roman" w:cs="Times New Roman"/>
          <w:sz w:val="24"/>
          <w:szCs w:val="24"/>
          <w:lang w:val="en-US"/>
        </w:rPr>
        <w:t>, BLU002H). The reaction was terminated by transferring the reaction mixture onto P81 papers</w:t>
      </w:r>
      <w:r w:rsidR="00E00E6E">
        <w:rPr>
          <w:rFonts w:ascii="Times New Roman" w:hAnsi="Times New Roman" w:cs="Times New Roman"/>
          <w:sz w:val="24"/>
          <w:szCs w:val="24"/>
          <w:lang w:val="en-US"/>
        </w:rPr>
        <w:t xml:space="preserve"> (homemade, gift from the CARD</w:t>
      </w:r>
      <w:r w:rsidR="00E00E6E" w:rsidRPr="00CB51D5">
        <w:rPr>
          <w:rFonts w:ascii="Times New Roman" w:eastAsia="Times New Roman" w:hAnsi="Times New Roman" w:cs="Times New Roman"/>
          <w:sz w:val="24"/>
          <w:szCs w:val="24"/>
          <w:shd w:val="clear" w:color="auto" w:fill="FFFFFF"/>
          <w:lang w:val="en-US" w:eastAsia="it-IT"/>
        </w:rPr>
        <w:t xml:space="preserve">, </w:t>
      </w:r>
      <w:proofErr w:type="spellStart"/>
      <w:r w:rsidR="00E00E6E" w:rsidRPr="00CB51D5">
        <w:rPr>
          <w:rFonts w:ascii="Times New Roman" w:eastAsia="Times New Roman" w:hAnsi="Times New Roman" w:cs="Times New Roman"/>
          <w:sz w:val="24"/>
          <w:szCs w:val="24"/>
          <w:shd w:val="clear" w:color="auto" w:fill="FFFFFF"/>
          <w:lang w:val="en-US" w:eastAsia="it-IT"/>
        </w:rPr>
        <w:t>UCLouvain</w:t>
      </w:r>
      <w:proofErr w:type="spellEnd"/>
      <w:r w:rsidR="00E00E6E">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immersed in 75 mM orthophosphoric acid. After washing, the filter papers were dried, and </w:t>
      </w:r>
      <w:r w:rsidRPr="00405F18">
        <w:rPr>
          <w:rFonts w:ascii="Times New Roman" w:hAnsi="Times New Roman" w:cs="Times New Roman"/>
          <w:sz w:val="24"/>
          <w:szCs w:val="24"/>
          <w:vertAlign w:val="superscript"/>
          <w:lang w:val="en-US"/>
        </w:rPr>
        <w:t>32</w:t>
      </w:r>
      <w:r w:rsidRPr="00405F18">
        <w:rPr>
          <w:rFonts w:ascii="Times New Roman" w:hAnsi="Times New Roman" w:cs="Times New Roman"/>
          <w:sz w:val="24"/>
          <w:szCs w:val="24"/>
          <w:lang w:val="en-US"/>
        </w:rPr>
        <w:t>P incorporation into the AMARA peptide was measured by Cherenkov counting in a scintillation counter Ti-carb 2810 TK (Perkin Elmer, United States). One milliunit (</w:t>
      </w:r>
      <w:proofErr w:type="spellStart"/>
      <w:r w:rsidRPr="00405F18">
        <w:rPr>
          <w:rFonts w:ascii="Times New Roman" w:hAnsi="Times New Roman" w:cs="Times New Roman"/>
          <w:sz w:val="24"/>
          <w:szCs w:val="24"/>
          <w:lang w:val="en-US"/>
        </w:rPr>
        <w:t>mU</w:t>
      </w:r>
      <w:proofErr w:type="spellEnd"/>
      <w:r w:rsidRPr="00405F18">
        <w:rPr>
          <w:rFonts w:ascii="Times New Roman" w:hAnsi="Times New Roman" w:cs="Times New Roman"/>
          <w:sz w:val="24"/>
          <w:szCs w:val="24"/>
          <w:lang w:val="en-US"/>
        </w:rPr>
        <w:t xml:space="preserve">) was defined as the incorporation of 1 </w:t>
      </w:r>
      <w:proofErr w:type="spellStart"/>
      <w:r w:rsidRPr="00405F18">
        <w:rPr>
          <w:rFonts w:ascii="Times New Roman" w:hAnsi="Times New Roman" w:cs="Times New Roman"/>
          <w:sz w:val="24"/>
          <w:szCs w:val="24"/>
          <w:lang w:val="en-US"/>
        </w:rPr>
        <w:t>pmol</w:t>
      </w:r>
      <w:proofErr w:type="spellEnd"/>
      <w:r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vertAlign w:val="superscript"/>
          <w:lang w:val="en-US"/>
        </w:rPr>
        <w:t>32</w:t>
      </w:r>
      <w:r w:rsidRPr="00405F18">
        <w:rPr>
          <w:rFonts w:ascii="Times New Roman" w:hAnsi="Times New Roman" w:cs="Times New Roman"/>
          <w:sz w:val="24"/>
          <w:szCs w:val="24"/>
          <w:lang w:val="en-US"/>
        </w:rPr>
        <w:t xml:space="preserve">P on the substrate per minute and per </w:t>
      </w:r>
      <w:proofErr w:type="gramStart"/>
      <w:r w:rsidRPr="00405F18">
        <w:rPr>
          <w:rFonts w:ascii="Times New Roman" w:hAnsi="Times New Roman" w:cs="Times New Roman"/>
          <w:sz w:val="24"/>
          <w:szCs w:val="24"/>
          <w:lang w:val="en-US"/>
        </w:rPr>
        <w:t>µg</w:t>
      </w:r>
      <w:proofErr w:type="gramEnd"/>
      <w:r w:rsidRPr="00405F18">
        <w:rPr>
          <w:rFonts w:ascii="Times New Roman" w:hAnsi="Times New Roman" w:cs="Times New Roman"/>
          <w:sz w:val="24"/>
          <w:szCs w:val="24"/>
          <w:lang w:val="en-US"/>
        </w:rPr>
        <w:t xml:space="preserve"> of proteins.</w:t>
      </w:r>
    </w:p>
    <w:p w14:paraId="701EF526" w14:textId="4ECC606E" w:rsidR="00A173D6" w:rsidRPr="009D33F5" w:rsidRDefault="00AB4318" w:rsidP="00270044">
      <w:pPr>
        <w:spacing w:after="100" w:afterAutospacing="1" w:line="480" w:lineRule="auto"/>
        <w:jc w:val="both"/>
        <w:rPr>
          <w:rFonts w:ascii="Times New Roman" w:hAnsi="Times New Roman" w:cs="Times New Roman"/>
          <w:i/>
          <w:iCs/>
          <w:sz w:val="24"/>
          <w:szCs w:val="24"/>
          <w:lang w:val="en-US"/>
        </w:rPr>
      </w:pPr>
      <w:r w:rsidRPr="009D33F5">
        <w:rPr>
          <w:rFonts w:ascii="Times New Roman" w:hAnsi="Times New Roman" w:cs="Times New Roman"/>
          <w:b/>
          <w:bCs/>
          <w:i/>
          <w:iCs/>
          <w:sz w:val="24"/>
          <w:szCs w:val="24"/>
          <w:lang w:val="en-US"/>
        </w:rPr>
        <w:t>Assessment of l</w:t>
      </w:r>
      <w:r w:rsidR="0072610C" w:rsidRPr="009D33F5">
        <w:rPr>
          <w:rFonts w:ascii="Times New Roman" w:hAnsi="Times New Roman" w:cs="Times New Roman"/>
          <w:b/>
          <w:bCs/>
          <w:i/>
          <w:iCs/>
          <w:sz w:val="24"/>
          <w:szCs w:val="24"/>
          <w:lang w:val="en-US"/>
        </w:rPr>
        <w:t xml:space="preserve">ysosomal enzyme </w:t>
      </w:r>
      <w:r w:rsidRPr="009D33F5">
        <w:rPr>
          <w:rFonts w:ascii="Times New Roman" w:hAnsi="Times New Roman" w:cs="Times New Roman"/>
          <w:b/>
          <w:bCs/>
          <w:i/>
          <w:iCs/>
          <w:sz w:val="24"/>
          <w:szCs w:val="24"/>
          <w:lang w:val="en-US"/>
        </w:rPr>
        <w:t>f</w:t>
      </w:r>
      <w:r w:rsidR="00A173D6" w:rsidRPr="009D33F5">
        <w:rPr>
          <w:rFonts w:ascii="Times New Roman" w:hAnsi="Times New Roman" w:cs="Times New Roman"/>
          <w:b/>
          <w:bCs/>
          <w:i/>
          <w:iCs/>
          <w:sz w:val="24"/>
          <w:szCs w:val="24"/>
          <w:lang w:val="en-US"/>
        </w:rPr>
        <w:t>ree</w:t>
      </w:r>
      <w:r w:rsidRPr="009D33F5">
        <w:rPr>
          <w:rFonts w:ascii="Times New Roman" w:hAnsi="Times New Roman" w:cs="Times New Roman"/>
          <w:b/>
          <w:bCs/>
          <w:i/>
          <w:iCs/>
          <w:sz w:val="24"/>
          <w:szCs w:val="24"/>
          <w:lang w:val="en-US"/>
        </w:rPr>
        <w:t xml:space="preserve"> activities</w:t>
      </w:r>
    </w:p>
    <w:p w14:paraId="137D490F" w14:textId="4EEF5D76" w:rsidR="00A173D6" w:rsidRPr="00405F18" w:rsidRDefault="00D2444D"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The free activities of </w:t>
      </w:r>
      <w:r w:rsidR="00BB3082">
        <w:rPr>
          <w:rFonts w:ascii="Times New Roman" w:hAnsi="Times New Roman" w:cs="Times New Roman"/>
          <w:sz w:val="24"/>
          <w:szCs w:val="24"/>
          <w:lang w:val="en-US"/>
        </w:rPr>
        <w:t>CTSB (</w:t>
      </w:r>
      <w:r w:rsidRPr="00405F18">
        <w:rPr>
          <w:rFonts w:ascii="Times New Roman" w:hAnsi="Times New Roman" w:cs="Times New Roman"/>
          <w:sz w:val="24"/>
          <w:szCs w:val="24"/>
          <w:lang w:val="en-US"/>
        </w:rPr>
        <w:t>cathepsin B</w:t>
      </w:r>
      <w:r w:rsidR="00BB3082">
        <w:rPr>
          <w:rFonts w:ascii="Times New Roman" w:hAnsi="Times New Roman" w:cs="Times New Roman"/>
          <w:sz w:val="24"/>
          <w:szCs w:val="24"/>
          <w:lang w:val="en-US"/>
        </w:rPr>
        <w:t>)</w:t>
      </w:r>
      <w:r w:rsidRPr="00405F18">
        <w:rPr>
          <w:rFonts w:ascii="Times New Roman" w:hAnsi="Times New Roman" w:cs="Times New Roman"/>
          <w:sz w:val="24"/>
          <w:szCs w:val="24"/>
          <w:lang w:val="en-US"/>
        </w:rPr>
        <w:t xml:space="preserve">, </w:t>
      </w:r>
      <w:r w:rsidR="006B2C44">
        <w:rPr>
          <w:rFonts w:ascii="Times New Roman" w:hAnsi="Times New Roman" w:cs="Times New Roman"/>
          <w:sz w:val="24"/>
          <w:szCs w:val="24"/>
          <w:lang w:val="en-US"/>
        </w:rPr>
        <w:t>GUSB</w:t>
      </w:r>
      <w:r w:rsidR="00B65E25" w:rsidRPr="00405F18">
        <w:rPr>
          <w:rFonts w:ascii="Times New Roman" w:hAnsi="Times New Roman" w:cs="Times New Roman"/>
          <w:sz w:val="24"/>
          <w:szCs w:val="24"/>
          <w:lang w:val="en-US"/>
        </w:rPr>
        <w:t xml:space="preserve"> and </w:t>
      </w:r>
      <w:r w:rsidR="006B2C44">
        <w:rPr>
          <w:rFonts w:ascii="Times New Roman" w:hAnsi="Times New Roman" w:cs="Times New Roman"/>
          <w:sz w:val="24"/>
          <w:szCs w:val="24"/>
          <w:lang w:val="en-US"/>
        </w:rPr>
        <w:t>HEXB</w:t>
      </w:r>
      <w:r w:rsidR="00B65E25" w:rsidRPr="00405F18">
        <w:rPr>
          <w:rFonts w:ascii="Times New Roman" w:hAnsi="Times New Roman" w:cs="Times New Roman"/>
          <w:sz w:val="24"/>
          <w:szCs w:val="24"/>
          <w:lang w:val="en-US"/>
        </w:rPr>
        <w:t xml:space="preserve"> were assessed as published</w:t>
      </w:r>
      <w:r w:rsidR="00150306">
        <w:rPr>
          <w:rFonts w:ascii="Times New Roman" w:hAnsi="Times New Roman" w:cs="Times New Roman"/>
          <w:sz w:val="24"/>
          <w:szCs w:val="24"/>
          <w:lang w:val="en-US"/>
        </w:rPr>
        <w:t xml:space="preserve"> [</w:t>
      </w:r>
      <w:r w:rsidR="0015670F" w:rsidRPr="00150306">
        <w:rPr>
          <w:rFonts w:ascii="Times New Roman" w:hAnsi="Times New Roman" w:cs="Times New Roman"/>
          <w:sz w:val="24"/>
          <w:szCs w:val="24"/>
          <w:lang w:val="en-US"/>
        </w:rPr>
        <w:fldChar w:fldCharType="begin" w:fldLock="1"/>
      </w:r>
      <w:r w:rsidR="00362664" w:rsidRPr="00150306">
        <w:rPr>
          <w:rFonts w:ascii="Times New Roman" w:hAnsi="Times New Roman" w:cs="Times New Roman"/>
          <w:sz w:val="24"/>
          <w:szCs w:val="24"/>
          <w:lang w:val="en-US"/>
        </w:rPr>
        <w:instrText>ADDIN CSL_CITATION {"citationItems":[{"id":"ITEM-1","itemData":{"DOI":"10.1046/j.1432-1327.2001.02006.x","ISSN":"00142956","PMID":"11231291","abstract":"The cholesterol complexing agent methyl-cyclodextrin (MCD) provides an efficient mean for the removal of cholesterol from biological membranes. In order to study the effects of this agent on the lysosomal membrane in situ, we treated HepG2 cells with MCD and studied the effects of this treatment on lysosomes in isolated fractions. We found that lysosomes prepared from treated cells are more sensitive to various membrane perturbing treatments such as: incubation of lysosomes in isotonic glucose, in hypotonic sucrose or in the presence of the lytic agent glycyl-L-phenylalanine 2-naphthylamide. The lysosomal membrane is also less resistant to increased hydrostatic pressure. Centrifugation methods were used to analyse the effect of MCD on lysosomes. Isopycnic centrifugation in sucrose density gradients demonstrates that the drug induces a reversible density increase of the lysosomes. Our study indicates that extracellularly added MCD can modify the properties of the lysosomal membrane in living cells. It suggests that MCD could be an effective tool to modulate the physical properties of lysosomes within intact cells and to monitor the cellular responses to such modifications.","author":[{"dropping-particle":"","family":"Jadot","given":"Michel","non-dropping-particle":"","parse-names":false,"suffix":""},{"dropping-particle":"","family":"Andrianaivo","given":"Fanjambolatiana","non-dropping-particle":"","parse-names":false,"suffix":""},{"dropping-particle":"","family":"Dubois","given":"Franz","non-dropping-particle":"","parse-names":false,"suffix":""},{"dropping-particle":"","family":"Wattiaux","given":"Robert","non-dropping-particle":"","parse-names":false,"suffix":""}],"container-title":"European Journal of Biochemistry","id":"ITEM-1","issue":"5","issued":{"date-parts":[["2001"]]},"page":"1392-1399","title":"Effects of methylcyclodextrin on lysosomes","type":"article-journal","volume":"268"},"uris":["http://www.mendeley.com/documents/?uuid=4d5804de-e982-429c-a390-a5dd8a05e73a"]}],"mendeley":{"formattedCitation":"&lt;sup&gt;84&lt;/sup&gt;","plainTextFormattedCitation":"84","previouslyFormattedCitation":"&lt;sup&gt;84&lt;/sup&gt;"},"properties":{"noteIndex":0},"schema":"https://github.com/citation-style-language/schema/raw/master/csl-citation.json"}</w:instrText>
      </w:r>
      <w:r w:rsidR="0015670F" w:rsidRPr="00150306">
        <w:rPr>
          <w:rFonts w:ascii="Times New Roman" w:hAnsi="Times New Roman" w:cs="Times New Roman"/>
          <w:sz w:val="24"/>
          <w:szCs w:val="24"/>
          <w:lang w:val="en-US"/>
        </w:rPr>
        <w:fldChar w:fldCharType="separate"/>
      </w:r>
      <w:r w:rsidR="004A2BDA" w:rsidRPr="00150306">
        <w:rPr>
          <w:rFonts w:ascii="Times New Roman" w:hAnsi="Times New Roman" w:cs="Times New Roman"/>
          <w:sz w:val="24"/>
          <w:szCs w:val="24"/>
          <w:lang w:val="en-US"/>
        </w:rPr>
        <w:t>84</w:t>
      </w:r>
      <w:r w:rsidR="0015670F" w:rsidRPr="00150306">
        <w:rPr>
          <w:rFonts w:ascii="Times New Roman" w:hAnsi="Times New Roman" w:cs="Times New Roman"/>
          <w:sz w:val="24"/>
          <w:szCs w:val="24"/>
          <w:lang w:val="en-US"/>
        </w:rPr>
        <w:fldChar w:fldCharType="end"/>
      </w:r>
      <w:r w:rsidR="00150306">
        <w:rPr>
          <w:rFonts w:ascii="Times New Roman" w:hAnsi="Times New Roman" w:cs="Times New Roman"/>
          <w:sz w:val="24"/>
          <w:szCs w:val="24"/>
          <w:lang w:val="en-US"/>
        </w:rPr>
        <w:t>]</w:t>
      </w:r>
      <w:r w:rsidR="00B65E25" w:rsidRPr="00405F18">
        <w:rPr>
          <w:rFonts w:ascii="Times New Roman" w:hAnsi="Times New Roman" w:cs="Times New Roman"/>
          <w:sz w:val="24"/>
          <w:szCs w:val="24"/>
          <w:lang w:val="en-US"/>
        </w:rPr>
        <w:t>. Briefly, c</w:t>
      </w:r>
      <w:r w:rsidR="00ED1255" w:rsidRPr="00405F18">
        <w:rPr>
          <w:rFonts w:ascii="Times New Roman" w:hAnsi="Times New Roman" w:cs="Times New Roman"/>
          <w:sz w:val="24"/>
          <w:szCs w:val="24"/>
          <w:lang w:val="en-US"/>
        </w:rPr>
        <w:t>ells were washed twice with ice-cold 0.25 M sucrose</w:t>
      </w:r>
      <w:r w:rsidR="00AE1BE5">
        <w:rPr>
          <w:rFonts w:ascii="Times New Roman" w:hAnsi="Times New Roman" w:cs="Times New Roman"/>
          <w:sz w:val="24"/>
          <w:szCs w:val="24"/>
          <w:lang w:val="en-US"/>
        </w:rPr>
        <w:t xml:space="preserve"> (</w:t>
      </w:r>
      <w:r w:rsidR="003929CE">
        <w:rPr>
          <w:rFonts w:ascii="Times New Roman" w:hAnsi="Times New Roman" w:cs="Times New Roman"/>
          <w:sz w:val="24"/>
          <w:szCs w:val="24"/>
          <w:lang w:val="en-US"/>
        </w:rPr>
        <w:t>Sigma-Aldrich, S9378)</w:t>
      </w:r>
      <w:r w:rsidR="00ED1255" w:rsidRPr="00405F18">
        <w:rPr>
          <w:rFonts w:ascii="Times New Roman" w:hAnsi="Times New Roman" w:cs="Times New Roman"/>
          <w:sz w:val="24"/>
          <w:szCs w:val="24"/>
          <w:lang w:val="en-US"/>
        </w:rPr>
        <w:t>, collected after scraping in 300 µL sucrose and homogenized by six passages in a glass homogenizer</w:t>
      </w:r>
      <w:r w:rsidR="00AE1BE5">
        <w:rPr>
          <w:rFonts w:ascii="Times New Roman" w:hAnsi="Times New Roman" w:cs="Times New Roman"/>
          <w:sz w:val="24"/>
          <w:szCs w:val="24"/>
          <w:lang w:val="en-US"/>
        </w:rPr>
        <w:t xml:space="preserve"> (Kimble Kontes,</w:t>
      </w:r>
      <w:r w:rsidR="00AE1BE5" w:rsidRPr="00AE1BE5">
        <w:rPr>
          <w:lang w:val="en-US"/>
        </w:rPr>
        <w:t xml:space="preserve"> </w:t>
      </w:r>
      <w:r w:rsidR="00AE1BE5" w:rsidRPr="00AE1BE5">
        <w:rPr>
          <w:rFonts w:ascii="Times New Roman" w:hAnsi="Times New Roman" w:cs="Times New Roman"/>
          <w:sz w:val="24"/>
          <w:szCs w:val="24"/>
          <w:lang w:val="en-US"/>
        </w:rPr>
        <w:t>9651630</w:t>
      </w:r>
      <w:r w:rsidR="00AE1BE5">
        <w:rPr>
          <w:rFonts w:ascii="Times New Roman" w:hAnsi="Times New Roman" w:cs="Times New Roman"/>
          <w:sz w:val="24"/>
          <w:szCs w:val="24"/>
          <w:lang w:val="en-US"/>
        </w:rPr>
        <w:t>)</w:t>
      </w:r>
      <w:r w:rsidR="00ED1255" w:rsidRPr="00405F18">
        <w:rPr>
          <w:rFonts w:ascii="Times New Roman" w:hAnsi="Times New Roman" w:cs="Times New Roman"/>
          <w:sz w:val="24"/>
          <w:szCs w:val="24"/>
          <w:lang w:val="en-US"/>
        </w:rPr>
        <w:t xml:space="preserve">. The nuclear fraction was discarded after centrifugation at </w:t>
      </w:r>
      <w:r w:rsidR="00EB6073">
        <w:rPr>
          <w:rFonts w:ascii="Times New Roman" w:hAnsi="Times New Roman" w:cs="Times New Roman"/>
          <w:sz w:val="24"/>
          <w:szCs w:val="24"/>
          <w:lang w:val="en-US"/>
        </w:rPr>
        <w:t>1</w:t>
      </w:r>
      <w:r w:rsidR="00ED1255" w:rsidRPr="00405F18">
        <w:rPr>
          <w:rFonts w:ascii="Times New Roman" w:hAnsi="Times New Roman" w:cs="Times New Roman"/>
          <w:sz w:val="24"/>
          <w:szCs w:val="24"/>
          <w:lang w:val="en-US"/>
        </w:rPr>
        <w:t>,</w:t>
      </w:r>
      <w:r w:rsidR="00EB6073">
        <w:rPr>
          <w:rFonts w:ascii="Times New Roman" w:hAnsi="Times New Roman" w:cs="Times New Roman"/>
          <w:sz w:val="24"/>
          <w:szCs w:val="24"/>
          <w:lang w:val="en-US"/>
        </w:rPr>
        <w:t>2</w:t>
      </w:r>
      <w:r w:rsidR="00ED1255" w:rsidRPr="00405F18">
        <w:rPr>
          <w:rFonts w:ascii="Times New Roman" w:hAnsi="Times New Roman" w:cs="Times New Roman"/>
          <w:sz w:val="24"/>
          <w:szCs w:val="24"/>
          <w:lang w:val="en-US"/>
        </w:rPr>
        <w:t xml:space="preserve">00 </w:t>
      </w:r>
      <w:r w:rsidR="00EB6073">
        <w:rPr>
          <w:rFonts w:ascii="Times New Roman" w:hAnsi="Times New Roman" w:cs="Times New Roman"/>
          <w:sz w:val="24"/>
          <w:szCs w:val="24"/>
          <w:lang w:val="en-US"/>
        </w:rPr>
        <w:t>g</w:t>
      </w:r>
      <w:r w:rsidR="00ED1255" w:rsidRPr="00405F18">
        <w:rPr>
          <w:rFonts w:ascii="Times New Roman" w:hAnsi="Times New Roman" w:cs="Times New Roman"/>
          <w:sz w:val="24"/>
          <w:szCs w:val="24"/>
          <w:lang w:val="en-US"/>
        </w:rPr>
        <w:t xml:space="preserve"> for 1 min 30 sec (</w:t>
      </w:r>
      <w:r w:rsidR="00942569" w:rsidRPr="00405F18">
        <w:rPr>
          <w:rFonts w:ascii="Times New Roman" w:hAnsi="Times New Roman" w:cs="Times New Roman"/>
          <w:sz w:val="24"/>
          <w:szCs w:val="24"/>
          <w:lang w:val="en-US"/>
        </w:rPr>
        <w:t>TLX ultracentrifuge</w:t>
      </w:r>
      <w:r w:rsidR="00BE6342" w:rsidRPr="00405F18">
        <w:rPr>
          <w:rFonts w:ascii="Times New Roman" w:hAnsi="Times New Roman" w:cs="Times New Roman"/>
          <w:sz w:val="24"/>
          <w:szCs w:val="24"/>
          <w:lang w:val="en-US"/>
        </w:rPr>
        <w:t xml:space="preserve"> and TLA100.3 rotor,</w:t>
      </w:r>
      <w:r w:rsidR="00942569" w:rsidRPr="00405F18">
        <w:rPr>
          <w:rFonts w:ascii="Times New Roman" w:hAnsi="Times New Roman" w:cs="Times New Roman"/>
          <w:sz w:val="24"/>
          <w:szCs w:val="24"/>
          <w:lang w:val="en-US"/>
        </w:rPr>
        <w:t xml:space="preserve"> Beckman</w:t>
      </w:r>
      <w:r w:rsidR="00BE6342" w:rsidRPr="00405F18">
        <w:rPr>
          <w:rFonts w:ascii="Times New Roman" w:hAnsi="Times New Roman" w:cs="Times New Roman"/>
          <w:sz w:val="24"/>
          <w:szCs w:val="24"/>
          <w:lang w:val="en-US"/>
        </w:rPr>
        <w:t xml:space="preserve"> Coulter, United States</w:t>
      </w:r>
      <w:r w:rsidR="00ED1255" w:rsidRPr="00405F18">
        <w:rPr>
          <w:rFonts w:ascii="Times New Roman" w:hAnsi="Times New Roman" w:cs="Times New Roman"/>
          <w:sz w:val="24"/>
          <w:szCs w:val="24"/>
          <w:lang w:val="en-US"/>
        </w:rPr>
        <w:t xml:space="preserve">). A volume of 10 µL supernatants were incubated at 37°C for 15 min </w:t>
      </w:r>
      <w:r w:rsidR="00ED1255" w:rsidRPr="00405F18">
        <w:rPr>
          <w:rFonts w:ascii="Times New Roman" w:hAnsi="Times New Roman" w:cs="Times New Roman"/>
          <w:sz w:val="24"/>
          <w:szCs w:val="24"/>
          <w:lang w:val="en-US"/>
        </w:rPr>
        <w:lastRenderedPageBreak/>
        <w:t xml:space="preserve">with 5 mM </w:t>
      </w:r>
      <w:r w:rsidR="000500E8" w:rsidRPr="00405F18">
        <w:rPr>
          <w:rFonts w:ascii="Times New Roman" w:hAnsi="Times New Roman" w:cs="Times New Roman"/>
          <w:sz w:val="24"/>
          <w:szCs w:val="24"/>
          <w:lang w:val="en-US"/>
        </w:rPr>
        <w:t>4-methylumbelliferyl-N-acethyl-B-D-glucosaminide (</w:t>
      </w:r>
      <w:r w:rsidR="006B2C44">
        <w:rPr>
          <w:rFonts w:ascii="Times New Roman" w:hAnsi="Times New Roman" w:cs="Times New Roman"/>
          <w:sz w:val="24"/>
          <w:szCs w:val="24"/>
          <w:lang w:val="en-US"/>
        </w:rPr>
        <w:t>HEXB</w:t>
      </w:r>
      <w:r w:rsidR="00FB4780" w:rsidRPr="00405F18">
        <w:rPr>
          <w:rFonts w:ascii="Times New Roman" w:hAnsi="Times New Roman" w:cs="Times New Roman"/>
          <w:sz w:val="24"/>
          <w:szCs w:val="24"/>
          <w:lang w:val="en-US"/>
        </w:rPr>
        <w:t xml:space="preserve"> substrate</w:t>
      </w:r>
      <w:r w:rsidR="00BB3082">
        <w:rPr>
          <w:rFonts w:ascii="Times New Roman" w:hAnsi="Times New Roman" w:cs="Times New Roman"/>
          <w:sz w:val="24"/>
          <w:szCs w:val="24"/>
          <w:lang w:val="en-US"/>
        </w:rPr>
        <w:t>;</w:t>
      </w:r>
      <w:r w:rsidR="00ED1255" w:rsidRPr="00405F18">
        <w:rPr>
          <w:rFonts w:ascii="Times New Roman" w:hAnsi="Times New Roman" w:cs="Times New Roman"/>
          <w:sz w:val="24"/>
          <w:szCs w:val="24"/>
          <w:lang w:val="en-US"/>
        </w:rPr>
        <w:t xml:space="preserve"> </w:t>
      </w:r>
      <w:proofErr w:type="spellStart"/>
      <w:r w:rsidR="007D2B8F" w:rsidRPr="00405F18">
        <w:rPr>
          <w:rFonts w:ascii="Times New Roman" w:hAnsi="Times New Roman" w:cs="Times New Roman"/>
          <w:sz w:val="24"/>
          <w:szCs w:val="24"/>
          <w:lang w:val="en-US"/>
        </w:rPr>
        <w:t>Glycosynth</w:t>
      </w:r>
      <w:proofErr w:type="spellEnd"/>
      <w:r w:rsidR="007D2B8F" w:rsidRPr="00405F18">
        <w:rPr>
          <w:rFonts w:ascii="Times New Roman" w:hAnsi="Times New Roman" w:cs="Times New Roman"/>
          <w:sz w:val="24"/>
          <w:szCs w:val="24"/>
          <w:lang w:val="en-US"/>
        </w:rPr>
        <w:t xml:space="preserve"> Limited</w:t>
      </w:r>
      <w:r w:rsidR="00F57C08" w:rsidRPr="00405F18">
        <w:rPr>
          <w:rFonts w:ascii="Times New Roman" w:hAnsi="Times New Roman" w:cs="Times New Roman"/>
          <w:sz w:val="24"/>
          <w:szCs w:val="24"/>
          <w:lang w:val="en-US"/>
        </w:rPr>
        <w:t>, 37067-30-4</w:t>
      </w:r>
      <w:r w:rsidR="008B1FC4" w:rsidRPr="00405F18">
        <w:rPr>
          <w:rFonts w:ascii="Times New Roman" w:hAnsi="Times New Roman" w:cs="Times New Roman"/>
          <w:sz w:val="24"/>
          <w:szCs w:val="24"/>
          <w:lang w:val="en-US"/>
        </w:rPr>
        <w:t xml:space="preserve">), </w:t>
      </w:r>
      <w:r w:rsidR="00ED1255" w:rsidRPr="00405F18">
        <w:rPr>
          <w:rFonts w:ascii="Times New Roman" w:hAnsi="Times New Roman" w:cs="Times New Roman"/>
          <w:sz w:val="24"/>
          <w:szCs w:val="24"/>
          <w:lang w:val="en-US"/>
        </w:rPr>
        <w:t>5 mM</w:t>
      </w:r>
      <w:r w:rsidR="00FB4780" w:rsidRPr="00405F18">
        <w:rPr>
          <w:rFonts w:ascii="Times New Roman" w:hAnsi="Times New Roman" w:cs="Times New Roman"/>
          <w:sz w:val="24"/>
          <w:szCs w:val="24"/>
          <w:lang w:val="en-US"/>
        </w:rPr>
        <w:t xml:space="preserve"> 4-methylumbelliferyl-</w:t>
      </w:r>
      <w:proofErr w:type="gramStart"/>
      <w:r w:rsidR="00FB4780" w:rsidRPr="00405F18">
        <w:rPr>
          <w:rFonts w:ascii="Times New Roman" w:hAnsi="Times New Roman" w:cs="Times New Roman"/>
          <w:sz w:val="24"/>
          <w:szCs w:val="24"/>
          <w:lang w:val="en-US"/>
        </w:rPr>
        <w:t>B-</w:t>
      </w:r>
      <w:proofErr w:type="gramEnd"/>
      <w:r w:rsidR="00FB4780" w:rsidRPr="00405F18">
        <w:rPr>
          <w:rFonts w:ascii="Times New Roman" w:hAnsi="Times New Roman" w:cs="Times New Roman"/>
          <w:sz w:val="24"/>
          <w:szCs w:val="24"/>
          <w:lang w:val="en-US"/>
        </w:rPr>
        <w:t>D-glucuronide</w:t>
      </w:r>
      <w:r w:rsidR="00ED1255" w:rsidRPr="00405F18">
        <w:rPr>
          <w:rFonts w:ascii="Times New Roman" w:hAnsi="Times New Roman" w:cs="Times New Roman"/>
          <w:sz w:val="24"/>
          <w:szCs w:val="24"/>
          <w:lang w:val="en-US"/>
        </w:rPr>
        <w:t xml:space="preserve"> </w:t>
      </w:r>
      <w:r w:rsidR="00FB4780" w:rsidRPr="00405F18">
        <w:rPr>
          <w:rFonts w:ascii="Times New Roman" w:hAnsi="Times New Roman" w:cs="Times New Roman"/>
          <w:sz w:val="24"/>
          <w:szCs w:val="24"/>
          <w:lang w:val="en-US"/>
        </w:rPr>
        <w:t>(</w:t>
      </w:r>
      <w:r w:rsidR="006B2C44">
        <w:rPr>
          <w:rFonts w:ascii="Times New Roman" w:hAnsi="Times New Roman" w:cs="Times New Roman"/>
          <w:sz w:val="24"/>
          <w:szCs w:val="24"/>
          <w:lang w:val="en-US"/>
        </w:rPr>
        <w:t>GUSB</w:t>
      </w:r>
      <w:r w:rsidR="00FB4780" w:rsidRPr="00405F18">
        <w:rPr>
          <w:rFonts w:ascii="Times New Roman" w:hAnsi="Times New Roman" w:cs="Times New Roman"/>
          <w:sz w:val="24"/>
          <w:szCs w:val="24"/>
          <w:lang w:val="en-US"/>
        </w:rPr>
        <w:t xml:space="preserve"> substrate</w:t>
      </w:r>
      <w:r w:rsidR="00BB3082">
        <w:rPr>
          <w:rFonts w:ascii="Times New Roman" w:hAnsi="Times New Roman" w:cs="Times New Roman"/>
          <w:sz w:val="24"/>
          <w:szCs w:val="24"/>
          <w:lang w:val="en-US"/>
        </w:rPr>
        <w:t>;</w:t>
      </w:r>
      <w:r w:rsidR="00FB4780" w:rsidRPr="00405F18">
        <w:rPr>
          <w:rFonts w:ascii="Times New Roman" w:hAnsi="Times New Roman" w:cs="Times New Roman"/>
          <w:sz w:val="24"/>
          <w:szCs w:val="24"/>
          <w:lang w:val="en-US"/>
        </w:rPr>
        <w:t xml:space="preserve"> Sigma-Aldrich, M9130</w:t>
      </w:r>
      <w:r w:rsidR="00F57C08" w:rsidRPr="00405F18">
        <w:rPr>
          <w:rFonts w:ascii="Times New Roman" w:hAnsi="Times New Roman" w:cs="Times New Roman"/>
          <w:sz w:val="24"/>
          <w:szCs w:val="24"/>
          <w:lang w:val="en-US"/>
        </w:rPr>
        <w:t xml:space="preserve">) </w:t>
      </w:r>
      <w:r w:rsidR="00ED1255" w:rsidRPr="00405F18">
        <w:rPr>
          <w:rFonts w:ascii="Times New Roman" w:hAnsi="Times New Roman" w:cs="Times New Roman"/>
          <w:sz w:val="24"/>
          <w:szCs w:val="24"/>
          <w:lang w:val="en-US"/>
        </w:rPr>
        <w:t>or</w:t>
      </w:r>
      <w:r w:rsidR="008B1FC4" w:rsidRPr="00405F18">
        <w:rPr>
          <w:rFonts w:ascii="Times New Roman" w:hAnsi="Times New Roman" w:cs="Times New Roman"/>
          <w:sz w:val="24"/>
          <w:szCs w:val="24"/>
          <w:lang w:val="en-US"/>
        </w:rPr>
        <w:t xml:space="preserve"> with</w:t>
      </w:r>
      <w:r w:rsidR="00ED1255" w:rsidRPr="00405F18">
        <w:rPr>
          <w:rFonts w:ascii="Times New Roman" w:hAnsi="Times New Roman" w:cs="Times New Roman"/>
          <w:sz w:val="24"/>
          <w:szCs w:val="24"/>
          <w:lang w:val="en-US"/>
        </w:rPr>
        <w:t xml:space="preserve"> 0.5 mM Z-Arg-Arg-7-amido-4-methylcoumarin hydrochloride (</w:t>
      </w:r>
      <w:r w:rsidR="00BB3082">
        <w:rPr>
          <w:rFonts w:ascii="Times New Roman" w:hAnsi="Times New Roman" w:cs="Times New Roman"/>
          <w:sz w:val="24"/>
          <w:szCs w:val="24"/>
          <w:lang w:val="en-US"/>
        </w:rPr>
        <w:t>CTS</w:t>
      </w:r>
      <w:r w:rsidR="00ED1255" w:rsidRPr="00405F18">
        <w:rPr>
          <w:rFonts w:ascii="Times New Roman" w:hAnsi="Times New Roman" w:cs="Times New Roman"/>
          <w:sz w:val="24"/>
          <w:szCs w:val="24"/>
          <w:lang w:val="en-US"/>
        </w:rPr>
        <w:t>B substrate</w:t>
      </w:r>
      <w:r w:rsidR="00BB3082">
        <w:rPr>
          <w:rFonts w:ascii="Times New Roman" w:hAnsi="Times New Roman" w:cs="Times New Roman"/>
          <w:sz w:val="24"/>
          <w:szCs w:val="24"/>
          <w:lang w:val="en-US"/>
        </w:rPr>
        <w:t>;</w:t>
      </w:r>
      <w:r w:rsidR="00BB3082" w:rsidRPr="00405F18">
        <w:rPr>
          <w:rFonts w:ascii="Times New Roman" w:hAnsi="Times New Roman" w:cs="Times New Roman"/>
          <w:sz w:val="24"/>
          <w:szCs w:val="24"/>
          <w:lang w:val="en-US"/>
        </w:rPr>
        <w:t xml:space="preserve"> </w:t>
      </w:r>
      <w:r w:rsidR="00ED1255" w:rsidRPr="00405F18">
        <w:rPr>
          <w:rFonts w:ascii="Times New Roman" w:hAnsi="Times New Roman" w:cs="Times New Roman"/>
          <w:sz w:val="24"/>
          <w:szCs w:val="24"/>
          <w:lang w:val="en-US"/>
        </w:rPr>
        <w:t>Merck, C5429)</w:t>
      </w:r>
      <w:r w:rsidR="00E55E5E" w:rsidRPr="00405F18">
        <w:rPr>
          <w:rFonts w:ascii="Times New Roman" w:hAnsi="Times New Roman" w:cs="Times New Roman"/>
          <w:sz w:val="24"/>
          <w:szCs w:val="24"/>
          <w:lang w:val="en-US"/>
        </w:rPr>
        <w:t>. Substrates were</w:t>
      </w:r>
      <w:r w:rsidR="00760499" w:rsidRPr="00405F18">
        <w:rPr>
          <w:rFonts w:ascii="Times New Roman" w:hAnsi="Times New Roman" w:cs="Times New Roman"/>
          <w:sz w:val="24"/>
          <w:szCs w:val="24"/>
          <w:lang w:val="en-US"/>
        </w:rPr>
        <w:t xml:space="preserve"> previously</w:t>
      </w:r>
      <w:r w:rsidR="00ED1255" w:rsidRPr="00405F18">
        <w:rPr>
          <w:rFonts w:ascii="Times New Roman" w:hAnsi="Times New Roman" w:cs="Times New Roman"/>
          <w:sz w:val="24"/>
          <w:szCs w:val="24"/>
          <w:lang w:val="en-US"/>
        </w:rPr>
        <w:t xml:space="preserve"> diluted in 0.5 M sucrose and </w:t>
      </w:r>
      <w:r w:rsidR="00E55E5E" w:rsidRPr="00405F18">
        <w:rPr>
          <w:rFonts w:ascii="Times New Roman" w:hAnsi="Times New Roman" w:cs="Times New Roman"/>
          <w:sz w:val="24"/>
          <w:szCs w:val="24"/>
          <w:lang w:val="en-US"/>
        </w:rPr>
        <w:t>10</w:t>
      </w:r>
      <w:r w:rsidR="00ED1255" w:rsidRPr="00405F18">
        <w:rPr>
          <w:rFonts w:ascii="Times New Roman" w:hAnsi="Times New Roman" w:cs="Times New Roman"/>
          <w:sz w:val="24"/>
          <w:szCs w:val="24"/>
          <w:lang w:val="en-US"/>
        </w:rPr>
        <w:t xml:space="preserve">0 mM citrate </w:t>
      </w:r>
      <w:r w:rsidR="00E55E5E" w:rsidRPr="00405F18">
        <w:rPr>
          <w:rFonts w:ascii="Times New Roman" w:hAnsi="Times New Roman" w:cs="Times New Roman"/>
          <w:sz w:val="24"/>
          <w:szCs w:val="24"/>
          <w:lang w:val="en-US"/>
        </w:rPr>
        <w:t xml:space="preserve">(dilution 1:1, </w:t>
      </w:r>
      <w:r w:rsidR="00ED1255" w:rsidRPr="00405F18">
        <w:rPr>
          <w:rFonts w:ascii="Times New Roman" w:hAnsi="Times New Roman" w:cs="Times New Roman"/>
          <w:sz w:val="24"/>
          <w:szCs w:val="24"/>
          <w:lang w:val="en-US"/>
        </w:rPr>
        <w:t>pH 4.5) in the absence (free activity) or in the presence (total activity) of 0.05% Triton X-100 (</w:t>
      </w:r>
      <w:r w:rsidR="00BF4222" w:rsidRPr="00405F18">
        <w:rPr>
          <w:rFonts w:ascii="Times New Roman" w:hAnsi="Times New Roman" w:cs="Times New Roman"/>
          <w:sz w:val="24"/>
          <w:szCs w:val="24"/>
          <w:lang w:val="en-US"/>
        </w:rPr>
        <w:t>Sigma-Aldrich</w:t>
      </w:r>
      <w:r w:rsidR="002650FA" w:rsidRPr="00405F18">
        <w:rPr>
          <w:rFonts w:ascii="Times New Roman" w:hAnsi="Times New Roman" w:cs="Times New Roman"/>
          <w:sz w:val="24"/>
          <w:szCs w:val="24"/>
          <w:lang w:val="en-US"/>
        </w:rPr>
        <w:t xml:space="preserve">, </w:t>
      </w:r>
      <w:r w:rsidR="00BF4222" w:rsidRPr="00405F18">
        <w:rPr>
          <w:rFonts w:ascii="Times New Roman" w:hAnsi="Times New Roman" w:cs="Times New Roman"/>
          <w:sz w:val="24"/>
          <w:szCs w:val="24"/>
          <w:lang w:val="en-US"/>
        </w:rPr>
        <w:t>T9284</w:t>
      </w:r>
      <w:r w:rsidR="002650FA" w:rsidRPr="00405F18">
        <w:rPr>
          <w:rFonts w:ascii="Times New Roman" w:hAnsi="Times New Roman" w:cs="Times New Roman"/>
          <w:sz w:val="24"/>
          <w:szCs w:val="24"/>
          <w:lang w:val="en-US"/>
        </w:rPr>
        <w:t>)</w:t>
      </w:r>
      <w:r w:rsidR="00ED1255" w:rsidRPr="00405F18">
        <w:rPr>
          <w:rFonts w:ascii="Times New Roman" w:hAnsi="Times New Roman" w:cs="Times New Roman"/>
          <w:sz w:val="24"/>
          <w:szCs w:val="24"/>
          <w:lang w:val="en-US"/>
        </w:rPr>
        <w:t>. The reaction was stopped with 1 mL of buffer composed of 50 mM glycine, 5 mM EDTA and 0.5% Triton X-100 (pH 10.5) and fluorescence</w:t>
      </w:r>
      <w:r w:rsidR="00A93493" w:rsidRPr="00405F18">
        <w:rPr>
          <w:rFonts w:ascii="Times New Roman" w:hAnsi="Times New Roman" w:cs="Times New Roman"/>
          <w:sz w:val="24"/>
          <w:szCs w:val="24"/>
          <w:lang w:val="en-US"/>
        </w:rPr>
        <w:t xml:space="preserve"> intensities</w:t>
      </w:r>
      <w:r w:rsidR="00ED1255" w:rsidRPr="00405F18">
        <w:rPr>
          <w:rFonts w:ascii="Times New Roman" w:hAnsi="Times New Roman" w:cs="Times New Roman"/>
          <w:sz w:val="24"/>
          <w:szCs w:val="24"/>
          <w:lang w:val="en-US"/>
        </w:rPr>
        <w:t xml:space="preserve"> w</w:t>
      </w:r>
      <w:r w:rsidR="00A93493" w:rsidRPr="00405F18">
        <w:rPr>
          <w:rFonts w:ascii="Times New Roman" w:hAnsi="Times New Roman" w:cs="Times New Roman"/>
          <w:sz w:val="24"/>
          <w:szCs w:val="24"/>
          <w:lang w:val="en-US"/>
        </w:rPr>
        <w:t>ere</w:t>
      </w:r>
      <w:r w:rsidR="00ED1255" w:rsidRPr="00405F18">
        <w:rPr>
          <w:rFonts w:ascii="Times New Roman" w:hAnsi="Times New Roman" w:cs="Times New Roman"/>
          <w:sz w:val="24"/>
          <w:szCs w:val="24"/>
          <w:lang w:val="en-US"/>
        </w:rPr>
        <w:t xml:space="preserve"> read by the </w:t>
      </w:r>
      <w:proofErr w:type="spellStart"/>
      <w:r w:rsidR="002F7F2A" w:rsidRPr="00405F18">
        <w:rPr>
          <w:rFonts w:ascii="Times New Roman" w:hAnsi="Times New Roman" w:cs="Times New Roman"/>
          <w:sz w:val="24"/>
          <w:szCs w:val="24"/>
          <w:lang w:val="en-US"/>
        </w:rPr>
        <w:t>Versafluor</w:t>
      </w:r>
      <w:proofErr w:type="spellEnd"/>
      <w:r w:rsidR="002F7F2A" w:rsidRPr="00405F18">
        <w:rPr>
          <w:rFonts w:ascii="Times New Roman" w:hAnsi="Times New Roman" w:cs="Times New Roman"/>
          <w:sz w:val="24"/>
          <w:szCs w:val="24"/>
          <w:lang w:val="en-US"/>
        </w:rPr>
        <w:t xml:space="preserve"> Fluorometer </w:t>
      </w:r>
      <w:r w:rsidR="00ED1255" w:rsidRPr="00405F18">
        <w:rPr>
          <w:rFonts w:ascii="Times New Roman" w:hAnsi="Times New Roman" w:cs="Times New Roman"/>
          <w:sz w:val="24"/>
          <w:szCs w:val="24"/>
          <w:lang w:val="en-US"/>
        </w:rPr>
        <w:t>(</w:t>
      </w:r>
      <w:proofErr w:type="spellStart"/>
      <w:r w:rsidR="00FF35E9" w:rsidRPr="00405F18">
        <w:rPr>
          <w:rFonts w:ascii="Times New Roman" w:hAnsi="Times New Roman" w:cs="Times New Roman"/>
          <w:sz w:val="24"/>
          <w:szCs w:val="24"/>
          <w:lang w:val="en-US"/>
        </w:rPr>
        <w:t>Biorad</w:t>
      </w:r>
      <w:proofErr w:type="spellEnd"/>
      <w:r w:rsidR="00FF35E9" w:rsidRPr="00405F18">
        <w:rPr>
          <w:rFonts w:ascii="Times New Roman" w:hAnsi="Times New Roman" w:cs="Times New Roman"/>
          <w:sz w:val="24"/>
          <w:szCs w:val="24"/>
          <w:lang w:val="en-US"/>
        </w:rPr>
        <w:t>, United States</w:t>
      </w:r>
      <w:r w:rsidR="00ED1255" w:rsidRPr="00405F18">
        <w:rPr>
          <w:rFonts w:ascii="Times New Roman" w:hAnsi="Times New Roman" w:cs="Times New Roman"/>
          <w:sz w:val="24"/>
          <w:szCs w:val="24"/>
          <w:lang w:val="en-US"/>
        </w:rPr>
        <w:t>).</w:t>
      </w:r>
    </w:p>
    <w:p w14:paraId="570D4AC1" w14:textId="77777777" w:rsidR="00E1398C" w:rsidRPr="006B2C44" w:rsidRDefault="00E1398C" w:rsidP="00270044">
      <w:pPr>
        <w:spacing w:after="100" w:afterAutospacing="1" w:line="480" w:lineRule="auto"/>
        <w:jc w:val="both"/>
        <w:rPr>
          <w:rFonts w:ascii="Times New Roman" w:hAnsi="Times New Roman" w:cs="Times New Roman"/>
          <w:b/>
          <w:bCs/>
          <w:i/>
          <w:iCs/>
          <w:sz w:val="24"/>
          <w:szCs w:val="24"/>
          <w:lang w:val="en-US"/>
        </w:rPr>
      </w:pPr>
      <w:r w:rsidRPr="006B2C44">
        <w:rPr>
          <w:rFonts w:ascii="Times New Roman" w:hAnsi="Times New Roman" w:cs="Times New Roman"/>
          <w:b/>
          <w:bCs/>
          <w:i/>
          <w:iCs/>
          <w:sz w:val="24"/>
          <w:szCs w:val="24"/>
          <w:lang w:val="en-US"/>
        </w:rPr>
        <w:t>RNA extraction and RT-qPCR</w:t>
      </w:r>
    </w:p>
    <w:p w14:paraId="57295CCF" w14:textId="7089BBBB" w:rsidR="00023A65" w:rsidRPr="00405F18" w:rsidRDefault="00E1398C" w:rsidP="00270044">
      <w:pPr>
        <w:spacing w:after="100" w:afterAutospacing="1"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Total RNA was extracted using the </w:t>
      </w:r>
      <w:proofErr w:type="spellStart"/>
      <w:r w:rsidRPr="00405F18">
        <w:rPr>
          <w:rFonts w:ascii="Times New Roman" w:hAnsi="Times New Roman" w:cs="Times New Roman"/>
          <w:sz w:val="24"/>
          <w:szCs w:val="24"/>
          <w:lang w:val="en-US"/>
        </w:rPr>
        <w:t>ReliaPrep</w:t>
      </w:r>
      <w:proofErr w:type="spellEnd"/>
      <w:r w:rsidRPr="00405F18">
        <w:rPr>
          <w:rFonts w:ascii="Times New Roman" w:hAnsi="Times New Roman" w:cs="Times New Roman"/>
          <w:sz w:val="24"/>
          <w:szCs w:val="24"/>
          <w:lang w:val="en-US"/>
        </w:rPr>
        <w:t xml:space="preserve"> RNA Tissue Miniprep System (Promega</w:t>
      </w:r>
      <w:r w:rsidR="00662929" w:rsidRPr="00405F18">
        <w:rPr>
          <w:rFonts w:ascii="Times New Roman" w:hAnsi="Times New Roman" w:cs="Times New Roman"/>
          <w:sz w:val="24"/>
          <w:szCs w:val="24"/>
          <w:lang w:val="en-US"/>
        </w:rPr>
        <w:t>, Z6111</w:t>
      </w:r>
      <w:r w:rsidRPr="00405F18">
        <w:rPr>
          <w:rFonts w:ascii="Times New Roman" w:hAnsi="Times New Roman" w:cs="Times New Roman"/>
          <w:sz w:val="24"/>
          <w:szCs w:val="24"/>
          <w:lang w:val="en-US"/>
        </w:rPr>
        <w:t xml:space="preserve">) following manufacturer’s instructions. RNA concentrations were assessed with </w:t>
      </w:r>
      <w:proofErr w:type="spellStart"/>
      <w:r w:rsidRPr="00405F18">
        <w:rPr>
          <w:rFonts w:ascii="Times New Roman" w:hAnsi="Times New Roman" w:cs="Times New Roman"/>
          <w:sz w:val="24"/>
          <w:szCs w:val="24"/>
          <w:lang w:val="en-US"/>
        </w:rPr>
        <w:t>NanoDrop</w:t>
      </w:r>
      <w:proofErr w:type="spellEnd"/>
      <w:r w:rsidRPr="00405F18">
        <w:rPr>
          <w:rFonts w:ascii="Times New Roman" w:hAnsi="Times New Roman" w:cs="Times New Roman"/>
          <w:sz w:val="24"/>
          <w:szCs w:val="24"/>
          <w:lang w:val="en-US"/>
        </w:rPr>
        <w:t xml:space="preserve"> 1000 (</w:t>
      </w:r>
      <w:proofErr w:type="spellStart"/>
      <w:r w:rsidRPr="00405F18">
        <w:rPr>
          <w:rFonts w:ascii="Times New Roman" w:hAnsi="Times New Roman" w:cs="Times New Roman"/>
          <w:sz w:val="24"/>
          <w:szCs w:val="24"/>
          <w:lang w:val="en-US"/>
        </w:rPr>
        <w:t>Thermo</w:t>
      </w:r>
      <w:proofErr w:type="spellEnd"/>
      <w:r w:rsidRPr="00405F18">
        <w:rPr>
          <w:rFonts w:ascii="Times New Roman" w:hAnsi="Times New Roman" w:cs="Times New Roman"/>
          <w:sz w:val="24"/>
          <w:szCs w:val="24"/>
          <w:lang w:val="en-US"/>
        </w:rPr>
        <w:t xml:space="preserve"> Fisher Scientific</w:t>
      </w:r>
      <w:r w:rsidR="005D3CEA" w:rsidRPr="00405F18">
        <w:rPr>
          <w:rFonts w:ascii="Times New Roman" w:hAnsi="Times New Roman" w:cs="Times New Roman"/>
          <w:sz w:val="24"/>
          <w:szCs w:val="24"/>
          <w:lang w:val="en-US"/>
        </w:rPr>
        <w:t>, United States</w:t>
      </w:r>
      <w:r w:rsidRPr="00405F18">
        <w:rPr>
          <w:rFonts w:ascii="Times New Roman" w:hAnsi="Times New Roman" w:cs="Times New Roman"/>
          <w:sz w:val="24"/>
          <w:szCs w:val="24"/>
          <w:lang w:val="en-US"/>
        </w:rPr>
        <w:t xml:space="preserve">). Reverse transcription was performed with the </w:t>
      </w:r>
      <w:proofErr w:type="spellStart"/>
      <w:r w:rsidRPr="00405F18">
        <w:rPr>
          <w:rFonts w:ascii="Times New Roman" w:hAnsi="Times New Roman" w:cs="Times New Roman"/>
          <w:sz w:val="24"/>
          <w:szCs w:val="24"/>
          <w:lang w:val="en-US"/>
        </w:rPr>
        <w:t>Transcriptor</w:t>
      </w:r>
      <w:proofErr w:type="spellEnd"/>
      <w:r w:rsidRPr="00405F18">
        <w:rPr>
          <w:rFonts w:ascii="Times New Roman" w:hAnsi="Times New Roman" w:cs="Times New Roman"/>
          <w:sz w:val="24"/>
          <w:szCs w:val="24"/>
          <w:lang w:val="en-US"/>
        </w:rPr>
        <w:t xml:space="preserve"> First Strand cDNA Synthesis Kit (Roche Applied Science</w:t>
      </w:r>
      <w:r w:rsidR="00662929" w:rsidRPr="00405F18">
        <w:rPr>
          <w:rFonts w:ascii="Times New Roman" w:hAnsi="Times New Roman" w:cs="Times New Roman"/>
          <w:sz w:val="24"/>
          <w:szCs w:val="24"/>
          <w:lang w:val="en-US"/>
        </w:rPr>
        <w:t>, 04897030001</w:t>
      </w:r>
      <w:r w:rsidRPr="00405F18">
        <w:rPr>
          <w:rFonts w:ascii="Times New Roman" w:hAnsi="Times New Roman" w:cs="Times New Roman"/>
          <w:sz w:val="24"/>
          <w:szCs w:val="24"/>
          <w:lang w:val="en-US"/>
        </w:rPr>
        <w:t xml:space="preserve">) to convert 1 </w:t>
      </w:r>
      <w:proofErr w:type="spellStart"/>
      <w:r w:rsidRPr="00405F18">
        <w:rPr>
          <w:rFonts w:ascii="Times New Roman" w:hAnsi="Times New Roman" w:cs="Times New Roman"/>
          <w:sz w:val="24"/>
          <w:szCs w:val="24"/>
          <w:lang w:val="en-US"/>
        </w:rPr>
        <w:t>μg</w:t>
      </w:r>
      <w:proofErr w:type="spellEnd"/>
      <w:r w:rsidRPr="00405F18">
        <w:rPr>
          <w:rFonts w:ascii="Times New Roman" w:hAnsi="Times New Roman" w:cs="Times New Roman"/>
          <w:sz w:val="24"/>
          <w:szCs w:val="24"/>
          <w:lang w:val="en-US"/>
        </w:rPr>
        <w:t xml:space="preserve"> of RNA into cDNA. Quantitative PCR mixtures were composed of 10 µL of </w:t>
      </w:r>
      <w:proofErr w:type="spellStart"/>
      <w:r w:rsidRPr="00405F18">
        <w:rPr>
          <w:rFonts w:ascii="Times New Roman" w:hAnsi="Times New Roman" w:cs="Times New Roman"/>
          <w:sz w:val="24"/>
          <w:szCs w:val="24"/>
          <w:lang w:val="en-US"/>
        </w:rPr>
        <w:t>Takyon</w:t>
      </w:r>
      <w:r w:rsidRPr="00405F18">
        <w:rPr>
          <w:rFonts w:ascii="Times New Roman" w:hAnsi="Times New Roman" w:cs="Times New Roman"/>
          <w:sz w:val="24"/>
          <w:szCs w:val="24"/>
          <w:vertAlign w:val="superscript"/>
          <w:lang w:val="en-US"/>
        </w:rPr>
        <w:t>TM</w:t>
      </w:r>
      <w:proofErr w:type="spellEnd"/>
      <w:r w:rsidRPr="00405F18">
        <w:rPr>
          <w:rFonts w:ascii="Times New Roman" w:hAnsi="Times New Roman" w:cs="Times New Roman"/>
          <w:sz w:val="24"/>
          <w:szCs w:val="24"/>
          <w:lang w:val="en-US"/>
        </w:rPr>
        <w:t xml:space="preserve"> ROX SYBRR Master Mix (</w:t>
      </w:r>
      <w:proofErr w:type="spellStart"/>
      <w:r w:rsidR="00662929" w:rsidRPr="00405F18">
        <w:rPr>
          <w:rFonts w:ascii="Times New Roman" w:hAnsi="Times New Roman" w:cs="Times New Roman"/>
          <w:sz w:val="24"/>
          <w:szCs w:val="24"/>
          <w:lang w:val="en-US"/>
        </w:rPr>
        <w:t>Eurogentec</w:t>
      </w:r>
      <w:proofErr w:type="spellEnd"/>
      <w:r w:rsidR="00662929"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UF-RSMT-B0701), 2.5 µL of forward and reverse primers (final concentration of 300 </w:t>
      </w:r>
      <w:proofErr w:type="spellStart"/>
      <w:r w:rsidRPr="00405F18">
        <w:rPr>
          <w:rFonts w:ascii="Times New Roman" w:hAnsi="Times New Roman" w:cs="Times New Roman"/>
          <w:sz w:val="24"/>
          <w:szCs w:val="24"/>
          <w:lang w:val="en-US"/>
        </w:rPr>
        <w:t>nM</w:t>
      </w:r>
      <w:proofErr w:type="spellEnd"/>
      <w:r w:rsidRPr="00405F18">
        <w:rPr>
          <w:rFonts w:ascii="Times New Roman" w:hAnsi="Times New Roman" w:cs="Times New Roman"/>
          <w:sz w:val="24"/>
          <w:szCs w:val="24"/>
          <w:lang w:val="en-US"/>
        </w:rPr>
        <w:t xml:space="preserve">) and 5 µL of 5 ng/µL cDNA per well. Primers (Table </w:t>
      </w:r>
      <w:r w:rsidR="00F621C0" w:rsidRPr="00405F18">
        <w:rPr>
          <w:rFonts w:ascii="Times New Roman" w:hAnsi="Times New Roman" w:cs="Times New Roman"/>
          <w:sz w:val="24"/>
          <w:szCs w:val="24"/>
          <w:lang w:val="en-US"/>
        </w:rPr>
        <w:t>S</w:t>
      </w:r>
      <w:r w:rsidRPr="00405F18">
        <w:rPr>
          <w:rFonts w:ascii="Times New Roman" w:hAnsi="Times New Roman" w:cs="Times New Roman"/>
          <w:sz w:val="24"/>
          <w:szCs w:val="24"/>
          <w:lang w:val="en-US"/>
        </w:rPr>
        <w:t xml:space="preserve">1) (Integrated DNA Technologies) were previously </w:t>
      </w:r>
      <w:r w:rsidR="005D3CEA" w:rsidRPr="00405F18">
        <w:rPr>
          <w:rFonts w:ascii="Times New Roman" w:hAnsi="Times New Roman" w:cs="Times New Roman"/>
          <w:sz w:val="24"/>
          <w:szCs w:val="24"/>
          <w:lang w:val="en-US"/>
        </w:rPr>
        <w:t>analyzed</w:t>
      </w:r>
      <w:r w:rsidRPr="00405F18">
        <w:rPr>
          <w:rFonts w:ascii="Times New Roman" w:hAnsi="Times New Roman" w:cs="Times New Roman"/>
          <w:sz w:val="24"/>
          <w:szCs w:val="24"/>
          <w:lang w:val="en-US"/>
        </w:rPr>
        <w:t xml:space="preserve"> for dissociation curves and melting temperatures. Amplification reactions were performed using the </w:t>
      </w:r>
      <w:proofErr w:type="spellStart"/>
      <w:r w:rsidRPr="00405F18">
        <w:rPr>
          <w:rFonts w:ascii="Times New Roman" w:hAnsi="Times New Roman" w:cs="Times New Roman"/>
          <w:sz w:val="24"/>
          <w:szCs w:val="24"/>
          <w:lang w:val="en-US"/>
        </w:rPr>
        <w:t>LightCycler</w:t>
      </w:r>
      <w:proofErr w:type="spellEnd"/>
      <w:r w:rsidRPr="00405F18">
        <w:rPr>
          <w:rFonts w:ascii="Times New Roman" w:hAnsi="Times New Roman" w:cs="Times New Roman"/>
          <w:sz w:val="24"/>
          <w:szCs w:val="24"/>
          <w:vertAlign w:val="superscript"/>
          <w:lang w:val="en-US"/>
        </w:rPr>
        <w:t>®</w:t>
      </w:r>
      <w:r w:rsidRPr="00405F18">
        <w:rPr>
          <w:rFonts w:ascii="Times New Roman" w:hAnsi="Times New Roman" w:cs="Times New Roman"/>
          <w:sz w:val="24"/>
          <w:szCs w:val="24"/>
          <w:lang w:val="en-US"/>
        </w:rPr>
        <w:t> 96 System (Roche Applied Science, Germany). Relative gene expressions were calculated using the 2</w:t>
      </w:r>
      <w:r w:rsidRPr="00405F18">
        <w:rPr>
          <w:rFonts w:ascii="Times New Roman" w:hAnsi="Times New Roman" w:cs="Times New Roman"/>
          <w:sz w:val="24"/>
          <w:szCs w:val="24"/>
          <w:vertAlign w:val="superscript"/>
          <w:lang w:val="en-US"/>
        </w:rPr>
        <w:t>−ΔΔCT</w:t>
      </w:r>
      <w:r w:rsidRPr="00405F18">
        <w:rPr>
          <w:rFonts w:ascii="Times New Roman" w:hAnsi="Times New Roman" w:cs="Times New Roman"/>
          <w:sz w:val="24"/>
          <w:szCs w:val="24"/>
          <w:lang w:val="en-US"/>
        </w:rPr>
        <w:t xml:space="preserve"> method with </w:t>
      </w:r>
      <w:proofErr w:type="spellStart"/>
      <w:r w:rsidR="0086015D">
        <w:rPr>
          <w:rFonts w:ascii="Times New Roman" w:hAnsi="Times New Roman" w:cs="Times New Roman"/>
          <w:i/>
          <w:iCs/>
          <w:sz w:val="24"/>
          <w:szCs w:val="24"/>
          <w:lang w:val="en-US"/>
        </w:rPr>
        <w:t>Actb</w:t>
      </w:r>
      <w:proofErr w:type="spellEnd"/>
      <w:r w:rsidRPr="00405F18">
        <w:rPr>
          <w:rFonts w:ascii="Times New Roman" w:hAnsi="Times New Roman" w:cs="Times New Roman"/>
          <w:sz w:val="24"/>
          <w:szCs w:val="24"/>
          <w:lang w:val="en-US"/>
        </w:rPr>
        <w:t xml:space="preserve"> used as housekeeping gene.</w:t>
      </w:r>
    </w:p>
    <w:p w14:paraId="47CE838F" w14:textId="6D044073" w:rsidR="00023A65" w:rsidRPr="006B2C44" w:rsidRDefault="00023A65" w:rsidP="00270044">
      <w:pPr>
        <w:spacing w:line="480" w:lineRule="auto"/>
        <w:jc w:val="both"/>
        <w:rPr>
          <w:rFonts w:ascii="Times New Roman" w:hAnsi="Times New Roman" w:cs="Times New Roman"/>
          <w:b/>
          <w:bCs/>
          <w:i/>
          <w:iCs/>
          <w:sz w:val="24"/>
          <w:szCs w:val="24"/>
          <w:lang w:val="en-US"/>
        </w:rPr>
      </w:pPr>
      <w:r w:rsidRPr="006B2C44">
        <w:rPr>
          <w:rFonts w:ascii="Times New Roman" w:hAnsi="Times New Roman" w:cs="Times New Roman"/>
          <w:b/>
          <w:bCs/>
          <w:i/>
          <w:iCs/>
          <w:sz w:val="24"/>
          <w:szCs w:val="24"/>
          <w:lang w:val="en-US"/>
        </w:rPr>
        <w:t xml:space="preserve">Statistical </w:t>
      </w:r>
      <w:proofErr w:type="gramStart"/>
      <w:r w:rsidRPr="006B2C44">
        <w:rPr>
          <w:rFonts w:ascii="Times New Roman" w:hAnsi="Times New Roman" w:cs="Times New Roman"/>
          <w:b/>
          <w:bCs/>
          <w:i/>
          <w:iCs/>
          <w:sz w:val="24"/>
          <w:szCs w:val="24"/>
          <w:lang w:val="en-US"/>
        </w:rPr>
        <w:t>analyses</w:t>
      </w:r>
      <w:proofErr w:type="gramEnd"/>
    </w:p>
    <w:p w14:paraId="5899E78E" w14:textId="39B89940" w:rsidR="00023A65" w:rsidRPr="00405F18" w:rsidRDefault="00023A65" w:rsidP="00270044">
      <w:pPr>
        <w:spacing w:line="480" w:lineRule="auto"/>
        <w:jc w:val="both"/>
        <w:rPr>
          <w:rFonts w:ascii="Times New Roman" w:hAnsi="Times New Roman" w:cs="Times New Roman"/>
          <w:sz w:val="24"/>
          <w:szCs w:val="24"/>
          <w:lang w:val="en-US"/>
        </w:rPr>
      </w:pPr>
      <w:r w:rsidRPr="00405F18">
        <w:rPr>
          <w:rFonts w:ascii="Times New Roman" w:hAnsi="Times New Roman" w:cs="Times New Roman"/>
          <w:sz w:val="24"/>
          <w:szCs w:val="24"/>
          <w:lang w:val="en-US"/>
        </w:rPr>
        <w:t xml:space="preserve">Results were presented as means ± standard error of the means (SEM). Differences between groups were evaluated using one or two-way analysis of variance (ANOVA) followed by different post-hoc tests depending on the application as indicated in Figure legends. Unpaired </w:t>
      </w:r>
      <w:r w:rsidRPr="00405F18">
        <w:rPr>
          <w:rFonts w:ascii="Times New Roman" w:hAnsi="Times New Roman" w:cs="Times New Roman"/>
          <w:sz w:val="24"/>
          <w:szCs w:val="24"/>
          <w:lang w:val="en-US"/>
        </w:rPr>
        <w:lastRenderedPageBreak/>
        <w:t xml:space="preserve">Student’s t-tests were used for comparison between two groups. The level of significance was defined as 0.05 and p values were indicated by symbols in the Figure legends. All experiments were performed at least three times or more </w:t>
      </w:r>
      <w:r w:rsidR="00295E10" w:rsidRPr="00405F18">
        <w:rPr>
          <w:rFonts w:ascii="Times New Roman" w:hAnsi="Times New Roman" w:cs="Times New Roman"/>
          <w:sz w:val="24"/>
          <w:szCs w:val="24"/>
          <w:lang w:val="en-US"/>
        </w:rPr>
        <w:t>(</w:t>
      </w:r>
      <w:r w:rsidRPr="00405F18">
        <w:rPr>
          <w:rFonts w:ascii="Times New Roman" w:hAnsi="Times New Roman" w:cs="Times New Roman"/>
          <w:sz w:val="24"/>
          <w:szCs w:val="24"/>
          <w:lang w:val="en-US"/>
        </w:rPr>
        <w:t>as indicated</w:t>
      </w:r>
      <w:r w:rsidR="00295E10" w:rsidRPr="00405F18">
        <w:rPr>
          <w:rFonts w:ascii="Times New Roman" w:hAnsi="Times New Roman" w:cs="Times New Roman"/>
          <w:sz w:val="24"/>
          <w:szCs w:val="24"/>
          <w:lang w:val="en-US"/>
        </w:rPr>
        <w:t xml:space="preserve"> on the charts</w:t>
      </w:r>
      <w:r w:rsidRPr="00405F18">
        <w:rPr>
          <w:rFonts w:ascii="Times New Roman" w:hAnsi="Times New Roman" w:cs="Times New Roman"/>
          <w:sz w:val="24"/>
          <w:szCs w:val="24"/>
          <w:lang w:val="en-US"/>
        </w:rPr>
        <w:t xml:space="preserve">). GraphPad Prism software v. 8.0.2 (GraphPad Software) was used for statistical analyses and chart generation. </w:t>
      </w:r>
    </w:p>
    <w:p w14:paraId="53AFE0E3" w14:textId="77777777" w:rsidR="002E1069" w:rsidRPr="00405F18" w:rsidRDefault="002E1069" w:rsidP="00270044">
      <w:pPr>
        <w:spacing w:line="480" w:lineRule="auto"/>
        <w:jc w:val="both"/>
        <w:rPr>
          <w:rFonts w:ascii="Times New Roman" w:hAnsi="Times New Roman" w:cs="Times New Roman"/>
          <w:b/>
          <w:bCs/>
          <w:sz w:val="24"/>
          <w:szCs w:val="24"/>
          <w:lang w:val="en-US"/>
        </w:rPr>
      </w:pPr>
      <w:r w:rsidRPr="00405F18">
        <w:rPr>
          <w:rFonts w:ascii="Times New Roman" w:hAnsi="Times New Roman" w:cs="Times New Roman"/>
          <w:b/>
          <w:bCs/>
          <w:sz w:val="24"/>
          <w:szCs w:val="24"/>
          <w:lang w:val="en-US"/>
        </w:rPr>
        <w:br w:type="page"/>
      </w:r>
    </w:p>
    <w:p w14:paraId="6D4B84D6" w14:textId="33577A59" w:rsidR="009B0E32" w:rsidRPr="00405F18" w:rsidRDefault="009B0E32" w:rsidP="00270044">
      <w:pPr>
        <w:spacing w:line="480" w:lineRule="auto"/>
        <w:jc w:val="both"/>
        <w:rPr>
          <w:rFonts w:ascii="Times New Roman" w:hAnsi="Times New Roman" w:cs="Times New Roman"/>
          <w:sz w:val="24"/>
          <w:szCs w:val="24"/>
          <w:lang w:val="en-US"/>
        </w:rPr>
      </w:pPr>
      <w:r w:rsidRPr="00405F18">
        <w:rPr>
          <w:rFonts w:ascii="Times New Roman" w:hAnsi="Times New Roman" w:cs="Times New Roman"/>
          <w:b/>
          <w:bCs/>
          <w:sz w:val="24"/>
          <w:szCs w:val="24"/>
          <w:lang w:val="en-US"/>
        </w:rPr>
        <w:lastRenderedPageBreak/>
        <w:t>Acknowledgements:</w:t>
      </w:r>
      <w:r w:rsidRPr="00405F18">
        <w:rPr>
          <w:rFonts w:ascii="Times New Roman" w:hAnsi="Times New Roman" w:cs="Times New Roman"/>
          <w:sz w:val="24"/>
          <w:szCs w:val="24"/>
          <w:lang w:val="en-US"/>
        </w:rPr>
        <w:t xml:space="preserve"> The authors would like to thank the “Morphology and Imaging” (Morph-</w:t>
      </w:r>
      <w:proofErr w:type="spellStart"/>
      <w:r w:rsidRPr="00405F18">
        <w:rPr>
          <w:rFonts w:ascii="Times New Roman" w:hAnsi="Times New Roman" w:cs="Times New Roman"/>
          <w:sz w:val="24"/>
          <w:szCs w:val="24"/>
          <w:lang w:val="en-US"/>
        </w:rPr>
        <w:t>Im</w:t>
      </w:r>
      <w:proofErr w:type="spellEnd"/>
      <w:r w:rsidRPr="00405F18">
        <w:rPr>
          <w:rFonts w:ascii="Times New Roman" w:hAnsi="Times New Roman" w:cs="Times New Roman"/>
          <w:sz w:val="24"/>
          <w:szCs w:val="24"/>
          <w:lang w:val="en-US"/>
        </w:rPr>
        <w:t xml:space="preserve">) technological platform and the Technology Platform of Life Sciences (University of Namur). The authors also thank Thomas </w:t>
      </w:r>
      <w:proofErr w:type="spellStart"/>
      <w:r w:rsidRPr="00405F18">
        <w:rPr>
          <w:rFonts w:ascii="Times New Roman" w:hAnsi="Times New Roman" w:cs="Times New Roman"/>
          <w:sz w:val="24"/>
          <w:szCs w:val="24"/>
          <w:lang w:val="en-US"/>
        </w:rPr>
        <w:t>Zwakhals</w:t>
      </w:r>
      <w:proofErr w:type="spellEnd"/>
      <w:r w:rsidRPr="00405F18">
        <w:rPr>
          <w:rFonts w:ascii="Times New Roman" w:hAnsi="Times New Roman" w:cs="Times New Roman"/>
          <w:sz w:val="24"/>
          <w:szCs w:val="24"/>
          <w:lang w:val="en-US"/>
        </w:rPr>
        <w:t xml:space="preserve">, Antoine </w:t>
      </w:r>
      <w:proofErr w:type="spellStart"/>
      <w:r w:rsidRPr="00405F18">
        <w:rPr>
          <w:rFonts w:ascii="Times New Roman" w:hAnsi="Times New Roman" w:cs="Times New Roman"/>
          <w:sz w:val="24"/>
          <w:szCs w:val="24"/>
          <w:lang w:val="en-US"/>
        </w:rPr>
        <w:t>Fattaccioli</w:t>
      </w:r>
      <w:proofErr w:type="spellEnd"/>
      <w:r w:rsidRPr="00405F18">
        <w:rPr>
          <w:rFonts w:ascii="Times New Roman" w:hAnsi="Times New Roman" w:cs="Times New Roman"/>
          <w:sz w:val="24"/>
          <w:szCs w:val="24"/>
          <w:lang w:val="en-US"/>
        </w:rPr>
        <w:t xml:space="preserve">, Sophie </w:t>
      </w:r>
      <w:proofErr w:type="spellStart"/>
      <w:r w:rsidRPr="00405F18">
        <w:rPr>
          <w:rFonts w:ascii="Times New Roman" w:hAnsi="Times New Roman" w:cs="Times New Roman"/>
          <w:sz w:val="24"/>
          <w:szCs w:val="24"/>
          <w:lang w:val="en-US"/>
        </w:rPr>
        <w:t>Burteau</w:t>
      </w:r>
      <w:proofErr w:type="spellEnd"/>
      <w:r w:rsidR="00510397" w:rsidRPr="00405F18">
        <w:rPr>
          <w:rFonts w:ascii="Times New Roman" w:hAnsi="Times New Roman" w:cs="Times New Roman"/>
          <w:sz w:val="24"/>
          <w:szCs w:val="24"/>
          <w:lang w:val="en-US"/>
        </w:rPr>
        <w:t xml:space="preserve">, </w:t>
      </w:r>
      <w:r w:rsidRPr="00405F18">
        <w:rPr>
          <w:rFonts w:ascii="Times New Roman" w:hAnsi="Times New Roman" w:cs="Times New Roman"/>
          <w:sz w:val="24"/>
          <w:szCs w:val="24"/>
          <w:lang w:val="en-US"/>
        </w:rPr>
        <w:t xml:space="preserve">Catherine </w:t>
      </w:r>
      <w:proofErr w:type="spellStart"/>
      <w:r w:rsidRPr="00405F18">
        <w:rPr>
          <w:rFonts w:ascii="Times New Roman" w:hAnsi="Times New Roman" w:cs="Times New Roman"/>
          <w:sz w:val="24"/>
          <w:szCs w:val="24"/>
          <w:lang w:val="en-US"/>
        </w:rPr>
        <w:t>Demazy</w:t>
      </w:r>
      <w:proofErr w:type="spellEnd"/>
      <w:r w:rsidR="00510397" w:rsidRPr="00405F18">
        <w:rPr>
          <w:rFonts w:ascii="Times New Roman" w:hAnsi="Times New Roman" w:cs="Times New Roman"/>
          <w:sz w:val="24"/>
          <w:szCs w:val="24"/>
          <w:lang w:val="en-US"/>
        </w:rPr>
        <w:t xml:space="preserve"> and Florentine Gilis</w:t>
      </w:r>
      <w:r w:rsidRPr="00405F18">
        <w:rPr>
          <w:rFonts w:ascii="Times New Roman" w:hAnsi="Times New Roman" w:cs="Times New Roman"/>
          <w:sz w:val="24"/>
          <w:szCs w:val="24"/>
          <w:lang w:val="en-US"/>
        </w:rPr>
        <w:t xml:space="preserve"> for technical support. </w:t>
      </w:r>
    </w:p>
    <w:p w14:paraId="05340640" w14:textId="77777777" w:rsidR="009B0E32" w:rsidRPr="00405F18" w:rsidRDefault="009B0E32" w:rsidP="00270044">
      <w:pPr>
        <w:spacing w:line="480" w:lineRule="auto"/>
        <w:jc w:val="both"/>
        <w:rPr>
          <w:rFonts w:ascii="Times New Roman" w:hAnsi="Times New Roman" w:cs="Times New Roman"/>
          <w:sz w:val="24"/>
          <w:szCs w:val="24"/>
          <w:lang w:val="en-US"/>
        </w:rPr>
      </w:pPr>
      <w:r w:rsidRPr="00405F18">
        <w:rPr>
          <w:rFonts w:ascii="Times New Roman" w:hAnsi="Times New Roman" w:cs="Times New Roman"/>
          <w:b/>
          <w:bCs/>
          <w:sz w:val="24"/>
          <w:szCs w:val="24"/>
          <w:lang w:val="en-US"/>
        </w:rPr>
        <w:t xml:space="preserve">Funding: </w:t>
      </w:r>
      <w:r w:rsidRPr="00405F18">
        <w:rPr>
          <w:rFonts w:ascii="Times New Roman" w:hAnsi="Times New Roman" w:cs="Times New Roman"/>
          <w:sz w:val="24"/>
          <w:szCs w:val="24"/>
          <w:lang w:val="en-US"/>
        </w:rPr>
        <w:t>Louise Pierre is a Research Fellow (2020-2024) of FSR (“</w:t>
      </w:r>
      <w:r w:rsidRPr="00405F18">
        <w:rPr>
          <w:rFonts w:ascii="Times New Roman" w:hAnsi="Times New Roman" w:cs="Times New Roman"/>
          <w:i/>
          <w:iCs/>
          <w:sz w:val="24"/>
          <w:szCs w:val="24"/>
          <w:lang w:val="en-US"/>
        </w:rPr>
        <w:t>Fond Special de Recherche</w:t>
      </w:r>
      <w:r w:rsidRPr="00405F18">
        <w:rPr>
          <w:rFonts w:ascii="Times New Roman" w:hAnsi="Times New Roman" w:cs="Times New Roman"/>
          <w:sz w:val="24"/>
          <w:szCs w:val="24"/>
          <w:lang w:val="en-US"/>
        </w:rPr>
        <w:t xml:space="preserve">”, University of Namur and Mons, Belgium). This work was supported by grants from the </w:t>
      </w:r>
      <w:proofErr w:type="spellStart"/>
      <w:r w:rsidRPr="00405F18">
        <w:rPr>
          <w:rFonts w:ascii="Times New Roman" w:hAnsi="Times New Roman" w:cs="Times New Roman"/>
          <w:sz w:val="24"/>
          <w:szCs w:val="24"/>
          <w:lang w:val="en-US"/>
        </w:rPr>
        <w:t>UMons</w:t>
      </w:r>
      <w:proofErr w:type="spellEnd"/>
      <w:r w:rsidRPr="00405F18">
        <w:rPr>
          <w:rFonts w:ascii="Times New Roman" w:hAnsi="Times New Roman" w:cs="Times New Roman"/>
          <w:sz w:val="24"/>
          <w:szCs w:val="24"/>
          <w:lang w:val="en-US"/>
        </w:rPr>
        <w:t xml:space="preserve"> Research Institute for Health Sciences and Technology (Belgium), the Namur Research Institute for Life Sciences (Belgium), the Foundation Raoul </w:t>
      </w:r>
      <w:proofErr w:type="spellStart"/>
      <w:r w:rsidRPr="00405F18">
        <w:rPr>
          <w:rFonts w:ascii="Times New Roman" w:hAnsi="Times New Roman" w:cs="Times New Roman"/>
          <w:sz w:val="24"/>
          <w:szCs w:val="24"/>
          <w:lang w:val="en-US"/>
        </w:rPr>
        <w:t>Warocqué</w:t>
      </w:r>
      <w:proofErr w:type="spellEnd"/>
      <w:r w:rsidRPr="00405F18">
        <w:rPr>
          <w:rFonts w:ascii="Times New Roman" w:hAnsi="Times New Roman" w:cs="Times New Roman"/>
          <w:sz w:val="24"/>
          <w:szCs w:val="24"/>
          <w:lang w:val="en-US"/>
        </w:rPr>
        <w:t xml:space="preserve"> (Belgium), the Francophone Diabetes Society (France) and the Fonds de la Recherche </w:t>
      </w:r>
      <w:proofErr w:type="spellStart"/>
      <w:r w:rsidRPr="00405F18">
        <w:rPr>
          <w:rFonts w:ascii="Times New Roman" w:hAnsi="Times New Roman" w:cs="Times New Roman"/>
          <w:sz w:val="24"/>
          <w:szCs w:val="24"/>
          <w:lang w:val="en-US"/>
        </w:rPr>
        <w:t>Scientifique</w:t>
      </w:r>
      <w:proofErr w:type="spellEnd"/>
      <w:r w:rsidRPr="00405F18">
        <w:rPr>
          <w:rFonts w:ascii="Times New Roman" w:hAnsi="Times New Roman" w:cs="Times New Roman"/>
          <w:sz w:val="24"/>
          <w:szCs w:val="24"/>
          <w:lang w:val="en-US"/>
        </w:rPr>
        <w:t xml:space="preserve"> (FNRS, C60/5-CDR/PGY) (Belgium).</w:t>
      </w:r>
    </w:p>
    <w:p w14:paraId="2A6903A6" w14:textId="26F7A199" w:rsidR="009B0E32" w:rsidRPr="00405F18" w:rsidRDefault="009B0E32" w:rsidP="00270044">
      <w:pPr>
        <w:spacing w:line="480" w:lineRule="auto"/>
        <w:jc w:val="both"/>
        <w:rPr>
          <w:rFonts w:ascii="Times New Roman" w:hAnsi="Times New Roman" w:cs="Times New Roman"/>
          <w:sz w:val="24"/>
          <w:szCs w:val="24"/>
          <w:lang w:val="en-US"/>
        </w:rPr>
      </w:pPr>
      <w:r w:rsidRPr="00405F18">
        <w:rPr>
          <w:rFonts w:ascii="Times New Roman" w:hAnsi="Times New Roman" w:cs="Times New Roman"/>
          <w:b/>
          <w:bCs/>
          <w:sz w:val="24"/>
          <w:szCs w:val="24"/>
          <w:lang w:val="en-US"/>
        </w:rPr>
        <w:t>Disclosure statement:</w:t>
      </w:r>
      <w:r w:rsidRPr="00405F18">
        <w:rPr>
          <w:rFonts w:ascii="Times New Roman" w:hAnsi="Times New Roman" w:cs="Times New Roman"/>
          <w:sz w:val="24"/>
          <w:szCs w:val="24"/>
          <w:lang w:val="en-US"/>
        </w:rPr>
        <w:t xml:space="preserve"> Authors declare no conflict of interest.</w:t>
      </w:r>
    </w:p>
    <w:p w14:paraId="0DFEBCCF" w14:textId="77777777" w:rsidR="006A7D56" w:rsidRPr="00405F18" w:rsidRDefault="006A7D56" w:rsidP="00270044">
      <w:pPr>
        <w:spacing w:line="480" w:lineRule="auto"/>
        <w:jc w:val="both"/>
        <w:rPr>
          <w:rFonts w:ascii="Times New Roman" w:hAnsi="Times New Roman" w:cs="Times New Roman"/>
          <w:b/>
          <w:bCs/>
          <w:sz w:val="24"/>
          <w:szCs w:val="24"/>
          <w:lang w:val="en-US"/>
        </w:rPr>
      </w:pPr>
      <w:r w:rsidRPr="00405F18">
        <w:rPr>
          <w:rFonts w:ascii="Times New Roman" w:hAnsi="Times New Roman" w:cs="Times New Roman"/>
          <w:b/>
          <w:bCs/>
          <w:sz w:val="24"/>
          <w:szCs w:val="24"/>
          <w:lang w:val="en-US"/>
        </w:rPr>
        <w:br w:type="page"/>
      </w:r>
    </w:p>
    <w:p w14:paraId="23550DED" w14:textId="21B3E902" w:rsidR="00023A65" w:rsidRPr="00405F18" w:rsidRDefault="00023A65" w:rsidP="00270044">
      <w:pPr>
        <w:spacing w:line="480" w:lineRule="auto"/>
        <w:jc w:val="both"/>
        <w:rPr>
          <w:rFonts w:ascii="Times New Roman" w:hAnsi="Times New Roman" w:cs="Times New Roman"/>
          <w:b/>
          <w:bCs/>
          <w:sz w:val="24"/>
          <w:szCs w:val="24"/>
          <w:lang w:val="en-US"/>
        </w:rPr>
      </w:pPr>
      <w:r w:rsidRPr="00405F18">
        <w:rPr>
          <w:rFonts w:ascii="Times New Roman" w:hAnsi="Times New Roman" w:cs="Times New Roman"/>
          <w:b/>
          <w:bCs/>
          <w:sz w:val="24"/>
          <w:szCs w:val="24"/>
          <w:lang w:val="en-US"/>
        </w:rPr>
        <w:lastRenderedPageBreak/>
        <w:t>References</w:t>
      </w:r>
    </w:p>
    <w:p w14:paraId="7AC3B79B" w14:textId="0497E3D9" w:rsidR="00A6771D" w:rsidRPr="00FD42AC" w:rsidRDefault="00023A65"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405F18">
        <w:rPr>
          <w:rFonts w:ascii="Times New Roman" w:hAnsi="Times New Roman" w:cs="Times New Roman"/>
          <w:sz w:val="24"/>
          <w:szCs w:val="24"/>
          <w:lang w:val="en-US"/>
        </w:rPr>
        <w:fldChar w:fldCharType="begin" w:fldLock="1"/>
      </w:r>
      <w:r w:rsidRPr="00405F18">
        <w:rPr>
          <w:rFonts w:ascii="Times New Roman" w:hAnsi="Times New Roman" w:cs="Times New Roman"/>
          <w:sz w:val="24"/>
          <w:szCs w:val="24"/>
          <w:lang w:val="en-US"/>
        </w:rPr>
        <w:instrText xml:space="preserve">ADDIN Mendeley Bibliography CSL_BIBLIOGRAPHY </w:instrText>
      </w:r>
      <w:r w:rsidRPr="00405F18">
        <w:rPr>
          <w:rFonts w:ascii="Times New Roman" w:hAnsi="Times New Roman" w:cs="Times New Roman"/>
          <w:sz w:val="24"/>
          <w:szCs w:val="24"/>
          <w:lang w:val="en-US"/>
        </w:rPr>
        <w:fldChar w:fldCharType="separate"/>
      </w:r>
      <w:r w:rsidR="00A6771D" w:rsidRPr="00FD42AC">
        <w:rPr>
          <w:rFonts w:ascii="Times New Roman" w:hAnsi="Times New Roman" w:cs="Times New Roman"/>
          <w:noProof/>
          <w:sz w:val="24"/>
          <w:lang w:val="en-US"/>
        </w:rPr>
        <w:t xml:space="preserve">1. </w:t>
      </w:r>
      <w:r w:rsidR="00A6771D" w:rsidRPr="00FD42AC">
        <w:rPr>
          <w:rFonts w:ascii="Times New Roman" w:hAnsi="Times New Roman" w:cs="Times New Roman"/>
          <w:noProof/>
          <w:sz w:val="24"/>
          <w:lang w:val="en-US"/>
        </w:rPr>
        <w:tab/>
        <w:t xml:space="preserve">Bhargava P, Schnellmann RG. Mitochondrial energetics in the kidney. </w:t>
      </w:r>
      <w:r w:rsidR="00A6771D" w:rsidRPr="00FD42AC">
        <w:rPr>
          <w:rFonts w:ascii="Times New Roman" w:hAnsi="Times New Roman" w:cs="Times New Roman"/>
          <w:i/>
          <w:iCs/>
          <w:noProof/>
          <w:sz w:val="24"/>
          <w:lang w:val="en-US"/>
        </w:rPr>
        <w:t>Nat Rev Nephrol</w:t>
      </w:r>
      <w:r w:rsidR="00A6771D" w:rsidRPr="00FD42AC">
        <w:rPr>
          <w:rFonts w:ascii="Times New Roman" w:hAnsi="Times New Roman" w:cs="Times New Roman"/>
          <w:noProof/>
          <w:sz w:val="24"/>
          <w:lang w:val="en-US"/>
        </w:rPr>
        <w:t>. 2017;13(10):629-646. doi:10.1038/nrneph.2017.107</w:t>
      </w:r>
    </w:p>
    <w:p w14:paraId="4167A5B4"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2. </w:t>
      </w:r>
      <w:r w:rsidRPr="00FD42AC">
        <w:rPr>
          <w:rFonts w:ascii="Times New Roman" w:hAnsi="Times New Roman" w:cs="Times New Roman"/>
          <w:noProof/>
          <w:sz w:val="24"/>
          <w:lang w:val="en-US"/>
        </w:rPr>
        <w:tab/>
        <w:t xml:space="preserve">Thomas M, Schreiner G. Contribution of proteinuria to progressive renal injury: consequences of tubular uptake of fatty acid bearing albumin. </w:t>
      </w:r>
      <w:r w:rsidRPr="00FD42AC">
        <w:rPr>
          <w:rFonts w:ascii="Times New Roman" w:hAnsi="Times New Roman" w:cs="Times New Roman"/>
          <w:i/>
          <w:iCs/>
          <w:noProof/>
          <w:sz w:val="24"/>
          <w:lang w:val="en-US"/>
        </w:rPr>
        <w:t>AM J Nephrol</w:t>
      </w:r>
      <w:r w:rsidRPr="00FD42AC">
        <w:rPr>
          <w:rFonts w:ascii="Times New Roman" w:hAnsi="Times New Roman" w:cs="Times New Roman"/>
          <w:noProof/>
          <w:sz w:val="24"/>
          <w:lang w:val="en-US"/>
        </w:rPr>
        <w:t>. Published online 1993.</w:t>
      </w:r>
    </w:p>
    <w:p w14:paraId="404CAF8D"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3. </w:t>
      </w:r>
      <w:r w:rsidRPr="00FD42AC">
        <w:rPr>
          <w:rFonts w:ascii="Times New Roman" w:hAnsi="Times New Roman" w:cs="Times New Roman"/>
          <w:noProof/>
          <w:sz w:val="24"/>
          <w:lang w:val="en-US"/>
        </w:rPr>
        <w:tab/>
        <w:t xml:space="preserve">Khan S, Cabral PD, Schilling WP, et al. Kidney proximal tubule lipoapoptosis is regulated by fatty acid transporter-2 (FATP2). </w:t>
      </w:r>
      <w:r w:rsidRPr="00FD42AC">
        <w:rPr>
          <w:rFonts w:ascii="Times New Roman" w:hAnsi="Times New Roman" w:cs="Times New Roman"/>
          <w:i/>
          <w:iCs/>
          <w:noProof/>
          <w:sz w:val="24"/>
          <w:lang w:val="en-US"/>
        </w:rPr>
        <w:t>J Am Soc Nephrol</w:t>
      </w:r>
      <w:r w:rsidRPr="00FD42AC">
        <w:rPr>
          <w:rFonts w:ascii="Times New Roman" w:hAnsi="Times New Roman" w:cs="Times New Roman"/>
          <w:noProof/>
          <w:sz w:val="24"/>
          <w:lang w:val="en-US"/>
        </w:rPr>
        <w:t>. 2018;29(1):81-91. doi:10.1681/ASN.2017030314</w:t>
      </w:r>
    </w:p>
    <w:p w14:paraId="58F780CC"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4. </w:t>
      </w:r>
      <w:r w:rsidRPr="00FD42AC">
        <w:rPr>
          <w:rFonts w:ascii="Times New Roman" w:hAnsi="Times New Roman" w:cs="Times New Roman"/>
          <w:noProof/>
          <w:sz w:val="24"/>
          <w:lang w:val="en-US"/>
        </w:rPr>
        <w:tab/>
        <w:t xml:space="preserve">Yang X, Okamura DM, Lu X, et al. Cd36 in chronic kidney disease: Novel insights and therapeutic opportunities. </w:t>
      </w:r>
      <w:r w:rsidRPr="00FD42AC">
        <w:rPr>
          <w:rFonts w:ascii="Times New Roman" w:hAnsi="Times New Roman" w:cs="Times New Roman"/>
          <w:i/>
          <w:iCs/>
          <w:noProof/>
          <w:sz w:val="24"/>
          <w:lang w:val="en-US"/>
        </w:rPr>
        <w:t>Nat Rev Nephrol</w:t>
      </w:r>
      <w:r w:rsidRPr="00FD42AC">
        <w:rPr>
          <w:rFonts w:ascii="Times New Roman" w:hAnsi="Times New Roman" w:cs="Times New Roman"/>
          <w:noProof/>
          <w:sz w:val="24"/>
          <w:lang w:val="en-US"/>
        </w:rPr>
        <w:t>. 2017;13(12):769-781. doi:10.1038/nrneph.2017.126</w:t>
      </w:r>
    </w:p>
    <w:p w14:paraId="2A150460"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5. </w:t>
      </w:r>
      <w:r w:rsidRPr="00FD42AC">
        <w:rPr>
          <w:rFonts w:ascii="Times New Roman" w:hAnsi="Times New Roman" w:cs="Times New Roman"/>
          <w:noProof/>
          <w:sz w:val="24"/>
          <w:lang w:val="en-US"/>
        </w:rPr>
        <w:tab/>
        <w:t xml:space="preserve">Zeni L, Norden AGW, Cancarini G, Unwin RJ. A more tubulocentric view of diabetic kidney disease. </w:t>
      </w:r>
      <w:r w:rsidRPr="00FD42AC">
        <w:rPr>
          <w:rFonts w:ascii="Times New Roman" w:hAnsi="Times New Roman" w:cs="Times New Roman"/>
          <w:i/>
          <w:iCs/>
          <w:noProof/>
          <w:sz w:val="24"/>
          <w:lang w:val="en-US"/>
        </w:rPr>
        <w:t>J Nephrol</w:t>
      </w:r>
      <w:r w:rsidRPr="00FD42AC">
        <w:rPr>
          <w:rFonts w:ascii="Times New Roman" w:hAnsi="Times New Roman" w:cs="Times New Roman"/>
          <w:noProof/>
          <w:sz w:val="24"/>
          <w:lang w:val="en-US"/>
        </w:rPr>
        <w:t>. 2017;30(6):701-717. doi:10.1007/s40620-017-0423-9</w:t>
      </w:r>
    </w:p>
    <w:p w14:paraId="0355B0CB"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6. </w:t>
      </w:r>
      <w:r w:rsidRPr="00FD42AC">
        <w:rPr>
          <w:rFonts w:ascii="Times New Roman" w:hAnsi="Times New Roman" w:cs="Times New Roman"/>
          <w:noProof/>
          <w:sz w:val="24"/>
          <w:lang w:val="en-US"/>
        </w:rPr>
        <w:tab/>
        <w:t xml:space="preserve">Thrailkill KM, Nimmo T, Bunn RC, et al. Microalbuminuria in type 1 diabetes is associated with enhanced excretion of the endocytic multiligand receptors megalin and cubilin. </w:t>
      </w:r>
      <w:r w:rsidRPr="00FD42AC">
        <w:rPr>
          <w:rFonts w:ascii="Times New Roman" w:hAnsi="Times New Roman" w:cs="Times New Roman"/>
          <w:i/>
          <w:iCs/>
          <w:noProof/>
          <w:sz w:val="24"/>
          <w:lang w:val="en-US"/>
        </w:rPr>
        <w:t>Diabetes Care</w:t>
      </w:r>
      <w:r w:rsidRPr="00FD42AC">
        <w:rPr>
          <w:rFonts w:ascii="Times New Roman" w:hAnsi="Times New Roman" w:cs="Times New Roman"/>
          <w:noProof/>
          <w:sz w:val="24"/>
          <w:lang w:val="en-US"/>
        </w:rPr>
        <w:t>. 2009;32(7):1266-1268. doi:10.2337/dc09-0112</w:t>
      </w:r>
    </w:p>
    <w:p w14:paraId="096C0E07"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7. </w:t>
      </w:r>
      <w:r w:rsidRPr="00FD42AC">
        <w:rPr>
          <w:rFonts w:ascii="Times New Roman" w:hAnsi="Times New Roman" w:cs="Times New Roman"/>
          <w:noProof/>
          <w:sz w:val="24"/>
          <w:lang w:val="en-US"/>
        </w:rPr>
        <w:tab/>
        <w:t xml:space="preserve">Tojo A, Onozato M, Ha H, et al. Reduced albumin reabsorption in the proximal tubule of early-stage diabetic rats. </w:t>
      </w:r>
      <w:r w:rsidRPr="00FD42AC">
        <w:rPr>
          <w:rFonts w:ascii="Times New Roman" w:hAnsi="Times New Roman" w:cs="Times New Roman"/>
          <w:i/>
          <w:iCs/>
          <w:noProof/>
          <w:sz w:val="24"/>
          <w:lang w:val="en-US"/>
        </w:rPr>
        <w:t>Histochem Cell Biol</w:t>
      </w:r>
      <w:r w:rsidRPr="00FD42AC">
        <w:rPr>
          <w:rFonts w:ascii="Times New Roman" w:hAnsi="Times New Roman" w:cs="Times New Roman"/>
          <w:noProof/>
          <w:sz w:val="24"/>
          <w:lang w:val="en-US"/>
        </w:rPr>
        <w:t>. 2001;116(3):269-276. doi:10.1007/s004180100317</w:t>
      </w:r>
    </w:p>
    <w:p w14:paraId="1162D174"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8. </w:t>
      </w:r>
      <w:r w:rsidRPr="00FD42AC">
        <w:rPr>
          <w:rFonts w:ascii="Times New Roman" w:hAnsi="Times New Roman" w:cs="Times New Roman"/>
          <w:noProof/>
          <w:sz w:val="24"/>
          <w:lang w:val="en-US"/>
        </w:rPr>
        <w:tab/>
        <w:t xml:space="preserve">Garofalo C, Borrelli S, Minutolo R, Chiodini P, De Nicola L, Conte G. A systematic review and meta-analysis suggests obesity predicts onset of chronic kidney disease in the general population. </w:t>
      </w:r>
      <w:r w:rsidRPr="00FD42AC">
        <w:rPr>
          <w:rFonts w:ascii="Times New Roman" w:hAnsi="Times New Roman" w:cs="Times New Roman"/>
          <w:i/>
          <w:iCs/>
          <w:noProof/>
          <w:sz w:val="24"/>
          <w:lang w:val="en-US"/>
        </w:rPr>
        <w:t>Kidney Int</w:t>
      </w:r>
      <w:r w:rsidRPr="00FD42AC">
        <w:rPr>
          <w:rFonts w:ascii="Times New Roman" w:hAnsi="Times New Roman" w:cs="Times New Roman"/>
          <w:noProof/>
          <w:sz w:val="24"/>
          <w:lang w:val="en-US"/>
        </w:rPr>
        <w:t xml:space="preserve">. 2017;91(5):1224-1235. </w:t>
      </w:r>
      <w:r w:rsidRPr="00FD42AC">
        <w:rPr>
          <w:rFonts w:ascii="Times New Roman" w:hAnsi="Times New Roman" w:cs="Times New Roman"/>
          <w:noProof/>
          <w:sz w:val="24"/>
          <w:lang w:val="en-US"/>
        </w:rPr>
        <w:lastRenderedPageBreak/>
        <w:t>doi:10.1016/j.kint.2016.12.013</w:t>
      </w:r>
    </w:p>
    <w:p w14:paraId="1709F761"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FD42AC">
        <w:rPr>
          <w:rFonts w:ascii="Times New Roman" w:hAnsi="Times New Roman" w:cs="Times New Roman"/>
          <w:noProof/>
          <w:sz w:val="24"/>
          <w:lang w:val="en-US"/>
        </w:rPr>
        <w:t xml:space="preserve">9. </w:t>
      </w:r>
      <w:r w:rsidRPr="00FD42AC">
        <w:rPr>
          <w:rFonts w:ascii="Times New Roman" w:hAnsi="Times New Roman" w:cs="Times New Roman"/>
          <w:noProof/>
          <w:sz w:val="24"/>
          <w:lang w:val="en-US"/>
        </w:rPr>
        <w:tab/>
        <w:t xml:space="preserve">Kang HM, Ahn SH, Choi P, et al. Defective fatty acid oxidation in renal tubular epithelial cells has a key role in kidney fibrosis development. </w:t>
      </w:r>
      <w:r w:rsidRPr="00A6771D">
        <w:rPr>
          <w:rFonts w:ascii="Times New Roman" w:hAnsi="Times New Roman" w:cs="Times New Roman"/>
          <w:i/>
          <w:iCs/>
          <w:noProof/>
          <w:sz w:val="24"/>
        </w:rPr>
        <w:t>Nat Med</w:t>
      </w:r>
      <w:r w:rsidRPr="00A6771D">
        <w:rPr>
          <w:rFonts w:ascii="Times New Roman" w:hAnsi="Times New Roman" w:cs="Times New Roman"/>
          <w:noProof/>
          <w:sz w:val="24"/>
        </w:rPr>
        <w:t>. 2015;21(1):37-46. doi:10.1038/nm.3762</w:t>
      </w:r>
    </w:p>
    <w:p w14:paraId="74640C77"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10. </w:t>
      </w:r>
      <w:r w:rsidRPr="00A6771D">
        <w:rPr>
          <w:rFonts w:ascii="Times New Roman" w:hAnsi="Times New Roman" w:cs="Times New Roman"/>
          <w:noProof/>
          <w:sz w:val="24"/>
        </w:rPr>
        <w:tab/>
        <w:t xml:space="preserve">Kume S, Uzu T, Araki SI, et al. </w:t>
      </w:r>
      <w:r w:rsidRPr="00FD42AC">
        <w:rPr>
          <w:rFonts w:ascii="Times New Roman" w:hAnsi="Times New Roman" w:cs="Times New Roman"/>
          <w:noProof/>
          <w:sz w:val="24"/>
          <w:lang w:val="en-US"/>
        </w:rPr>
        <w:t xml:space="preserve">Role of altered renal lipid metabolism in the development of renal injury induced by a high-fat diet. </w:t>
      </w:r>
      <w:r w:rsidRPr="00FD42AC">
        <w:rPr>
          <w:rFonts w:ascii="Times New Roman" w:hAnsi="Times New Roman" w:cs="Times New Roman"/>
          <w:i/>
          <w:iCs/>
          <w:noProof/>
          <w:sz w:val="24"/>
          <w:lang w:val="en-US"/>
        </w:rPr>
        <w:t>J Am Soc Nephrol</w:t>
      </w:r>
      <w:r w:rsidRPr="00FD42AC">
        <w:rPr>
          <w:rFonts w:ascii="Times New Roman" w:hAnsi="Times New Roman" w:cs="Times New Roman"/>
          <w:noProof/>
          <w:sz w:val="24"/>
          <w:lang w:val="en-US"/>
        </w:rPr>
        <w:t>. 2007;18(10):2715-2723. doi:10.1681/ASN.2007010089</w:t>
      </w:r>
    </w:p>
    <w:p w14:paraId="3D3F3554"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11. </w:t>
      </w:r>
      <w:r w:rsidRPr="00FD42AC">
        <w:rPr>
          <w:rFonts w:ascii="Times New Roman" w:hAnsi="Times New Roman" w:cs="Times New Roman"/>
          <w:noProof/>
          <w:sz w:val="24"/>
          <w:lang w:val="en-US"/>
        </w:rPr>
        <w:tab/>
        <w:t xml:space="preserve">Declèves AE, Mathew A V., Armando AM, et al. AMP-activated protein kinase activation ameliorates eicosanoid dysregulation in high-fat-induced kidney disease in mice. </w:t>
      </w:r>
      <w:r w:rsidRPr="00FD42AC">
        <w:rPr>
          <w:rFonts w:ascii="Times New Roman" w:hAnsi="Times New Roman" w:cs="Times New Roman"/>
          <w:i/>
          <w:iCs/>
          <w:noProof/>
          <w:sz w:val="24"/>
          <w:lang w:val="en-US"/>
        </w:rPr>
        <w:t>J Lipid Res</w:t>
      </w:r>
      <w:r w:rsidRPr="00FD42AC">
        <w:rPr>
          <w:rFonts w:ascii="Times New Roman" w:hAnsi="Times New Roman" w:cs="Times New Roman"/>
          <w:noProof/>
          <w:sz w:val="24"/>
          <w:lang w:val="en-US"/>
        </w:rPr>
        <w:t>. 2019;60(5):937-952. doi:10.1194/jlr.M088690</w:t>
      </w:r>
    </w:p>
    <w:p w14:paraId="3CEDBA59"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12. </w:t>
      </w:r>
      <w:r w:rsidRPr="00FD42AC">
        <w:rPr>
          <w:rFonts w:ascii="Times New Roman" w:hAnsi="Times New Roman" w:cs="Times New Roman"/>
          <w:noProof/>
          <w:sz w:val="24"/>
          <w:lang w:val="en-US"/>
        </w:rPr>
        <w:tab/>
        <w:t>Yamamoto T, Takabatake Y, Takahashi A, Kimura T. High-Fat Diet-Induced Lysosomal Dysfunction and Impaired Autophagic Flux Contribute to Lipotoxicity in the Kidney. Published online 2016:1-18. doi:10.1681/ASN.2016070731</w:t>
      </w:r>
    </w:p>
    <w:p w14:paraId="0712B237"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13. </w:t>
      </w:r>
      <w:r w:rsidRPr="00FD42AC">
        <w:rPr>
          <w:rFonts w:ascii="Times New Roman" w:hAnsi="Times New Roman" w:cs="Times New Roman"/>
          <w:noProof/>
          <w:sz w:val="24"/>
          <w:lang w:val="en-US"/>
        </w:rPr>
        <w:tab/>
        <w:t xml:space="preserve">Declèves AE, Zolkipli Z, Satriano J, et al. Regulation of lipid accumulation by AMK-Activated kinase in high fat diet-induced kidney injury. </w:t>
      </w:r>
      <w:r w:rsidRPr="00FD42AC">
        <w:rPr>
          <w:rFonts w:ascii="Times New Roman" w:hAnsi="Times New Roman" w:cs="Times New Roman"/>
          <w:i/>
          <w:iCs/>
          <w:noProof/>
          <w:sz w:val="24"/>
          <w:lang w:val="en-US"/>
        </w:rPr>
        <w:t>Kidney Int</w:t>
      </w:r>
      <w:r w:rsidRPr="00FD42AC">
        <w:rPr>
          <w:rFonts w:ascii="Times New Roman" w:hAnsi="Times New Roman" w:cs="Times New Roman"/>
          <w:noProof/>
          <w:sz w:val="24"/>
          <w:lang w:val="en-US"/>
        </w:rPr>
        <w:t>. 2014;85(3):611-623. doi:10.1038/ki.2013.462</w:t>
      </w:r>
    </w:p>
    <w:p w14:paraId="734B9F33"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14. </w:t>
      </w:r>
      <w:r w:rsidRPr="00FD42AC">
        <w:rPr>
          <w:rFonts w:ascii="Times New Roman" w:hAnsi="Times New Roman" w:cs="Times New Roman"/>
          <w:noProof/>
          <w:sz w:val="24"/>
          <w:lang w:val="en-US"/>
        </w:rPr>
        <w:tab/>
        <w:t xml:space="preserve">Juszczak F, Vlassembrouck M, Botton O, et al. Delayed exercise training improves obesity-induced chronic kidney disease by activating ampk pathway in high-fat diet-fed mice. </w:t>
      </w:r>
      <w:r w:rsidRPr="00FD42AC">
        <w:rPr>
          <w:rFonts w:ascii="Times New Roman" w:hAnsi="Times New Roman" w:cs="Times New Roman"/>
          <w:i/>
          <w:iCs/>
          <w:noProof/>
          <w:sz w:val="24"/>
          <w:lang w:val="en-US"/>
        </w:rPr>
        <w:t>Int J Mol Sci</w:t>
      </w:r>
      <w:r w:rsidRPr="00FD42AC">
        <w:rPr>
          <w:rFonts w:ascii="Times New Roman" w:hAnsi="Times New Roman" w:cs="Times New Roman"/>
          <w:noProof/>
          <w:sz w:val="24"/>
          <w:lang w:val="en-US"/>
        </w:rPr>
        <w:t>. 2021;22(1):1-20. doi:10.3390/ijms22010350</w:t>
      </w:r>
    </w:p>
    <w:p w14:paraId="372762B6"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15. </w:t>
      </w:r>
      <w:r w:rsidRPr="00FD42AC">
        <w:rPr>
          <w:rFonts w:ascii="Times New Roman" w:hAnsi="Times New Roman" w:cs="Times New Roman"/>
          <w:noProof/>
          <w:sz w:val="24"/>
          <w:lang w:val="en-US"/>
        </w:rPr>
        <w:tab/>
        <w:t xml:space="preserve">Declèves AE, Mathew A V., Cunard R, Sharma K. AMPK mediates the initiation of kidney disease induced by a high-fat diet. </w:t>
      </w:r>
      <w:r w:rsidRPr="00FD42AC">
        <w:rPr>
          <w:rFonts w:ascii="Times New Roman" w:hAnsi="Times New Roman" w:cs="Times New Roman"/>
          <w:i/>
          <w:iCs/>
          <w:noProof/>
          <w:sz w:val="24"/>
          <w:lang w:val="en-US"/>
        </w:rPr>
        <w:t>J Am Soc Nephrol</w:t>
      </w:r>
      <w:r w:rsidRPr="00FD42AC">
        <w:rPr>
          <w:rFonts w:ascii="Times New Roman" w:hAnsi="Times New Roman" w:cs="Times New Roman"/>
          <w:noProof/>
          <w:sz w:val="24"/>
          <w:lang w:val="en-US"/>
        </w:rPr>
        <w:t>. 2011;22(10):1846-1855. doi:10.1681/ASN.2011010026</w:t>
      </w:r>
    </w:p>
    <w:p w14:paraId="7D02AB44"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FD42AC">
        <w:rPr>
          <w:rFonts w:ascii="Times New Roman" w:hAnsi="Times New Roman" w:cs="Times New Roman"/>
          <w:noProof/>
          <w:sz w:val="24"/>
          <w:lang w:val="en-US"/>
        </w:rPr>
        <w:t xml:space="preserve">16. </w:t>
      </w:r>
      <w:r w:rsidRPr="00FD42AC">
        <w:rPr>
          <w:rFonts w:ascii="Times New Roman" w:hAnsi="Times New Roman" w:cs="Times New Roman"/>
          <w:noProof/>
          <w:sz w:val="24"/>
          <w:lang w:val="en-US"/>
        </w:rPr>
        <w:tab/>
        <w:t xml:space="preserve">Dugan LL, You YH, Ali SS, et al. AMPK dysregulation promotes diabetes-related </w:t>
      </w:r>
      <w:r w:rsidRPr="00FD42AC">
        <w:rPr>
          <w:rFonts w:ascii="Times New Roman" w:hAnsi="Times New Roman" w:cs="Times New Roman"/>
          <w:noProof/>
          <w:sz w:val="24"/>
          <w:lang w:val="en-US"/>
        </w:rPr>
        <w:lastRenderedPageBreak/>
        <w:t xml:space="preserve">reduction of superoxide and mitochondrial function. </w:t>
      </w:r>
      <w:r w:rsidRPr="00A6771D">
        <w:rPr>
          <w:rFonts w:ascii="Times New Roman" w:hAnsi="Times New Roman" w:cs="Times New Roman"/>
          <w:i/>
          <w:iCs/>
          <w:noProof/>
          <w:sz w:val="24"/>
        </w:rPr>
        <w:t>J Clin Invest</w:t>
      </w:r>
      <w:r w:rsidRPr="00A6771D">
        <w:rPr>
          <w:rFonts w:ascii="Times New Roman" w:hAnsi="Times New Roman" w:cs="Times New Roman"/>
          <w:noProof/>
          <w:sz w:val="24"/>
        </w:rPr>
        <w:t>. 2013;123(11):4888-4899. doi:10.1172/JCI66218</w:t>
      </w:r>
    </w:p>
    <w:p w14:paraId="6A715705"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A6771D">
        <w:rPr>
          <w:rFonts w:ascii="Times New Roman" w:hAnsi="Times New Roman" w:cs="Times New Roman"/>
          <w:noProof/>
          <w:sz w:val="24"/>
        </w:rPr>
        <w:t xml:space="preserve">17. </w:t>
      </w:r>
      <w:r w:rsidRPr="00A6771D">
        <w:rPr>
          <w:rFonts w:ascii="Times New Roman" w:hAnsi="Times New Roman" w:cs="Times New Roman"/>
          <w:noProof/>
          <w:sz w:val="24"/>
        </w:rPr>
        <w:tab/>
        <w:t xml:space="preserve">Li L, Wang C, Yang H, et al. </w:t>
      </w:r>
      <w:r w:rsidRPr="00FD42AC">
        <w:rPr>
          <w:rFonts w:ascii="Times New Roman" w:hAnsi="Times New Roman" w:cs="Times New Roman"/>
          <w:noProof/>
          <w:sz w:val="24"/>
          <w:lang w:val="en-US"/>
        </w:rPr>
        <w:t xml:space="preserve">Metabolomics reveal mitochondrial and fatty acid metabolism disorders that contribute to the development of DKD in T2DM patients. </w:t>
      </w:r>
      <w:r w:rsidRPr="00A6771D">
        <w:rPr>
          <w:rFonts w:ascii="Times New Roman" w:hAnsi="Times New Roman" w:cs="Times New Roman"/>
          <w:i/>
          <w:iCs/>
          <w:noProof/>
          <w:sz w:val="24"/>
        </w:rPr>
        <w:t>Mol Biosyst</w:t>
      </w:r>
      <w:r w:rsidRPr="00A6771D">
        <w:rPr>
          <w:rFonts w:ascii="Times New Roman" w:hAnsi="Times New Roman" w:cs="Times New Roman"/>
          <w:noProof/>
          <w:sz w:val="24"/>
        </w:rPr>
        <w:t>. 2017;13(11):2392-2400. doi:10.1039/c7mb00167c</w:t>
      </w:r>
    </w:p>
    <w:p w14:paraId="19245CD2"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18. </w:t>
      </w:r>
      <w:r w:rsidRPr="00A6771D">
        <w:rPr>
          <w:rFonts w:ascii="Times New Roman" w:hAnsi="Times New Roman" w:cs="Times New Roman"/>
          <w:noProof/>
          <w:sz w:val="24"/>
        </w:rPr>
        <w:tab/>
        <w:t xml:space="preserve">Juszczak F, Pierre L, Decarnoncle M, et al. </w:t>
      </w:r>
      <w:r w:rsidRPr="00FD42AC">
        <w:rPr>
          <w:rFonts w:ascii="Times New Roman" w:hAnsi="Times New Roman" w:cs="Times New Roman"/>
          <w:noProof/>
          <w:sz w:val="24"/>
          <w:lang w:val="en-US"/>
        </w:rPr>
        <w:t xml:space="preserve">Sex differences in obesity-induced renal lipid accumulation revealed by lipidomics: a role of adiponectin/AMPK axis. </w:t>
      </w:r>
      <w:r w:rsidRPr="00FD42AC">
        <w:rPr>
          <w:rFonts w:ascii="Times New Roman" w:hAnsi="Times New Roman" w:cs="Times New Roman"/>
          <w:i/>
          <w:iCs/>
          <w:noProof/>
          <w:sz w:val="24"/>
          <w:lang w:val="en-US"/>
        </w:rPr>
        <w:t>Biol Sex Differ</w:t>
      </w:r>
      <w:r w:rsidRPr="00FD42AC">
        <w:rPr>
          <w:rFonts w:ascii="Times New Roman" w:hAnsi="Times New Roman" w:cs="Times New Roman"/>
          <w:noProof/>
          <w:sz w:val="24"/>
          <w:lang w:val="en-US"/>
        </w:rPr>
        <w:t>. 2023;14(1):1-18. doi:10.1186/s13293-023-00543-6</w:t>
      </w:r>
    </w:p>
    <w:p w14:paraId="23099D63"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19. </w:t>
      </w:r>
      <w:r w:rsidRPr="00FD42AC">
        <w:rPr>
          <w:rFonts w:ascii="Times New Roman" w:hAnsi="Times New Roman" w:cs="Times New Roman"/>
          <w:noProof/>
          <w:sz w:val="24"/>
          <w:lang w:val="en-US"/>
        </w:rPr>
        <w:tab/>
        <w:t xml:space="preserve">Juszczak F, Caron N, Mathew A V., Declèves AE. Critical role for AMPK in metabolic disease-induced chronic kidney disease. </w:t>
      </w:r>
      <w:r w:rsidRPr="00FD42AC">
        <w:rPr>
          <w:rFonts w:ascii="Times New Roman" w:hAnsi="Times New Roman" w:cs="Times New Roman"/>
          <w:i/>
          <w:iCs/>
          <w:noProof/>
          <w:sz w:val="24"/>
          <w:lang w:val="en-US"/>
        </w:rPr>
        <w:t>Int J Mol Sci</w:t>
      </w:r>
      <w:r w:rsidRPr="00FD42AC">
        <w:rPr>
          <w:rFonts w:ascii="Times New Roman" w:hAnsi="Times New Roman" w:cs="Times New Roman"/>
          <w:noProof/>
          <w:sz w:val="24"/>
          <w:lang w:val="en-US"/>
        </w:rPr>
        <w:t>. 2020;21(21):1-23. doi:10.3390/ijms21217994</w:t>
      </w:r>
    </w:p>
    <w:p w14:paraId="42E7A22D"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20. </w:t>
      </w:r>
      <w:r w:rsidRPr="00FD42AC">
        <w:rPr>
          <w:rFonts w:ascii="Times New Roman" w:hAnsi="Times New Roman" w:cs="Times New Roman"/>
          <w:noProof/>
          <w:sz w:val="24"/>
          <w:lang w:val="en-US"/>
        </w:rPr>
        <w:tab/>
        <w:t xml:space="preserve">Mount P, Davies M, Choy SW, Cook N, Power D. Obesity-related chronic kidney disease—The role of lipid metabolism. </w:t>
      </w:r>
      <w:r w:rsidRPr="00FD42AC">
        <w:rPr>
          <w:rFonts w:ascii="Times New Roman" w:hAnsi="Times New Roman" w:cs="Times New Roman"/>
          <w:i/>
          <w:iCs/>
          <w:noProof/>
          <w:sz w:val="24"/>
          <w:lang w:val="en-US"/>
        </w:rPr>
        <w:t>Metabolites</w:t>
      </w:r>
      <w:r w:rsidRPr="00FD42AC">
        <w:rPr>
          <w:rFonts w:ascii="Times New Roman" w:hAnsi="Times New Roman" w:cs="Times New Roman"/>
          <w:noProof/>
          <w:sz w:val="24"/>
          <w:lang w:val="en-US"/>
        </w:rPr>
        <w:t>. 2015;5(4):720-732. doi:10.3390/metabo5040720</w:t>
      </w:r>
    </w:p>
    <w:p w14:paraId="4B456F90"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21. </w:t>
      </w:r>
      <w:r w:rsidRPr="00FD42AC">
        <w:rPr>
          <w:rFonts w:ascii="Times New Roman" w:hAnsi="Times New Roman" w:cs="Times New Roman"/>
          <w:noProof/>
          <w:sz w:val="24"/>
          <w:lang w:val="en-US"/>
        </w:rPr>
        <w:tab/>
        <w:t xml:space="preserve">Tang C, Livingston MJ, Liu Z, Dong Z. Autophagy in kidney homeostasis and disease. </w:t>
      </w:r>
      <w:r w:rsidRPr="00FD42AC">
        <w:rPr>
          <w:rFonts w:ascii="Times New Roman" w:hAnsi="Times New Roman" w:cs="Times New Roman"/>
          <w:i/>
          <w:iCs/>
          <w:noProof/>
          <w:sz w:val="24"/>
          <w:lang w:val="en-US"/>
        </w:rPr>
        <w:t>Nat Rev Nephrol</w:t>
      </w:r>
      <w:r w:rsidRPr="00FD42AC">
        <w:rPr>
          <w:rFonts w:ascii="Times New Roman" w:hAnsi="Times New Roman" w:cs="Times New Roman"/>
          <w:noProof/>
          <w:sz w:val="24"/>
          <w:lang w:val="en-US"/>
        </w:rPr>
        <w:t>. 2020;16(9):489-508. doi:10.1038/s41581-020-0309-2</w:t>
      </w:r>
    </w:p>
    <w:p w14:paraId="41D5D1A3"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22. </w:t>
      </w:r>
      <w:r w:rsidRPr="00FD42AC">
        <w:rPr>
          <w:rFonts w:ascii="Times New Roman" w:hAnsi="Times New Roman" w:cs="Times New Roman"/>
          <w:noProof/>
          <w:sz w:val="24"/>
          <w:lang w:val="en-US"/>
        </w:rPr>
        <w:tab/>
        <w:t xml:space="preserve">Berquez M, Krohn P, Luciani A, Devuyst O. Receptor-mediated endocytosis and differentiation in proximal tubule cell systems. </w:t>
      </w:r>
      <w:r w:rsidRPr="00FD42AC">
        <w:rPr>
          <w:rFonts w:ascii="Times New Roman" w:hAnsi="Times New Roman" w:cs="Times New Roman"/>
          <w:i/>
          <w:iCs/>
          <w:noProof/>
          <w:sz w:val="24"/>
          <w:lang w:val="en-US"/>
        </w:rPr>
        <w:t>J Am Soc Nephrol</w:t>
      </w:r>
      <w:r w:rsidRPr="00FD42AC">
        <w:rPr>
          <w:rFonts w:ascii="Times New Roman" w:hAnsi="Times New Roman" w:cs="Times New Roman"/>
          <w:noProof/>
          <w:sz w:val="24"/>
          <w:lang w:val="en-US"/>
        </w:rPr>
        <w:t>. 2021;32(5):1265-1267. doi:10.1681/ASN.2021020253</w:t>
      </w:r>
    </w:p>
    <w:p w14:paraId="42D82A63"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23. </w:t>
      </w:r>
      <w:r w:rsidRPr="00FD42AC">
        <w:rPr>
          <w:rFonts w:ascii="Times New Roman" w:hAnsi="Times New Roman" w:cs="Times New Roman"/>
          <w:noProof/>
          <w:sz w:val="24"/>
          <w:lang w:val="en-US"/>
        </w:rPr>
        <w:tab/>
        <w:t xml:space="preserve">Park HW, Park H, Semple IA, et al. Pharmacological correction of obesity-induced autophagy arrest using calcium channel blockers. </w:t>
      </w:r>
      <w:r w:rsidRPr="00FD42AC">
        <w:rPr>
          <w:rFonts w:ascii="Times New Roman" w:hAnsi="Times New Roman" w:cs="Times New Roman"/>
          <w:i/>
          <w:iCs/>
          <w:noProof/>
          <w:sz w:val="24"/>
          <w:lang w:val="en-US"/>
        </w:rPr>
        <w:t>Nat Commun</w:t>
      </w:r>
      <w:r w:rsidRPr="00FD42AC">
        <w:rPr>
          <w:rFonts w:ascii="Times New Roman" w:hAnsi="Times New Roman" w:cs="Times New Roman"/>
          <w:noProof/>
          <w:sz w:val="24"/>
          <w:lang w:val="en-US"/>
        </w:rPr>
        <w:t>. 2014;5:1-12. doi:10.1038/ncomms5834</w:t>
      </w:r>
    </w:p>
    <w:p w14:paraId="79DEFF70"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24. </w:t>
      </w:r>
      <w:r w:rsidRPr="00FD42AC">
        <w:rPr>
          <w:rFonts w:ascii="Times New Roman" w:hAnsi="Times New Roman" w:cs="Times New Roman"/>
          <w:noProof/>
          <w:sz w:val="24"/>
          <w:lang w:val="en-US"/>
        </w:rPr>
        <w:tab/>
        <w:t xml:space="preserve">Feldstein AE, Werneburg NW, Canbay A, et al. Free fatty acids promote hepatic </w:t>
      </w:r>
      <w:r w:rsidRPr="00FD42AC">
        <w:rPr>
          <w:rFonts w:ascii="Times New Roman" w:hAnsi="Times New Roman" w:cs="Times New Roman"/>
          <w:noProof/>
          <w:sz w:val="24"/>
          <w:lang w:val="en-US"/>
        </w:rPr>
        <w:lastRenderedPageBreak/>
        <w:t>lipotoxicity by stimulating TNF-</w:t>
      </w:r>
      <w:r w:rsidRPr="00A6771D">
        <w:rPr>
          <w:rFonts w:ascii="Times New Roman" w:hAnsi="Times New Roman" w:cs="Times New Roman"/>
          <w:noProof/>
          <w:sz w:val="24"/>
        </w:rPr>
        <w:t>α</w:t>
      </w:r>
      <w:r w:rsidRPr="00FD42AC">
        <w:rPr>
          <w:rFonts w:ascii="Times New Roman" w:hAnsi="Times New Roman" w:cs="Times New Roman"/>
          <w:noProof/>
          <w:sz w:val="24"/>
          <w:lang w:val="en-US"/>
        </w:rPr>
        <w:t xml:space="preserve"> expression via a lysosomal pathway. </w:t>
      </w:r>
      <w:r w:rsidRPr="00FD42AC">
        <w:rPr>
          <w:rFonts w:ascii="Times New Roman" w:hAnsi="Times New Roman" w:cs="Times New Roman"/>
          <w:i/>
          <w:iCs/>
          <w:noProof/>
          <w:sz w:val="24"/>
          <w:lang w:val="en-US"/>
        </w:rPr>
        <w:t>Hepatology</w:t>
      </w:r>
      <w:r w:rsidRPr="00FD42AC">
        <w:rPr>
          <w:rFonts w:ascii="Times New Roman" w:hAnsi="Times New Roman" w:cs="Times New Roman"/>
          <w:noProof/>
          <w:sz w:val="24"/>
          <w:lang w:val="en-US"/>
        </w:rPr>
        <w:t>. 2004;40(1):185-194. doi:10.1002/hep.20283</w:t>
      </w:r>
    </w:p>
    <w:p w14:paraId="7AFA65F8"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25. </w:t>
      </w:r>
      <w:r w:rsidRPr="00FD42AC">
        <w:rPr>
          <w:rFonts w:ascii="Times New Roman" w:hAnsi="Times New Roman" w:cs="Times New Roman"/>
          <w:noProof/>
          <w:sz w:val="24"/>
          <w:lang w:val="en-US"/>
        </w:rPr>
        <w:tab/>
        <w:t xml:space="preserve">Oh SJ, Hwang Y, Hur KY, Lee MS. Lysosomal Ca2+ as a mediator of palmitate-induced lipotoxicity. </w:t>
      </w:r>
      <w:r w:rsidRPr="00FD42AC">
        <w:rPr>
          <w:rFonts w:ascii="Times New Roman" w:hAnsi="Times New Roman" w:cs="Times New Roman"/>
          <w:i/>
          <w:iCs/>
          <w:noProof/>
          <w:sz w:val="24"/>
          <w:lang w:val="en-US"/>
        </w:rPr>
        <w:t>Cell Death Discov</w:t>
      </w:r>
      <w:r w:rsidRPr="00FD42AC">
        <w:rPr>
          <w:rFonts w:ascii="Times New Roman" w:hAnsi="Times New Roman" w:cs="Times New Roman"/>
          <w:noProof/>
          <w:sz w:val="24"/>
          <w:lang w:val="en-US"/>
        </w:rPr>
        <w:t>. 2023;9(1). doi:10.1038/s41420-023-01379-0</w:t>
      </w:r>
    </w:p>
    <w:p w14:paraId="7326C5B7"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FD42AC">
        <w:rPr>
          <w:rFonts w:ascii="Times New Roman" w:hAnsi="Times New Roman" w:cs="Times New Roman"/>
          <w:noProof/>
          <w:sz w:val="24"/>
          <w:lang w:val="en-US"/>
        </w:rPr>
        <w:t xml:space="preserve">26. </w:t>
      </w:r>
      <w:r w:rsidRPr="00FD42AC">
        <w:rPr>
          <w:rFonts w:ascii="Times New Roman" w:hAnsi="Times New Roman" w:cs="Times New Roman"/>
          <w:noProof/>
          <w:sz w:val="24"/>
          <w:lang w:val="en-US"/>
        </w:rPr>
        <w:tab/>
        <w:t xml:space="preserve">Jaishy B, Zhang Q, Chung HS, et al. Lipid-induced NOX2 activation inhibits autophagic flux by impairing lysosomal enzyme activity. </w:t>
      </w:r>
      <w:r w:rsidRPr="00A6771D">
        <w:rPr>
          <w:rFonts w:ascii="Times New Roman" w:hAnsi="Times New Roman" w:cs="Times New Roman"/>
          <w:i/>
          <w:iCs/>
          <w:noProof/>
          <w:sz w:val="24"/>
        </w:rPr>
        <w:t>J Lipid Res</w:t>
      </w:r>
      <w:r w:rsidRPr="00A6771D">
        <w:rPr>
          <w:rFonts w:ascii="Times New Roman" w:hAnsi="Times New Roman" w:cs="Times New Roman"/>
          <w:noProof/>
          <w:sz w:val="24"/>
        </w:rPr>
        <w:t>. 2015;56(3):546-561. doi:10.1194/jlr.M055152</w:t>
      </w:r>
    </w:p>
    <w:p w14:paraId="317BE99A"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A6771D">
        <w:rPr>
          <w:rFonts w:ascii="Times New Roman" w:hAnsi="Times New Roman" w:cs="Times New Roman"/>
          <w:noProof/>
          <w:sz w:val="24"/>
        </w:rPr>
        <w:t xml:space="preserve">27. </w:t>
      </w:r>
      <w:r w:rsidRPr="00A6771D">
        <w:rPr>
          <w:rFonts w:ascii="Times New Roman" w:hAnsi="Times New Roman" w:cs="Times New Roman"/>
          <w:noProof/>
          <w:sz w:val="24"/>
        </w:rPr>
        <w:tab/>
        <w:t xml:space="preserve">Zhang CS, Jiang B, Li M, et al. </w:t>
      </w:r>
      <w:r w:rsidRPr="00FD42AC">
        <w:rPr>
          <w:rFonts w:ascii="Times New Roman" w:hAnsi="Times New Roman" w:cs="Times New Roman"/>
          <w:noProof/>
          <w:sz w:val="24"/>
          <w:lang w:val="en-US"/>
        </w:rPr>
        <w:t xml:space="preserve">The lysosomal v-ATPase-ragulator complex is a common activator for AMPK and mTORC1, acting as a switch between catabolism and anabolism. </w:t>
      </w:r>
      <w:r w:rsidRPr="00A6771D">
        <w:rPr>
          <w:rFonts w:ascii="Times New Roman" w:hAnsi="Times New Roman" w:cs="Times New Roman"/>
          <w:i/>
          <w:iCs/>
          <w:noProof/>
          <w:sz w:val="24"/>
        </w:rPr>
        <w:t>Cell Metab</w:t>
      </w:r>
      <w:r w:rsidRPr="00A6771D">
        <w:rPr>
          <w:rFonts w:ascii="Times New Roman" w:hAnsi="Times New Roman" w:cs="Times New Roman"/>
          <w:noProof/>
          <w:sz w:val="24"/>
        </w:rPr>
        <w:t>. 2014;20(3):526-540. doi:10.1016/j.cmet.2014.06.014</w:t>
      </w:r>
    </w:p>
    <w:p w14:paraId="79BD96FA"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A6771D">
        <w:rPr>
          <w:rFonts w:ascii="Times New Roman" w:hAnsi="Times New Roman" w:cs="Times New Roman"/>
          <w:noProof/>
          <w:sz w:val="24"/>
        </w:rPr>
        <w:t xml:space="preserve">28. </w:t>
      </w:r>
      <w:r w:rsidRPr="00A6771D">
        <w:rPr>
          <w:rFonts w:ascii="Times New Roman" w:hAnsi="Times New Roman" w:cs="Times New Roman"/>
          <w:noProof/>
          <w:sz w:val="24"/>
        </w:rPr>
        <w:tab/>
        <w:t xml:space="preserve">Paquette M, El-Houjeiri L, C. Zirden L, et al. </w:t>
      </w:r>
      <w:r w:rsidRPr="00FD42AC">
        <w:rPr>
          <w:rFonts w:ascii="Times New Roman" w:hAnsi="Times New Roman" w:cs="Times New Roman"/>
          <w:noProof/>
          <w:sz w:val="24"/>
          <w:lang w:val="en-US"/>
        </w:rPr>
        <w:t xml:space="preserve">AMPK-dependent phosphorylation is required for transcriptional activation of TFEB and TFE3. </w:t>
      </w:r>
      <w:r w:rsidRPr="00A6771D">
        <w:rPr>
          <w:rFonts w:ascii="Times New Roman" w:hAnsi="Times New Roman" w:cs="Times New Roman"/>
          <w:i/>
          <w:iCs/>
          <w:noProof/>
          <w:sz w:val="24"/>
        </w:rPr>
        <w:t>Autophagy</w:t>
      </w:r>
      <w:r w:rsidRPr="00A6771D">
        <w:rPr>
          <w:rFonts w:ascii="Times New Roman" w:hAnsi="Times New Roman" w:cs="Times New Roman"/>
          <w:noProof/>
          <w:sz w:val="24"/>
        </w:rPr>
        <w:t>. 2021;00(00):1-19. doi:10.1080/15548627.2021.1898748</w:t>
      </w:r>
    </w:p>
    <w:p w14:paraId="7955F372"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29. </w:t>
      </w:r>
      <w:r w:rsidRPr="00A6771D">
        <w:rPr>
          <w:rFonts w:ascii="Times New Roman" w:hAnsi="Times New Roman" w:cs="Times New Roman"/>
          <w:noProof/>
          <w:sz w:val="24"/>
        </w:rPr>
        <w:tab/>
        <w:t xml:space="preserve">Fernandez-Mosquera L, Yambire KF, Couto R, et al. </w:t>
      </w:r>
      <w:r w:rsidRPr="00FD42AC">
        <w:rPr>
          <w:rFonts w:ascii="Times New Roman" w:hAnsi="Times New Roman" w:cs="Times New Roman"/>
          <w:noProof/>
          <w:sz w:val="24"/>
          <w:lang w:val="en-US"/>
        </w:rPr>
        <w:t xml:space="preserve">Mitochondrial respiratory chain deficiency inhibits lysosomal hydrolysis. </w:t>
      </w:r>
      <w:r w:rsidRPr="00FD42AC">
        <w:rPr>
          <w:rFonts w:ascii="Times New Roman" w:hAnsi="Times New Roman" w:cs="Times New Roman"/>
          <w:i/>
          <w:iCs/>
          <w:noProof/>
          <w:sz w:val="24"/>
          <w:lang w:val="en-US"/>
        </w:rPr>
        <w:t>Autophagy</w:t>
      </w:r>
      <w:r w:rsidRPr="00FD42AC">
        <w:rPr>
          <w:rFonts w:ascii="Times New Roman" w:hAnsi="Times New Roman" w:cs="Times New Roman"/>
          <w:noProof/>
          <w:sz w:val="24"/>
          <w:lang w:val="en-US"/>
        </w:rPr>
        <w:t>. 2019;15(9):1572-1591. doi:10.1080/15548627.2019.1586256</w:t>
      </w:r>
    </w:p>
    <w:p w14:paraId="71695BB7"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30. </w:t>
      </w:r>
      <w:r w:rsidRPr="00FD42AC">
        <w:rPr>
          <w:rFonts w:ascii="Times New Roman" w:hAnsi="Times New Roman" w:cs="Times New Roman"/>
          <w:noProof/>
          <w:sz w:val="24"/>
          <w:lang w:val="en-US"/>
        </w:rPr>
        <w:tab/>
        <w:t xml:space="preserve">Papadopoulos C, Kravic B, Meyer H. Repair or Lysophagy: Dealing with Damaged Lysosomes. </w:t>
      </w:r>
      <w:r w:rsidRPr="00FD42AC">
        <w:rPr>
          <w:rFonts w:ascii="Times New Roman" w:hAnsi="Times New Roman" w:cs="Times New Roman"/>
          <w:i/>
          <w:iCs/>
          <w:noProof/>
          <w:sz w:val="24"/>
          <w:lang w:val="en-US"/>
        </w:rPr>
        <w:t>J Mol Biol</w:t>
      </w:r>
      <w:r w:rsidRPr="00FD42AC">
        <w:rPr>
          <w:rFonts w:ascii="Times New Roman" w:hAnsi="Times New Roman" w:cs="Times New Roman"/>
          <w:noProof/>
          <w:sz w:val="24"/>
          <w:lang w:val="en-US"/>
        </w:rPr>
        <w:t>. 2020;432(1):231-239. doi:10.1016/j.jmb.2019.08.010</w:t>
      </w:r>
    </w:p>
    <w:p w14:paraId="71F06CB2"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31. </w:t>
      </w:r>
      <w:r w:rsidRPr="00FD42AC">
        <w:rPr>
          <w:rFonts w:ascii="Times New Roman" w:hAnsi="Times New Roman" w:cs="Times New Roman"/>
          <w:noProof/>
          <w:sz w:val="24"/>
          <w:lang w:val="en-US"/>
        </w:rPr>
        <w:tab/>
        <w:t>Sundler R. Bafilomycin A , Inhibits Lysosomal , Phagosomal , and Plasma Membrane H + -ATPase and Induces Lysosomal Enzyme Secretion in Macrophages. 2017;144(April 1995):137-144.</w:t>
      </w:r>
    </w:p>
    <w:p w14:paraId="2F86D430"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32. </w:t>
      </w:r>
      <w:r w:rsidRPr="00FD42AC">
        <w:rPr>
          <w:rFonts w:ascii="Times New Roman" w:hAnsi="Times New Roman" w:cs="Times New Roman"/>
          <w:noProof/>
          <w:sz w:val="24"/>
          <w:lang w:val="en-US"/>
        </w:rPr>
        <w:tab/>
        <w:t xml:space="preserve">Oshima R, Hasegawa T, Tamai K, et al. ESCRT-0 dysfunction compromises autophagic degradation of protein aggregates and facilitates ER stress-mediated </w:t>
      </w:r>
      <w:r w:rsidRPr="00FD42AC">
        <w:rPr>
          <w:rFonts w:ascii="Times New Roman" w:hAnsi="Times New Roman" w:cs="Times New Roman"/>
          <w:noProof/>
          <w:sz w:val="24"/>
          <w:lang w:val="en-US"/>
        </w:rPr>
        <w:lastRenderedPageBreak/>
        <w:t xml:space="preserve">neurodegeneration via apoptotic and necroptotic pathways. </w:t>
      </w:r>
      <w:r w:rsidRPr="00FD42AC">
        <w:rPr>
          <w:rFonts w:ascii="Times New Roman" w:hAnsi="Times New Roman" w:cs="Times New Roman"/>
          <w:i/>
          <w:iCs/>
          <w:noProof/>
          <w:sz w:val="24"/>
          <w:lang w:val="en-US"/>
        </w:rPr>
        <w:t>Sci Rep</w:t>
      </w:r>
      <w:r w:rsidRPr="00FD42AC">
        <w:rPr>
          <w:rFonts w:ascii="Times New Roman" w:hAnsi="Times New Roman" w:cs="Times New Roman"/>
          <w:noProof/>
          <w:sz w:val="24"/>
          <w:lang w:val="en-US"/>
        </w:rPr>
        <w:t>. 2016;6(February):1-15. doi:10.1038/srep24997</w:t>
      </w:r>
    </w:p>
    <w:p w14:paraId="62870216"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33. </w:t>
      </w:r>
      <w:r w:rsidRPr="00FD42AC">
        <w:rPr>
          <w:rFonts w:ascii="Times New Roman" w:hAnsi="Times New Roman" w:cs="Times New Roman"/>
          <w:noProof/>
          <w:sz w:val="24"/>
          <w:lang w:val="en-US"/>
        </w:rPr>
        <w:tab/>
        <w:t xml:space="preserve">Kim J, Kundu M, Viollet B, Guan KL. AMPK and mTOR regulate autophagy through direct phosphorylation of Ulk1. </w:t>
      </w:r>
      <w:r w:rsidRPr="00FD42AC">
        <w:rPr>
          <w:rFonts w:ascii="Times New Roman" w:hAnsi="Times New Roman" w:cs="Times New Roman"/>
          <w:i/>
          <w:iCs/>
          <w:noProof/>
          <w:sz w:val="24"/>
          <w:lang w:val="en-US"/>
        </w:rPr>
        <w:t>Nat Cell Biol</w:t>
      </w:r>
      <w:r w:rsidRPr="00FD42AC">
        <w:rPr>
          <w:rFonts w:ascii="Times New Roman" w:hAnsi="Times New Roman" w:cs="Times New Roman"/>
          <w:noProof/>
          <w:sz w:val="24"/>
          <w:lang w:val="en-US"/>
        </w:rPr>
        <w:t>. 2011;13(2):132-141. doi:10.1038/ncb2152</w:t>
      </w:r>
    </w:p>
    <w:p w14:paraId="7067FF39"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34. </w:t>
      </w:r>
      <w:r w:rsidRPr="00FD42AC">
        <w:rPr>
          <w:rFonts w:ascii="Times New Roman" w:hAnsi="Times New Roman" w:cs="Times New Roman"/>
          <w:noProof/>
          <w:sz w:val="24"/>
          <w:lang w:val="en-US"/>
        </w:rPr>
        <w:tab/>
        <w:t xml:space="preserve">González A, Hall MN, Lin SC, Hardie DG. AMPK and TOR: The Yin and Yang of Cellular Nutrient Sensing and Growth Control. </w:t>
      </w:r>
      <w:r w:rsidRPr="00FD42AC">
        <w:rPr>
          <w:rFonts w:ascii="Times New Roman" w:hAnsi="Times New Roman" w:cs="Times New Roman"/>
          <w:i/>
          <w:iCs/>
          <w:noProof/>
          <w:sz w:val="24"/>
          <w:lang w:val="en-US"/>
        </w:rPr>
        <w:t>Cell Metab</w:t>
      </w:r>
      <w:r w:rsidRPr="00FD42AC">
        <w:rPr>
          <w:rFonts w:ascii="Times New Roman" w:hAnsi="Times New Roman" w:cs="Times New Roman"/>
          <w:noProof/>
          <w:sz w:val="24"/>
          <w:lang w:val="en-US"/>
        </w:rPr>
        <w:t>. 2020;31(3):472-492. doi:10.1016/j.cmet.2020.01.015</w:t>
      </w:r>
    </w:p>
    <w:p w14:paraId="60B729DD"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35. </w:t>
      </w:r>
      <w:r w:rsidRPr="00FD42AC">
        <w:rPr>
          <w:rFonts w:ascii="Times New Roman" w:hAnsi="Times New Roman" w:cs="Times New Roman"/>
          <w:noProof/>
          <w:sz w:val="24"/>
          <w:lang w:val="en-US"/>
        </w:rPr>
        <w:tab/>
        <w:t xml:space="preserve">Jang M, Park R, Kim H, et al. AMPK contributes to autophagosome maturation and lysosomal fusion. </w:t>
      </w:r>
      <w:r w:rsidRPr="00FD42AC">
        <w:rPr>
          <w:rFonts w:ascii="Times New Roman" w:hAnsi="Times New Roman" w:cs="Times New Roman"/>
          <w:i/>
          <w:iCs/>
          <w:noProof/>
          <w:sz w:val="24"/>
          <w:lang w:val="en-US"/>
        </w:rPr>
        <w:t>Sci Rep</w:t>
      </w:r>
      <w:r w:rsidRPr="00FD42AC">
        <w:rPr>
          <w:rFonts w:ascii="Times New Roman" w:hAnsi="Times New Roman" w:cs="Times New Roman"/>
          <w:noProof/>
          <w:sz w:val="24"/>
          <w:lang w:val="en-US"/>
        </w:rPr>
        <w:t>. 2018;8(1):1-10. doi:10.1038/s41598-018-30977-7</w:t>
      </w:r>
    </w:p>
    <w:p w14:paraId="6DCDDC5F"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36. </w:t>
      </w:r>
      <w:r w:rsidRPr="00FD42AC">
        <w:rPr>
          <w:rFonts w:ascii="Times New Roman" w:hAnsi="Times New Roman" w:cs="Times New Roman"/>
          <w:noProof/>
          <w:sz w:val="24"/>
          <w:lang w:val="en-US"/>
        </w:rPr>
        <w:tab/>
        <w:t xml:space="preserve">Ducommun S, Ford RJ, Bultot L, et al. Enhanced activation of cellular AMPK by dual-small molecule treatment: AICAR and A769662. </w:t>
      </w:r>
      <w:r w:rsidRPr="00FD42AC">
        <w:rPr>
          <w:rFonts w:ascii="Times New Roman" w:hAnsi="Times New Roman" w:cs="Times New Roman"/>
          <w:i/>
          <w:iCs/>
          <w:noProof/>
          <w:sz w:val="24"/>
          <w:lang w:val="en-US"/>
        </w:rPr>
        <w:t>Am J Physiol - Endocrinol Metab</w:t>
      </w:r>
      <w:r w:rsidRPr="00FD42AC">
        <w:rPr>
          <w:rFonts w:ascii="Times New Roman" w:hAnsi="Times New Roman" w:cs="Times New Roman"/>
          <w:noProof/>
          <w:sz w:val="24"/>
          <w:lang w:val="en-US"/>
        </w:rPr>
        <w:t>. 2014;306(6):688-696. doi:10.1152/ajpendo.00672.2013</w:t>
      </w:r>
    </w:p>
    <w:p w14:paraId="0D8C2798"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37. </w:t>
      </w:r>
      <w:r w:rsidRPr="00FD42AC">
        <w:rPr>
          <w:rFonts w:ascii="Times New Roman" w:hAnsi="Times New Roman" w:cs="Times New Roman"/>
          <w:noProof/>
          <w:sz w:val="24"/>
          <w:lang w:val="en-US"/>
        </w:rPr>
        <w:tab/>
        <w:t xml:space="preserve">Lamark T, Johansen T. Mechanisms of Selective Autophagy. </w:t>
      </w:r>
      <w:r w:rsidRPr="00FD42AC">
        <w:rPr>
          <w:rFonts w:ascii="Times New Roman" w:hAnsi="Times New Roman" w:cs="Times New Roman"/>
          <w:i/>
          <w:iCs/>
          <w:noProof/>
          <w:sz w:val="24"/>
          <w:lang w:val="en-US"/>
        </w:rPr>
        <w:t>Annu Rev Cell Dev Biol</w:t>
      </w:r>
      <w:r w:rsidRPr="00FD42AC">
        <w:rPr>
          <w:rFonts w:ascii="Times New Roman" w:hAnsi="Times New Roman" w:cs="Times New Roman"/>
          <w:noProof/>
          <w:sz w:val="24"/>
          <w:lang w:val="en-US"/>
        </w:rPr>
        <w:t>. 2021;37:143-169. doi:10.1146/annurev-cellbio-120219-035530</w:t>
      </w:r>
    </w:p>
    <w:p w14:paraId="54D7A817"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FD42AC">
        <w:rPr>
          <w:rFonts w:ascii="Times New Roman" w:hAnsi="Times New Roman" w:cs="Times New Roman"/>
          <w:noProof/>
          <w:sz w:val="24"/>
          <w:lang w:val="en-US"/>
        </w:rPr>
        <w:t xml:space="preserve">38. </w:t>
      </w:r>
      <w:r w:rsidRPr="00FD42AC">
        <w:rPr>
          <w:rFonts w:ascii="Times New Roman" w:hAnsi="Times New Roman" w:cs="Times New Roman"/>
          <w:noProof/>
          <w:sz w:val="24"/>
          <w:lang w:val="en-US"/>
        </w:rPr>
        <w:tab/>
        <w:t xml:space="preserve">Singh R, Kaushik S, Wang Y, et al. Autophagy regulates lipid metabolism. </w:t>
      </w:r>
      <w:r w:rsidRPr="00FD42AC">
        <w:rPr>
          <w:rFonts w:ascii="Times New Roman" w:hAnsi="Times New Roman" w:cs="Times New Roman"/>
          <w:i/>
          <w:iCs/>
          <w:noProof/>
          <w:sz w:val="24"/>
          <w:lang w:val="en-US"/>
        </w:rPr>
        <w:t>Nature</w:t>
      </w:r>
      <w:r w:rsidRPr="00FD42AC">
        <w:rPr>
          <w:rFonts w:ascii="Times New Roman" w:hAnsi="Times New Roman" w:cs="Times New Roman"/>
          <w:noProof/>
          <w:sz w:val="24"/>
          <w:lang w:val="en-US"/>
        </w:rPr>
        <w:t xml:space="preserve">. </w:t>
      </w:r>
      <w:r w:rsidRPr="00A6771D">
        <w:rPr>
          <w:rFonts w:ascii="Times New Roman" w:hAnsi="Times New Roman" w:cs="Times New Roman"/>
          <w:noProof/>
          <w:sz w:val="24"/>
        </w:rPr>
        <w:t>2009;458(7242):1131-1135. doi:10.1038/nature07976</w:t>
      </w:r>
    </w:p>
    <w:p w14:paraId="70586B32"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39. </w:t>
      </w:r>
      <w:r w:rsidRPr="00A6771D">
        <w:rPr>
          <w:rFonts w:ascii="Times New Roman" w:hAnsi="Times New Roman" w:cs="Times New Roman"/>
          <w:noProof/>
          <w:sz w:val="24"/>
        </w:rPr>
        <w:tab/>
        <w:t xml:space="preserve">Mei S, Ni HM, Manley S, et al. </w:t>
      </w:r>
      <w:r w:rsidRPr="00FD42AC">
        <w:rPr>
          <w:rFonts w:ascii="Times New Roman" w:hAnsi="Times New Roman" w:cs="Times New Roman"/>
          <w:noProof/>
          <w:sz w:val="24"/>
          <w:lang w:val="en-US"/>
        </w:rPr>
        <w:t xml:space="preserve">Differential roles of unsaturated and saturated fatty acids on autophagy and apoptosis in hepatocytes. </w:t>
      </w:r>
      <w:r w:rsidRPr="00FD42AC">
        <w:rPr>
          <w:rFonts w:ascii="Times New Roman" w:hAnsi="Times New Roman" w:cs="Times New Roman"/>
          <w:i/>
          <w:iCs/>
          <w:noProof/>
          <w:sz w:val="24"/>
          <w:lang w:val="en-US"/>
        </w:rPr>
        <w:t>J Pharmacol Exp Ther</w:t>
      </w:r>
      <w:r w:rsidRPr="00FD42AC">
        <w:rPr>
          <w:rFonts w:ascii="Times New Roman" w:hAnsi="Times New Roman" w:cs="Times New Roman"/>
          <w:noProof/>
          <w:sz w:val="24"/>
          <w:lang w:val="en-US"/>
        </w:rPr>
        <w:t>. 2011;339(2):487-498. doi:10.1124/jpet.111.184341</w:t>
      </w:r>
    </w:p>
    <w:p w14:paraId="0B154C23"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40. </w:t>
      </w:r>
      <w:r w:rsidRPr="00FD42AC">
        <w:rPr>
          <w:rFonts w:ascii="Times New Roman" w:hAnsi="Times New Roman" w:cs="Times New Roman"/>
          <w:noProof/>
          <w:sz w:val="24"/>
          <w:lang w:val="en-US"/>
        </w:rPr>
        <w:tab/>
        <w:t xml:space="preserve">Varshney R, Varshney R, Mishra R, Gupta S, Sircar D, Roy P. Kaempferol alleviates palmitic acid-induced lipid stores, endoplasmic reticulum stress and pancreatic </w:t>
      </w:r>
      <w:r w:rsidRPr="00A6771D">
        <w:rPr>
          <w:rFonts w:ascii="Times New Roman" w:hAnsi="Times New Roman" w:cs="Times New Roman"/>
          <w:noProof/>
          <w:sz w:val="24"/>
        </w:rPr>
        <w:t>β</w:t>
      </w:r>
      <w:r w:rsidRPr="00FD42AC">
        <w:rPr>
          <w:rFonts w:ascii="Times New Roman" w:hAnsi="Times New Roman" w:cs="Times New Roman"/>
          <w:noProof/>
          <w:sz w:val="24"/>
          <w:lang w:val="en-US"/>
        </w:rPr>
        <w:t xml:space="preserve">-cell dysfunction through AMPK/mTOR-mediated lipophagy. </w:t>
      </w:r>
      <w:r w:rsidRPr="00FD42AC">
        <w:rPr>
          <w:rFonts w:ascii="Times New Roman" w:hAnsi="Times New Roman" w:cs="Times New Roman"/>
          <w:i/>
          <w:iCs/>
          <w:noProof/>
          <w:sz w:val="24"/>
          <w:lang w:val="en-US"/>
        </w:rPr>
        <w:t>J Nutr Biochem</w:t>
      </w:r>
      <w:r w:rsidRPr="00FD42AC">
        <w:rPr>
          <w:rFonts w:ascii="Times New Roman" w:hAnsi="Times New Roman" w:cs="Times New Roman"/>
          <w:noProof/>
          <w:sz w:val="24"/>
          <w:lang w:val="en-US"/>
        </w:rPr>
        <w:t xml:space="preserve">. </w:t>
      </w:r>
      <w:r w:rsidRPr="00FD42AC">
        <w:rPr>
          <w:rFonts w:ascii="Times New Roman" w:hAnsi="Times New Roman" w:cs="Times New Roman"/>
          <w:noProof/>
          <w:sz w:val="24"/>
          <w:lang w:val="en-US"/>
        </w:rPr>
        <w:lastRenderedPageBreak/>
        <w:t>2018;57:212-227. doi:10.1016/j.jnutbio.2018.02.017</w:t>
      </w:r>
    </w:p>
    <w:p w14:paraId="4B168EA4"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41. </w:t>
      </w:r>
      <w:r w:rsidRPr="00FD42AC">
        <w:rPr>
          <w:rFonts w:ascii="Times New Roman" w:hAnsi="Times New Roman" w:cs="Times New Roman"/>
          <w:noProof/>
          <w:sz w:val="24"/>
          <w:lang w:val="en-US"/>
        </w:rPr>
        <w:tab/>
        <w:t xml:space="preserve">Pérez-Martí A, Ramakrishnan S, Li J, et al. Reducing lipid bilayer stress by monounsaturated fatty acids protects renal proximal tubules in diabetes. </w:t>
      </w:r>
      <w:r w:rsidRPr="00FD42AC">
        <w:rPr>
          <w:rFonts w:ascii="Times New Roman" w:hAnsi="Times New Roman" w:cs="Times New Roman"/>
          <w:i/>
          <w:iCs/>
          <w:noProof/>
          <w:sz w:val="24"/>
          <w:lang w:val="en-US"/>
        </w:rPr>
        <w:t>Elife</w:t>
      </w:r>
      <w:r w:rsidRPr="00FD42AC">
        <w:rPr>
          <w:rFonts w:ascii="Times New Roman" w:hAnsi="Times New Roman" w:cs="Times New Roman"/>
          <w:noProof/>
          <w:sz w:val="24"/>
          <w:lang w:val="en-US"/>
        </w:rPr>
        <w:t>. 2022;11:1-31. doi:10.7554/eLife.74391</w:t>
      </w:r>
    </w:p>
    <w:p w14:paraId="3B6AFEB3"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42. </w:t>
      </w:r>
      <w:r w:rsidRPr="00FD42AC">
        <w:rPr>
          <w:rFonts w:ascii="Times New Roman" w:hAnsi="Times New Roman" w:cs="Times New Roman"/>
          <w:noProof/>
          <w:sz w:val="24"/>
          <w:lang w:val="en-US"/>
        </w:rPr>
        <w:tab/>
        <w:t xml:space="preserve">Vendruscolo M. Lipid Homeostasis and Its Links With Protein Misfolding Diseases. </w:t>
      </w:r>
      <w:r w:rsidRPr="00FD42AC">
        <w:rPr>
          <w:rFonts w:ascii="Times New Roman" w:hAnsi="Times New Roman" w:cs="Times New Roman"/>
          <w:i/>
          <w:iCs/>
          <w:noProof/>
          <w:sz w:val="24"/>
          <w:lang w:val="en-US"/>
        </w:rPr>
        <w:t>Front Mol Neurosci</w:t>
      </w:r>
      <w:r w:rsidRPr="00FD42AC">
        <w:rPr>
          <w:rFonts w:ascii="Times New Roman" w:hAnsi="Times New Roman" w:cs="Times New Roman"/>
          <w:noProof/>
          <w:sz w:val="24"/>
          <w:lang w:val="en-US"/>
        </w:rPr>
        <w:t>. 2022;15(March):1-13. doi:10.3389/fnmol.2022.829291</w:t>
      </w:r>
    </w:p>
    <w:p w14:paraId="12B9D9B2"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43. </w:t>
      </w:r>
      <w:r w:rsidRPr="00FD42AC">
        <w:rPr>
          <w:rFonts w:ascii="Times New Roman" w:hAnsi="Times New Roman" w:cs="Times New Roman"/>
          <w:noProof/>
          <w:sz w:val="24"/>
          <w:lang w:val="en-US"/>
        </w:rPr>
        <w:tab/>
        <w:t xml:space="preserve">Lamark T, Johansen T. Aggrephagy: Selective disposal of protein aggregates by macroautophagy. </w:t>
      </w:r>
      <w:r w:rsidRPr="00FD42AC">
        <w:rPr>
          <w:rFonts w:ascii="Times New Roman" w:hAnsi="Times New Roman" w:cs="Times New Roman"/>
          <w:i/>
          <w:iCs/>
          <w:noProof/>
          <w:sz w:val="24"/>
          <w:lang w:val="en-US"/>
        </w:rPr>
        <w:t>Int J Cell Biol</w:t>
      </w:r>
      <w:r w:rsidRPr="00FD42AC">
        <w:rPr>
          <w:rFonts w:ascii="Times New Roman" w:hAnsi="Times New Roman" w:cs="Times New Roman"/>
          <w:noProof/>
          <w:sz w:val="24"/>
          <w:lang w:val="en-US"/>
        </w:rPr>
        <w:t>. 2012;2012. doi:10.1155/2012/736905</w:t>
      </w:r>
    </w:p>
    <w:p w14:paraId="7EE12BC5"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44. </w:t>
      </w:r>
      <w:r w:rsidRPr="00FD42AC">
        <w:rPr>
          <w:rFonts w:ascii="Times New Roman" w:hAnsi="Times New Roman" w:cs="Times New Roman"/>
          <w:noProof/>
          <w:sz w:val="24"/>
          <w:lang w:val="en-US"/>
        </w:rPr>
        <w:tab/>
        <w:t xml:space="preserve">Hernández-Cáceres MP, Cereceda K, Hernández S, et al. Palmitic acid reduces the autophagic flux in hypothalamic neurons by impairing autophagosome-lysosome fusion and endolysosomal dynamics. </w:t>
      </w:r>
      <w:r w:rsidRPr="00FD42AC">
        <w:rPr>
          <w:rFonts w:ascii="Times New Roman" w:hAnsi="Times New Roman" w:cs="Times New Roman"/>
          <w:i/>
          <w:iCs/>
          <w:noProof/>
          <w:sz w:val="24"/>
          <w:lang w:val="en-US"/>
        </w:rPr>
        <w:t>Mol Cell Oncol</w:t>
      </w:r>
      <w:r w:rsidRPr="00FD42AC">
        <w:rPr>
          <w:rFonts w:ascii="Times New Roman" w:hAnsi="Times New Roman" w:cs="Times New Roman"/>
          <w:noProof/>
          <w:sz w:val="24"/>
          <w:lang w:val="en-US"/>
        </w:rPr>
        <w:t>. 2020;7(5). doi:10.1080/23723556.2020.1789418</w:t>
      </w:r>
    </w:p>
    <w:p w14:paraId="1F5927EB"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45. </w:t>
      </w:r>
      <w:r w:rsidRPr="00FD42AC">
        <w:rPr>
          <w:rFonts w:ascii="Times New Roman" w:hAnsi="Times New Roman" w:cs="Times New Roman"/>
          <w:noProof/>
          <w:sz w:val="24"/>
          <w:lang w:val="en-US"/>
        </w:rPr>
        <w:tab/>
        <w:t xml:space="preserve">Miyagawa K, Oe S, Honma Y, Izumi H, Baba R, Harada M. Lipid-Induced Endoplasmic Reticulum Stress Impairs Selective Autophagy at the Step of Autophagosome-Lysosome Fusion in Hepatocytes. </w:t>
      </w:r>
      <w:r w:rsidRPr="00FD42AC">
        <w:rPr>
          <w:rFonts w:ascii="Times New Roman" w:hAnsi="Times New Roman" w:cs="Times New Roman"/>
          <w:i/>
          <w:iCs/>
          <w:noProof/>
          <w:sz w:val="24"/>
          <w:lang w:val="en-US"/>
        </w:rPr>
        <w:t>Am J Pathol</w:t>
      </w:r>
      <w:r w:rsidRPr="00FD42AC">
        <w:rPr>
          <w:rFonts w:ascii="Times New Roman" w:hAnsi="Times New Roman" w:cs="Times New Roman"/>
          <w:noProof/>
          <w:sz w:val="24"/>
          <w:lang w:val="en-US"/>
        </w:rPr>
        <w:t>. 2016;186(7):1861-1873. doi:10.1016/j.ajpath.2016.03.003</w:t>
      </w:r>
    </w:p>
    <w:p w14:paraId="3A5D25E2"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46. </w:t>
      </w:r>
      <w:r w:rsidRPr="00FD42AC">
        <w:rPr>
          <w:rFonts w:ascii="Times New Roman" w:hAnsi="Times New Roman" w:cs="Times New Roman"/>
          <w:noProof/>
          <w:sz w:val="24"/>
          <w:lang w:val="en-US"/>
        </w:rPr>
        <w:tab/>
        <w:t xml:space="preserve">Yagi M, Toshima T, Amamoto R, et al.  Mitochondrial translation deficiency impairs NAD + ‐mediated lysosomal acidification . </w:t>
      </w:r>
      <w:r w:rsidRPr="00FD42AC">
        <w:rPr>
          <w:rFonts w:ascii="Times New Roman" w:hAnsi="Times New Roman" w:cs="Times New Roman"/>
          <w:i/>
          <w:iCs/>
          <w:noProof/>
          <w:sz w:val="24"/>
          <w:lang w:val="en-US"/>
        </w:rPr>
        <w:t>EMBO J</w:t>
      </w:r>
      <w:r w:rsidRPr="00FD42AC">
        <w:rPr>
          <w:rFonts w:ascii="Times New Roman" w:hAnsi="Times New Roman" w:cs="Times New Roman"/>
          <w:noProof/>
          <w:sz w:val="24"/>
          <w:lang w:val="en-US"/>
        </w:rPr>
        <w:t>. 2021;40(8):1-17. doi:10.15252/embj.2020105268</w:t>
      </w:r>
    </w:p>
    <w:p w14:paraId="22831BD5"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47. </w:t>
      </w:r>
      <w:r w:rsidRPr="00FD42AC">
        <w:rPr>
          <w:rFonts w:ascii="Times New Roman" w:hAnsi="Times New Roman" w:cs="Times New Roman"/>
          <w:noProof/>
          <w:sz w:val="24"/>
          <w:lang w:val="en-US"/>
        </w:rPr>
        <w:tab/>
        <w:t xml:space="preserve">Kim HN, Seo BR, Kim H, Koh JY. Cilostazol restores autophagy flux in bafilomycin A1-treated, cultured cortical astrocytes through lysosomal reacidification: roles of PKA, zinc and metallothionein 3. </w:t>
      </w:r>
      <w:r w:rsidRPr="00FD42AC">
        <w:rPr>
          <w:rFonts w:ascii="Times New Roman" w:hAnsi="Times New Roman" w:cs="Times New Roman"/>
          <w:i/>
          <w:iCs/>
          <w:noProof/>
          <w:sz w:val="24"/>
          <w:lang w:val="en-US"/>
        </w:rPr>
        <w:t>Sci Rep</w:t>
      </w:r>
      <w:r w:rsidRPr="00FD42AC">
        <w:rPr>
          <w:rFonts w:ascii="Times New Roman" w:hAnsi="Times New Roman" w:cs="Times New Roman"/>
          <w:noProof/>
          <w:sz w:val="24"/>
          <w:lang w:val="en-US"/>
        </w:rPr>
        <w:t>. 2020;10(1):1-12. doi:10.1038/s41598-020-66292-3</w:t>
      </w:r>
    </w:p>
    <w:p w14:paraId="1ACF6DDB"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FD42AC">
        <w:rPr>
          <w:rFonts w:ascii="Times New Roman" w:hAnsi="Times New Roman" w:cs="Times New Roman"/>
          <w:noProof/>
          <w:sz w:val="24"/>
          <w:lang w:val="en-US"/>
        </w:rPr>
        <w:lastRenderedPageBreak/>
        <w:t xml:space="preserve">48. </w:t>
      </w:r>
      <w:r w:rsidRPr="00FD42AC">
        <w:rPr>
          <w:rFonts w:ascii="Times New Roman" w:hAnsi="Times New Roman" w:cs="Times New Roman"/>
          <w:noProof/>
          <w:sz w:val="24"/>
          <w:lang w:val="en-US"/>
        </w:rPr>
        <w:tab/>
        <w:t xml:space="preserve">Chauhan S, Kumar S, Jain A, et al. TRIMs and Galectins Globally Cooperate and TRIM16 and Galectin-3 Co-direct Autophagy in Endomembrane Damage Homeostasis. </w:t>
      </w:r>
      <w:r w:rsidRPr="00A6771D">
        <w:rPr>
          <w:rFonts w:ascii="Times New Roman" w:hAnsi="Times New Roman" w:cs="Times New Roman"/>
          <w:i/>
          <w:iCs/>
          <w:noProof/>
          <w:sz w:val="24"/>
        </w:rPr>
        <w:t>Dev Cell</w:t>
      </w:r>
      <w:r w:rsidRPr="00A6771D">
        <w:rPr>
          <w:rFonts w:ascii="Times New Roman" w:hAnsi="Times New Roman" w:cs="Times New Roman"/>
          <w:noProof/>
          <w:sz w:val="24"/>
        </w:rPr>
        <w:t>. 2016;39(1):13-27. doi:10.1016/j.devcel.2016.08.003</w:t>
      </w:r>
    </w:p>
    <w:p w14:paraId="22B63C3C"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A6771D">
        <w:rPr>
          <w:rFonts w:ascii="Times New Roman" w:hAnsi="Times New Roman" w:cs="Times New Roman"/>
          <w:noProof/>
          <w:sz w:val="24"/>
        </w:rPr>
        <w:t xml:space="preserve">49. </w:t>
      </w:r>
      <w:r w:rsidRPr="00A6771D">
        <w:rPr>
          <w:rFonts w:ascii="Times New Roman" w:hAnsi="Times New Roman" w:cs="Times New Roman"/>
          <w:noProof/>
          <w:sz w:val="24"/>
        </w:rPr>
        <w:tab/>
        <w:t xml:space="preserve">Jia J, Claude-Taupin A, Gu Y, et al. </w:t>
      </w:r>
      <w:r w:rsidRPr="00FD42AC">
        <w:rPr>
          <w:rFonts w:ascii="Times New Roman" w:hAnsi="Times New Roman" w:cs="Times New Roman"/>
          <w:noProof/>
          <w:sz w:val="24"/>
          <w:lang w:val="en-US"/>
        </w:rPr>
        <w:t xml:space="preserve">Galectin-3 Coordinates a Cellular System for Lysosomal Repair and Removal. </w:t>
      </w:r>
      <w:r w:rsidRPr="00A6771D">
        <w:rPr>
          <w:rFonts w:ascii="Times New Roman" w:hAnsi="Times New Roman" w:cs="Times New Roman"/>
          <w:i/>
          <w:iCs/>
          <w:noProof/>
          <w:sz w:val="24"/>
        </w:rPr>
        <w:t>Dev Cell</w:t>
      </w:r>
      <w:r w:rsidRPr="00A6771D">
        <w:rPr>
          <w:rFonts w:ascii="Times New Roman" w:hAnsi="Times New Roman" w:cs="Times New Roman"/>
          <w:noProof/>
          <w:sz w:val="24"/>
        </w:rPr>
        <w:t>. 2020;52(1):69-87.e8. doi:10.1016/j.devcel.2019.10.025</w:t>
      </w:r>
    </w:p>
    <w:p w14:paraId="44317CD3"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A6771D">
        <w:rPr>
          <w:rFonts w:ascii="Times New Roman" w:hAnsi="Times New Roman" w:cs="Times New Roman"/>
          <w:noProof/>
          <w:sz w:val="24"/>
        </w:rPr>
        <w:t xml:space="preserve">50. </w:t>
      </w:r>
      <w:r w:rsidRPr="00A6771D">
        <w:rPr>
          <w:rFonts w:ascii="Times New Roman" w:hAnsi="Times New Roman" w:cs="Times New Roman"/>
          <w:noProof/>
          <w:sz w:val="24"/>
        </w:rPr>
        <w:tab/>
        <w:t xml:space="preserve">Settembre C, Di Malta C, Polito VA, et al. </w:t>
      </w:r>
      <w:r w:rsidRPr="00FD42AC">
        <w:rPr>
          <w:rFonts w:ascii="Times New Roman" w:hAnsi="Times New Roman" w:cs="Times New Roman"/>
          <w:noProof/>
          <w:sz w:val="24"/>
          <w:lang w:val="en-US"/>
        </w:rPr>
        <w:t xml:space="preserve">TFEB links autophagy to lysosomal biogenesis. </w:t>
      </w:r>
      <w:r w:rsidRPr="00A6771D">
        <w:rPr>
          <w:rFonts w:ascii="Times New Roman" w:hAnsi="Times New Roman" w:cs="Times New Roman"/>
          <w:i/>
          <w:iCs/>
          <w:noProof/>
          <w:sz w:val="24"/>
        </w:rPr>
        <w:t>Science (80- )</w:t>
      </w:r>
      <w:r w:rsidRPr="00A6771D">
        <w:rPr>
          <w:rFonts w:ascii="Times New Roman" w:hAnsi="Times New Roman" w:cs="Times New Roman"/>
          <w:noProof/>
          <w:sz w:val="24"/>
        </w:rPr>
        <w:t>. 2011;332(6036):1429-1433. doi:10.1126/science.1204592</w:t>
      </w:r>
    </w:p>
    <w:p w14:paraId="398E78E1"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51. </w:t>
      </w:r>
      <w:r w:rsidRPr="00A6771D">
        <w:rPr>
          <w:rFonts w:ascii="Times New Roman" w:hAnsi="Times New Roman" w:cs="Times New Roman"/>
          <w:noProof/>
          <w:sz w:val="24"/>
        </w:rPr>
        <w:tab/>
        <w:t xml:space="preserve">Paquette M, El-Houjeiri L, C. Zirden L, et al. </w:t>
      </w:r>
      <w:r w:rsidRPr="00FD42AC">
        <w:rPr>
          <w:rFonts w:ascii="Times New Roman" w:hAnsi="Times New Roman" w:cs="Times New Roman"/>
          <w:noProof/>
          <w:sz w:val="24"/>
          <w:lang w:val="en-US"/>
        </w:rPr>
        <w:t xml:space="preserve">AMPK-dependent phosphorylation is required for transcriptional activation of TFEB and TFE3. </w:t>
      </w:r>
      <w:r w:rsidRPr="00FD42AC">
        <w:rPr>
          <w:rFonts w:ascii="Times New Roman" w:hAnsi="Times New Roman" w:cs="Times New Roman"/>
          <w:i/>
          <w:iCs/>
          <w:noProof/>
          <w:sz w:val="24"/>
          <w:lang w:val="en-US"/>
        </w:rPr>
        <w:t>Autophagy</w:t>
      </w:r>
      <w:r w:rsidRPr="00FD42AC">
        <w:rPr>
          <w:rFonts w:ascii="Times New Roman" w:hAnsi="Times New Roman" w:cs="Times New Roman"/>
          <w:noProof/>
          <w:sz w:val="24"/>
          <w:lang w:val="en-US"/>
        </w:rPr>
        <w:t>. 2021;00(00):1-19. doi:10.1080/15548627.2021.1898748</w:t>
      </w:r>
    </w:p>
    <w:p w14:paraId="29C01B7E"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52. </w:t>
      </w:r>
      <w:r w:rsidRPr="00FD42AC">
        <w:rPr>
          <w:rFonts w:ascii="Times New Roman" w:hAnsi="Times New Roman" w:cs="Times New Roman"/>
          <w:noProof/>
          <w:sz w:val="24"/>
          <w:lang w:val="en-US"/>
        </w:rPr>
        <w:tab/>
        <w:t xml:space="preserve">Nielsen R, Christensen EI, Birn H. Megalin and cubilin in proximal tubule protein reabsorption: From experimental models to human disease. </w:t>
      </w:r>
      <w:r w:rsidRPr="00FD42AC">
        <w:rPr>
          <w:rFonts w:ascii="Times New Roman" w:hAnsi="Times New Roman" w:cs="Times New Roman"/>
          <w:i/>
          <w:iCs/>
          <w:noProof/>
          <w:sz w:val="24"/>
          <w:lang w:val="en-US"/>
        </w:rPr>
        <w:t>Kidney Int</w:t>
      </w:r>
      <w:r w:rsidRPr="00FD42AC">
        <w:rPr>
          <w:rFonts w:ascii="Times New Roman" w:hAnsi="Times New Roman" w:cs="Times New Roman"/>
          <w:noProof/>
          <w:sz w:val="24"/>
          <w:lang w:val="en-US"/>
        </w:rPr>
        <w:t>. 2016;89(1):58-67. doi:10.1016/j.kint.2015.11.007</w:t>
      </w:r>
    </w:p>
    <w:p w14:paraId="49EB7CC0"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53. </w:t>
      </w:r>
      <w:r w:rsidRPr="00FD42AC">
        <w:rPr>
          <w:rFonts w:ascii="Times New Roman" w:hAnsi="Times New Roman" w:cs="Times New Roman"/>
          <w:noProof/>
          <w:sz w:val="24"/>
          <w:lang w:val="en-US"/>
        </w:rPr>
        <w:tab/>
        <w:t xml:space="preserve">Kim J, Kim SH, Kang H, et al. TFEB–GDF15 axis protects against obesity and insulin resistance as a lysosomal stress response. </w:t>
      </w:r>
      <w:r w:rsidRPr="00FD42AC">
        <w:rPr>
          <w:rFonts w:ascii="Times New Roman" w:hAnsi="Times New Roman" w:cs="Times New Roman"/>
          <w:i/>
          <w:iCs/>
          <w:noProof/>
          <w:sz w:val="24"/>
          <w:lang w:val="en-US"/>
        </w:rPr>
        <w:t>Nat Metab</w:t>
      </w:r>
      <w:r w:rsidRPr="00FD42AC">
        <w:rPr>
          <w:rFonts w:ascii="Times New Roman" w:hAnsi="Times New Roman" w:cs="Times New Roman"/>
          <w:noProof/>
          <w:sz w:val="24"/>
          <w:lang w:val="en-US"/>
        </w:rPr>
        <w:t>. 2021;3(3):410-427. doi:10.1038/s42255-021-00368-w</w:t>
      </w:r>
    </w:p>
    <w:p w14:paraId="6A1DB2A1"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54. </w:t>
      </w:r>
      <w:r w:rsidRPr="00FD42AC">
        <w:rPr>
          <w:rFonts w:ascii="Times New Roman" w:hAnsi="Times New Roman" w:cs="Times New Roman"/>
          <w:noProof/>
          <w:sz w:val="24"/>
          <w:lang w:val="en-US"/>
        </w:rPr>
        <w:tab/>
        <w:t xml:space="preserve">Liu Y, Steinbusch LKM, Nabben M, et al. Palmitate-induced vacuolar-type H+-ATPase inhibition feeds forward into insulin resistance and contractile dysfunction. </w:t>
      </w:r>
      <w:r w:rsidRPr="00FD42AC">
        <w:rPr>
          <w:rFonts w:ascii="Times New Roman" w:hAnsi="Times New Roman" w:cs="Times New Roman"/>
          <w:i/>
          <w:iCs/>
          <w:noProof/>
          <w:sz w:val="24"/>
          <w:lang w:val="en-US"/>
        </w:rPr>
        <w:t>Diabetes</w:t>
      </w:r>
      <w:r w:rsidRPr="00FD42AC">
        <w:rPr>
          <w:rFonts w:ascii="Times New Roman" w:hAnsi="Times New Roman" w:cs="Times New Roman"/>
          <w:noProof/>
          <w:sz w:val="24"/>
          <w:lang w:val="en-US"/>
        </w:rPr>
        <w:t>. 2017;66(6):1521-1534. doi:10.2337/db16-0727</w:t>
      </w:r>
    </w:p>
    <w:p w14:paraId="105AC560"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55. </w:t>
      </w:r>
      <w:r w:rsidRPr="00FD42AC">
        <w:rPr>
          <w:rFonts w:ascii="Times New Roman" w:hAnsi="Times New Roman" w:cs="Times New Roman"/>
          <w:noProof/>
          <w:sz w:val="24"/>
          <w:lang w:val="en-US"/>
        </w:rPr>
        <w:tab/>
        <w:t xml:space="preserve">Maria Bagh DR, Goutam Chandra, Shiyong Peng, Zhongjian Zhang AM. A lysosomal targeting defect of V0a1 suppresses V-ATPase activity elevating lysosomal pH in Ppt1-/- mice: amelioration by NtBuHA. </w:t>
      </w:r>
      <w:r w:rsidRPr="00FD42AC">
        <w:rPr>
          <w:rFonts w:ascii="Times New Roman" w:hAnsi="Times New Roman" w:cs="Times New Roman"/>
          <w:i/>
          <w:iCs/>
          <w:noProof/>
          <w:sz w:val="24"/>
          <w:lang w:val="en-US"/>
        </w:rPr>
        <w:t>FASEB J</w:t>
      </w:r>
      <w:r w:rsidRPr="00FD42AC">
        <w:rPr>
          <w:rFonts w:ascii="Times New Roman" w:hAnsi="Times New Roman" w:cs="Times New Roman"/>
          <w:noProof/>
          <w:sz w:val="24"/>
          <w:lang w:val="en-US"/>
        </w:rPr>
        <w:t xml:space="preserve">. Published online 2015. </w:t>
      </w:r>
      <w:r w:rsidRPr="00FD42AC">
        <w:rPr>
          <w:rFonts w:ascii="Times New Roman" w:hAnsi="Times New Roman" w:cs="Times New Roman"/>
          <w:noProof/>
          <w:sz w:val="24"/>
          <w:lang w:val="en-US"/>
        </w:rPr>
        <w:lastRenderedPageBreak/>
        <w:t>https://faseb.onlinelibrary.wiley.com/doi/abs/10.1096/fasebj.29.1_supplement.570.6</w:t>
      </w:r>
    </w:p>
    <w:p w14:paraId="0552A329"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56. </w:t>
      </w:r>
      <w:r w:rsidRPr="00A6771D">
        <w:rPr>
          <w:rFonts w:ascii="Times New Roman" w:hAnsi="Times New Roman" w:cs="Times New Roman"/>
          <w:noProof/>
          <w:sz w:val="24"/>
        </w:rPr>
        <w:tab/>
        <w:t xml:space="preserve">Bagh MB, Peng S, Chandra G, et al. </w:t>
      </w:r>
      <w:r w:rsidRPr="00FD42AC">
        <w:rPr>
          <w:rFonts w:ascii="Times New Roman" w:hAnsi="Times New Roman" w:cs="Times New Roman"/>
          <w:noProof/>
          <w:sz w:val="24"/>
          <w:lang w:val="en-US"/>
        </w:rPr>
        <w:t xml:space="preserve">Misrouting of v-ATPase subunit V0a1 dysregulates lysosomal acidification in a neurodegenerative lysosomal storage disease model. </w:t>
      </w:r>
      <w:r w:rsidRPr="00FD42AC">
        <w:rPr>
          <w:rFonts w:ascii="Times New Roman" w:hAnsi="Times New Roman" w:cs="Times New Roman"/>
          <w:i/>
          <w:iCs/>
          <w:noProof/>
          <w:sz w:val="24"/>
          <w:lang w:val="en-US"/>
        </w:rPr>
        <w:t>Nat Commun</w:t>
      </w:r>
      <w:r w:rsidRPr="00FD42AC">
        <w:rPr>
          <w:rFonts w:ascii="Times New Roman" w:hAnsi="Times New Roman" w:cs="Times New Roman"/>
          <w:noProof/>
          <w:sz w:val="24"/>
          <w:lang w:val="en-US"/>
        </w:rPr>
        <w:t>. 2017;8. doi:10.1038/ncomms14612</w:t>
      </w:r>
    </w:p>
    <w:p w14:paraId="4E4A009C"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57. </w:t>
      </w:r>
      <w:r w:rsidRPr="00FD42AC">
        <w:rPr>
          <w:rFonts w:ascii="Times New Roman" w:hAnsi="Times New Roman" w:cs="Times New Roman"/>
          <w:noProof/>
          <w:sz w:val="24"/>
          <w:lang w:val="en-US"/>
        </w:rPr>
        <w:tab/>
        <w:t xml:space="preserve">Repnik U, Hafner Česen M, Turk B. Lysosomal membrane permeabilization in cell death: Concepts and challenges. </w:t>
      </w:r>
      <w:r w:rsidRPr="00FD42AC">
        <w:rPr>
          <w:rFonts w:ascii="Times New Roman" w:hAnsi="Times New Roman" w:cs="Times New Roman"/>
          <w:i/>
          <w:iCs/>
          <w:noProof/>
          <w:sz w:val="24"/>
          <w:lang w:val="en-US"/>
        </w:rPr>
        <w:t>Mitochondrion</w:t>
      </w:r>
      <w:r w:rsidRPr="00FD42AC">
        <w:rPr>
          <w:rFonts w:ascii="Times New Roman" w:hAnsi="Times New Roman" w:cs="Times New Roman"/>
          <w:noProof/>
          <w:sz w:val="24"/>
          <w:lang w:val="en-US"/>
        </w:rPr>
        <w:t>. 2014;19(Part A):49-57. doi:10.1016/j.mito.2014.06.006</w:t>
      </w:r>
    </w:p>
    <w:p w14:paraId="08063AAA"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58. </w:t>
      </w:r>
      <w:r w:rsidRPr="00FD42AC">
        <w:rPr>
          <w:rFonts w:ascii="Times New Roman" w:hAnsi="Times New Roman" w:cs="Times New Roman"/>
          <w:noProof/>
          <w:sz w:val="24"/>
          <w:lang w:val="en-US"/>
        </w:rPr>
        <w:tab/>
        <w:t xml:space="preserve">Wilson PD, Firestone RA, Lenard J. The role of lysosomal enzymes in killing of mammalian cells by the lysosomotropic detergent N-dodecylimidazole. </w:t>
      </w:r>
      <w:r w:rsidRPr="00FD42AC">
        <w:rPr>
          <w:rFonts w:ascii="Times New Roman" w:hAnsi="Times New Roman" w:cs="Times New Roman"/>
          <w:i/>
          <w:iCs/>
          <w:noProof/>
          <w:sz w:val="24"/>
          <w:lang w:val="en-US"/>
        </w:rPr>
        <w:t>J Cell Biol</w:t>
      </w:r>
      <w:r w:rsidRPr="00FD42AC">
        <w:rPr>
          <w:rFonts w:ascii="Times New Roman" w:hAnsi="Times New Roman" w:cs="Times New Roman"/>
          <w:noProof/>
          <w:sz w:val="24"/>
          <w:lang w:val="en-US"/>
        </w:rPr>
        <w:t>. 1987;104(5):1223-1229. doi:10.1083/jcb.104.5.1223</w:t>
      </w:r>
    </w:p>
    <w:p w14:paraId="72054500"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59. </w:t>
      </w:r>
      <w:r w:rsidRPr="00FD42AC">
        <w:rPr>
          <w:rFonts w:ascii="Times New Roman" w:hAnsi="Times New Roman" w:cs="Times New Roman"/>
          <w:noProof/>
          <w:sz w:val="24"/>
          <w:lang w:val="en-US"/>
        </w:rPr>
        <w:tab/>
        <w:t xml:space="preserve">Maclean KH, Dorsey FC, Cleveland JL, Kastan MB. Targeting lysosomal degradation induces p53-dependent cell death and prevents cancer in mouse models of lymphomagenesis (Journal of Clinical Investigation (2008) 118, (79-88) DOI: 10.1172/JCI33700). </w:t>
      </w:r>
      <w:r w:rsidRPr="00FD42AC">
        <w:rPr>
          <w:rFonts w:ascii="Times New Roman" w:hAnsi="Times New Roman" w:cs="Times New Roman"/>
          <w:i/>
          <w:iCs/>
          <w:noProof/>
          <w:sz w:val="24"/>
          <w:lang w:val="en-US"/>
        </w:rPr>
        <w:t>J Clin Invest</w:t>
      </w:r>
      <w:r w:rsidRPr="00FD42AC">
        <w:rPr>
          <w:rFonts w:ascii="Times New Roman" w:hAnsi="Times New Roman" w:cs="Times New Roman"/>
          <w:noProof/>
          <w:sz w:val="24"/>
          <w:lang w:val="en-US"/>
        </w:rPr>
        <w:t>. 2008;118(4):1584. doi:10.1172/JCI33700C1</w:t>
      </w:r>
    </w:p>
    <w:p w14:paraId="4F350883"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FD42AC">
        <w:rPr>
          <w:rFonts w:ascii="Times New Roman" w:hAnsi="Times New Roman" w:cs="Times New Roman"/>
          <w:noProof/>
          <w:sz w:val="24"/>
          <w:lang w:val="en-US"/>
        </w:rPr>
        <w:t xml:space="preserve">60. </w:t>
      </w:r>
      <w:r w:rsidRPr="00FD42AC">
        <w:rPr>
          <w:rFonts w:ascii="Times New Roman" w:hAnsi="Times New Roman" w:cs="Times New Roman"/>
          <w:noProof/>
          <w:sz w:val="24"/>
          <w:lang w:val="en-US"/>
        </w:rPr>
        <w:tab/>
        <w:t xml:space="preserve">Trudeau KM, Colby AH, Zeng J, et al. Lysosome acidification by photoactivated nanoparticles restores autophagy under lipotoxicity. </w:t>
      </w:r>
      <w:r w:rsidRPr="00A6771D">
        <w:rPr>
          <w:rFonts w:ascii="Times New Roman" w:hAnsi="Times New Roman" w:cs="Times New Roman"/>
          <w:i/>
          <w:iCs/>
          <w:noProof/>
          <w:sz w:val="24"/>
        </w:rPr>
        <w:t>J Cell Biol</w:t>
      </w:r>
      <w:r w:rsidRPr="00A6771D">
        <w:rPr>
          <w:rFonts w:ascii="Times New Roman" w:hAnsi="Times New Roman" w:cs="Times New Roman"/>
          <w:noProof/>
          <w:sz w:val="24"/>
        </w:rPr>
        <w:t>. 2016;214(1):25-34. doi:10.1083/jcb.201511042</w:t>
      </w:r>
    </w:p>
    <w:p w14:paraId="409458A4"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61. </w:t>
      </w:r>
      <w:r w:rsidRPr="00A6771D">
        <w:rPr>
          <w:rFonts w:ascii="Times New Roman" w:hAnsi="Times New Roman" w:cs="Times New Roman"/>
          <w:noProof/>
          <w:sz w:val="24"/>
        </w:rPr>
        <w:tab/>
        <w:t xml:space="preserve">Zeng J, Acin-Perez R, Assali EA, et al. </w:t>
      </w:r>
      <w:r w:rsidRPr="00FD42AC">
        <w:rPr>
          <w:rFonts w:ascii="Times New Roman" w:hAnsi="Times New Roman" w:cs="Times New Roman"/>
          <w:noProof/>
          <w:sz w:val="24"/>
          <w:lang w:val="en-US"/>
        </w:rPr>
        <w:t xml:space="preserve">Restoration of lysosomal acidification rescues autophagy and metabolic dysfunction in non-alcoholic fatty liver disease. </w:t>
      </w:r>
      <w:r w:rsidRPr="00FD42AC">
        <w:rPr>
          <w:rFonts w:ascii="Times New Roman" w:hAnsi="Times New Roman" w:cs="Times New Roman"/>
          <w:i/>
          <w:iCs/>
          <w:noProof/>
          <w:sz w:val="24"/>
          <w:lang w:val="en-US"/>
        </w:rPr>
        <w:t>Nat Commun</w:t>
      </w:r>
      <w:r w:rsidRPr="00FD42AC">
        <w:rPr>
          <w:rFonts w:ascii="Times New Roman" w:hAnsi="Times New Roman" w:cs="Times New Roman"/>
          <w:noProof/>
          <w:sz w:val="24"/>
          <w:lang w:val="en-US"/>
        </w:rPr>
        <w:t>. 2023;14(1). doi:10.1038/s41467-023-38165-6</w:t>
      </w:r>
    </w:p>
    <w:p w14:paraId="16195742"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62. </w:t>
      </w:r>
      <w:r w:rsidRPr="00FD42AC">
        <w:rPr>
          <w:rFonts w:ascii="Times New Roman" w:hAnsi="Times New Roman" w:cs="Times New Roman"/>
          <w:noProof/>
          <w:sz w:val="24"/>
          <w:lang w:val="en-US"/>
        </w:rPr>
        <w:tab/>
        <w:t xml:space="preserve">Davis OB, Shin HR, Lim CY, et al. NPC1-mTORC1 Signaling Couples Cholesterol Sensing to Organelle Homeostasis and Is a Targetable Pathway in Niemann-Pick Type C. </w:t>
      </w:r>
      <w:r w:rsidRPr="00FD42AC">
        <w:rPr>
          <w:rFonts w:ascii="Times New Roman" w:hAnsi="Times New Roman" w:cs="Times New Roman"/>
          <w:i/>
          <w:iCs/>
          <w:noProof/>
          <w:sz w:val="24"/>
          <w:lang w:val="en-US"/>
        </w:rPr>
        <w:t>Dev Cell</w:t>
      </w:r>
      <w:r w:rsidRPr="00FD42AC">
        <w:rPr>
          <w:rFonts w:ascii="Times New Roman" w:hAnsi="Times New Roman" w:cs="Times New Roman"/>
          <w:noProof/>
          <w:sz w:val="24"/>
          <w:lang w:val="en-US"/>
        </w:rPr>
        <w:t>. 2021;56(3):260-276.e7. doi:10.1016/j.devcel.2020.11.016</w:t>
      </w:r>
    </w:p>
    <w:p w14:paraId="653543FC"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A6771D">
        <w:rPr>
          <w:rFonts w:ascii="Times New Roman" w:hAnsi="Times New Roman" w:cs="Times New Roman"/>
          <w:noProof/>
          <w:sz w:val="24"/>
        </w:rPr>
        <w:lastRenderedPageBreak/>
        <w:t xml:space="preserve">63. </w:t>
      </w:r>
      <w:r w:rsidRPr="00A6771D">
        <w:rPr>
          <w:rFonts w:ascii="Times New Roman" w:hAnsi="Times New Roman" w:cs="Times New Roman"/>
          <w:noProof/>
          <w:sz w:val="24"/>
        </w:rPr>
        <w:tab/>
        <w:t xml:space="preserve">Bartolomeo R, Cinque L, De Leonibus C, et al. </w:t>
      </w:r>
      <w:r w:rsidRPr="00FD42AC">
        <w:rPr>
          <w:rFonts w:ascii="Times New Roman" w:hAnsi="Times New Roman" w:cs="Times New Roman"/>
          <w:noProof/>
          <w:sz w:val="24"/>
          <w:lang w:val="en-US"/>
        </w:rPr>
        <w:t xml:space="preserve">MTORC1 hyperactivation arrests bone growth in lysosomal storage disorders by suppressing autophagy. </w:t>
      </w:r>
      <w:r w:rsidRPr="00A6771D">
        <w:rPr>
          <w:rFonts w:ascii="Times New Roman" w:hAnsi="Times New Roman" w:cs="Times New Roman"/>
          <w:i/>
          <w:iCs/>
          <w:noProof/>
          <w:sz w:val="24"/>
        </w:rPr>
        <w:t>J Clin Invest</w:t>
      </w:r>
      <w:r w:rsidRPr="00A6771D">
        <w:rPr>
          <w:rFonts w:ascii="Times New Roman" w:hAnsi="Times New Roman" w:cs="Times New Roman"/>
          <w:noProof/>
          <w:sz w:val="24"/>
        </w:rPr>
        <w:t>. 2017;127(10):3717-3729. doi:10.1172/JCI94130</w:t>
      </w:r>
    </w:p>
    <w:p w14:paraId="477DFF8D"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A6771D">
        <w:rPr>
          <w:rFonts w:ascii="Times New Roman" w:hAnsi="Times New Roman" w:cs="Times New Roman"/>
          <w:noProof/>
          <w:sz w:val="24"/>
        </w:rPr>
        <w:t xml:space="preserve">64. </w:t>
      </w:r>
      <w:r w:rsidRPr="00A6771D">
        <w:rPr>
          <w:rFonts w:ascii="Times New Roman" w:hAnsi="Times New Roman" w:cs="Times New Roman"/>
          <w:noProof/>
          <w:sz w:val="24"/>
        </w:rPr>
        <w:tab/>
        <w:t xml:space="preserve">Berquez M, Chen Z, Festa BP, et al. </w:t>
      </w:r>
      <w:r w:rsidRPr="00FD42AC">
        <w:rPr>
          <w:rFonts w:ascii="Times New Roman" w:hAnsi="Times New Roman" w:cs="Times New Roman"/>
          <w:noProof/>
          <w:sz w:val="24"/>
          <w:lang w:val="en-US"/>
        </w:rPr>
        <w:t xml:space="preserve">Lysosomal cystine export regulates mTORC1 signaling to guide kidney epithelial cell fate specialization. </w:t>
      </w:r>
      <w:r w:rsidRPr="00A6771D">
        <w:rPr>
          <w:rFonts w:ascii="Times New Roman" w:hAnsi="Times New Roman" w:cs="Times New Roman"/>
          <w:i/>
          <w:iCs/>
          <w:noProof/>
          <w:sz w:val="24"/>
        </w:rPr>
        <w:t>Nat Commun</w:t>
      </w:r>
      <w:r w:rsidRPr="00A6771D">
        <w:rPr>
          <w:rFonts w:ascii="Times New Roman" w:hAnsi="Times New Roman" w:cs="Times New Roman"/>
          <w:noProof/>
          <w:sz w:val="24"/>
        </w:rPr>
        <w:t>. 2023;14(1). doi:10.1038/s41467-023-39261-3</w:t>
      </w:r>
    </w:p>
    <w:p w14:paraId="47C1985E"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65. </w:t>
      </w:r>
      <w:r w:rsidRPr="00A6771D">
        <w:rPr>
          <w:rFonts w:ascii="Times New Roman" w:hAnsi="Times New Roman" w:cs="Times New Roman"/>
          <w:noProof/>
          <w:sz w:val="24"/>
        </w:rPr>
        <w:tab/>
        <w:t xml:space="preserve">Liu Y, Lai YC, Hill E V., et al. </w:t>
      </w:r>
      <w:r w:rsidRPr="00FD42AC">
        <w:rPr>
          <w:rFonts w:ascii="Times New Roman" w:hAnsi="Times New Roman" w:cs="Times New Roman"/>
          <w:noProof/>
          <w:sz w:val="24"/>
          <w:lang w:val="en-US"/>
        </w:rPr>
        <w:t xml:space="preserve">Phosphatidylinositol 3-phosphate 5-kinase (PIKfyve) is an AMPK target participating in contraction-stimulated glucose uptake in skeletal muscle. </w:t>
      </w:r>
      <w:r w:rsidRPr="00FD42AC">
        <w:rPr>
          <w:rFonts w:ascii="Times New Roman" w:hAnsi="Times New Roman" w:cs="Times New Roman"/>
          <w:i/>
          <w:iCs/>
          <w:noProof/>
          <w:sz w:val="24"/>
          <w:lang w:val="en-US"/>
        </w:rPr>
        <w:t>Biochem J</w:t>
      </w:r>
      <w:r w:rsidRPr="00FD42AC">
        <w:rPr>
          <w:rFonts w:ascii="Times New Roman" w:hAnsi="Times New Roman" w:cs="Times New Roman"/>
          <w:noProof/>
          <w:sz w:val="24"/>
          <w:lang w:val="en-US"/>
        </w:rPr>
        <w:t>. 2013;455(2):195-206. doi:10.1042/BJ20130644</w:t>
      </w:r>
    </w:p>
    <w:p w14:paraId="68FF2750"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66. </w:t>
      </w:r>
      <w:r w:rsidRPr="00FD42AC">
        <w:rPr>
          <w:rFonts w:ascii="Times New Roman" w:hAnsi="Times New Roman" w:cs="Times New Roman"/>
          <w:noProof/>
          <w:sz w:val="24"/>
          <w:lang w:val="en-US"/>
        </w:rPr>
        <w:tab/>
        <w:t xml:space="preserve">Jin N, Lang MJ, Weisman LS. Phosphatidylinositol 3,5-bisphosphate: Regulation of cellular events in space and time. </w:t>
      </w:r>
      <w:r w:rsidRPr="00FD42AC">
        <w:rPr>
          <w:rFonts w:ascii="Times New Roman" w:hAnsi="Times New Roman" w:cs="Times New Roman"/>
          <w:i/>
          <w:iCs/>
          <w:noProof/>
          <w:sz w:val="24"/>
          <w:lang w:val="en-US"/>
        </w:rPr>
        <w:t>Biochem Soc Trans</w:t>
      </w:r>
      <w:r w:rsidRPr="00FD42AC">
        <w:rPr>
          <w:rFonts w:ascii="Times New Roman" w:hAnsi="Times New Roman" w:cs="Times New Roman"/>
          <w:noProof/>
          <w:sz w:val="24"/>
          <w:lang w:val="en-US"/>
        </w:rPr>
        <w:t>. 2016;44:177-184. doi:10.1042/BST20150174</w:t>
      </w:r>
    </w:p>
    <w:p w14:paraId="1F9407C0"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67. </w:t>
      </w:r>
      <w:r w:rsidRPr="00FD42AC">
        <w:rPr>
          <w:rFonts w:ascii="Times New Roman" w:hAnsi="Times New Roman" w:cs="Times New Roman"/>
          <w:noProof/>
          <w:sz w:val="24"/>
          <w:lang w:val="en-US"/>
        </w:rPr>
        <w:tab/>
        <w:t xml:space="preserve">McGuire CM, Forgac M. Glucose starvation increases V-ATPase assembly and activity in mammalian cells through AMP kinase and phosphatidylinositide 3-kinase/Akt signaling. </w:t>
      </w:r>
      <w:r w:rsidRPr="00FD42AC">
        <w:rPr>
          <w:rFonts w:ascii="Times New Roman" w:hAnsi="Times New Roman" w:cs="Times New Roman"/>
          <w:i/>
          <w:iCs/>
          <w:noProof/>
          <w:sz w:val="24"/>
          <w:lang w:val="en-US"/>
        </w:rPr>
        <w:t>J Biol Chem</w:t>
      </w:r>
      <w:r w:rsidRPr="00FD42AC">
        <w:rPr>
          <w:rFonts w:ascii="Times New Roman" w:hAnsi="Times New Roman" w:cs="Times New Roman"/>
          <w:noProof/>
          <w:sz w:val="24"/>
          <w:lang w:val="en-US"/>
        </w:rPr>
        <w:t>. 2018;293(23):9113-9123. doi:10.1074/jbc.RA117.001327</w:t>
      </w:r>
    </w:p>
    <w:p w14:paraId="0CFA0281"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68. </w:t>
      </w:r>
      <w:r w:rsidRPr="00FD42AC">
        <w:rPr>
          <w:rFonts w:ascii="Times New Roman" w:hAnsi="Times New Roman" w:cs="Times New Roman"/>
          <w:noProof/>
          <w:sz w:val="24"/>
          <w:lang w:val="en-US"/>
        </w:rPr>
        <w:tab/>
        <w:t xml:space="preserve">Nakamura S, Shigeyama S, Minami S, et al. LC3 lipidation is essential for TFEB activation during the lysosomal damage response to kidney injury. </w:t>
      </w:r>
      <w:r w:rsidRPr="00FD42AC">
        <w:rPr>
          <w:rFonts w:ascii="Times New Roman" w:hAnsi="Times New Roman" w:cs="Times New Roman"/>
          <w:i/>
          <w:iCs/>
          <w:noProof/>
          <w:sz w:val="24"/>
          <w:lang w:val="en-US"/>
        </w:rPr>
        <w:t>Nat Cell Biol</w:t>
      </w:r>
      <w:r w:rsidRPr="00FD42AC">
        <w:rPr>
          <w:rFonts w:ascii="Times New Roman" w:hAnsi="Times New Roman" w:cs="Times New Roman"/>
          <w:noProof/>
          <w:sz w:val="24"/>
          <w:lang w:val="en-US"/>
        </w:rPr>
        <w:t>. 2020;22(10):1252-1263. doi:10.1038/s41556-020-00583-9</w:t>
      </w:r>
    </w:p>
    <w:p w14:paraId="6E3ED9B7"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FD42AC">
        <w:rPr>
          <w:rFonts w:ascii="Times New Roman" w:hAnsi="Times New Roman" w:cs="Times New Roman"/>
          <w:noProof/>
          <w:sz w:val="24"/>
          <w:lang w:val="en-US"/>
        </w:rPr>
        <w:t xml:space="preserve">69. </w:t>
      </w:r>
      <w:r w:rsidRPr="00FD42AC">
        <w:rPr>
          <w:rFonts w:ascii="Times New Roman" w:hAnsi="Times New Roman" w:cs="Times New Roman"/>
          <w:noProof/>
          <w:sz w:val="24"/>
          <w:lang w:val="en-US"/>
        </w:rPr>
        <w:tab/>
        <w:t xml:space="preserve">Samie MA, Xu H. Thematic review series: Recent advances in the treatment of lysosomal storage diseases: Lysosomal exocytosis and lipid storage disorders. </w:t>
      </w:r>
      <w:r w:rsidRPr="00A6771D">
        <w:rPr>
          <w:rFonts w:ascii="Times New Roman" w:hAnsi="Times New Roman" w:cs="Times New Roman"/>
          <w:i/>
          <w:iCs/>
          <w:noProof/>
          <w:sz w:val="24"/>
        </w:rPr>
        <w:t>J Lipid Res</w:t>
      </w:r>
      <w:r w:rsidRPr="00A6771D">
        <w:rPr>
          <w:rFonts w:ascii="Times New Roman" w:hAnsi="Times New Roman" w:cs="Times New Roman"/>
          <w:noProof/>
          <w:sz w:val="24"/>
        </w:rPr>
        <w:t>. 2014;55(6):995-1009. doi:10.1194/jlr.R046896</w:t>
      </w:r>
    </w:p>
    <w:p w14:paraId="7C332CED"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70. </w:t>
      </w:r>
      <w:r w:rsidRPr="00A6771D">
        <w:rPr>
          <w:rFonts w:ascii="Times New Roman" w:hAnsi="Times New Roman" w:cs="Times New Roman"/>
          <w:noProof/>
          <w:sz w:val="24"/>
        </w:rPr>
        <w:tab/>
        <w:t xml:space="preserve">Medina DL, Fraldi A, Bouche V, et al. </w:t>
      </w:r>
      <w:r w:rsidRPr="00FD42AC">
        <w:rPr>
          <w:rFonts w:ascii="Times New Roman" w:hAnsi="Times New Roman" w:cs="Times New Roman"/>
          <w:noProof/>
          <w:sz w:val="24"/>
          <w:lang w:val="en-US"/>
        </w:rPr>
        <w:t xml:space="preserve">Transcriptional activation of lysosomal exocytosis promotes cellular clearance. </w:t>
      </w:r>
      <w:r w:rsidRPr="00FD42AC">
        <w:rPr>
          <w:rFonts w:ascii="Times New Roman" w:hAnsi="Times New Roman" w:cs="Times New Roman"/>
          <w:i/>
          <w:iCs/>
          <w:noProof/>
          <w:sz w:val="24"/>
          <w:lang w:val="en-US"/>
        </w:rPr>
        <w:t>Dev Cell</w:t>
      </w:r>
      <w:r w:rsidRPr="00FD42AC">
        <w:rPr>
          <w:rFonts w:ascii="Times New Roman" w:hAnsi="Times New Roman" w:cs="Times New Roman"/>
          <w:noProof/>
          <w:sz w:val="24"/>
          <w:lang w:val="en-US"/>
        </w:rPr>
        <w:t xml:space="preserve">. 2011;21(3):421-430. </w:t>
      </w:r>
      <w:r w:rsidRPr="00FD42AC">
        <w:rPr>
          <w:rFonts w:ascii="Times New Roman" w:hAnsi="Times New Roman" w:cs="Times New Roman"/>
          <w:noProof/>
          <w:sz w:val="24"/>
          <w:lang w:val="en-US"/>
        </w:rPr>
        <w:lastRenderedPageBreak/>
        <w:t>doi:10.1016/j.devcel.2011.07.016</w:t>
      </w:r>
    </w:p>
    <w:p w14:paraId="524F6C38"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71. </w:t>
      </w:r>
      <w:r w:rsidRPr="00FD42AC">
        <w:rPr>
          <w:rFonts w:ascii="Times New Roman" w:hAnsi="Times New Roman" w:cs="Times New Roman"/>
          <w:noProof/>
          <w:sz w:val="24"/>
          <w:lang w:val="en-US"/>
        </w:rPr>
        <w:tab/>
        <w:t xml:space="preserve">Klein D, Büssow H, Fewou SN, Gieselmann V. Exocytosis of storage material in a lysosomal disorder. </w:t>
      </w:r>
      <w:r w:rsidRPr="00FD42AC">
        <w:rPr>
          <w:rFonts w:ascii="Times New Roman" w:hAnsi="Times New Roman" w:cs="Times New Roman"/>
          <w:i/>
          <w:iCs/>
          <w:noProof/>
          <w:sz w:val="24"/>
          <w:lang w:val="en-US"/>
        </w:rPr>
        <w:t>Biochem Biophys Res Commun</w:t>
      </w:r>
      <w:r w:rsidRPr="00FD42AC">
        <w:rPr>
          <w:rFonts w:ascii="Times New Roman" w:hAnsi="Times New Roman" w:cs="Times New Roman"/>
          <w:noProof/>
          <w:sz w:val="24"/>
          <w:lang w:val="en-US"/>
        </w:rPr>
        <w:t>. 2005;327(3):663-667. doi:10.1016/j.bbrc.2004.12.054</w:t>
      </w:r>
    </w:p>
    <w:p w14:paraId="4BF77E61"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72. </w:t>
      </w:r>
      <w:r w:rsidRPr="00FD42AC">
        <w:rPr>
          <w:rFonts w:ascii="Times New Roman" w:hAnsi="Times New Roman" w:cs="Times New Roman"/>
          <w:noProof/>
          <w:sz w:val="24"/>
          <w:lang w:val="en-US"/>
        </w:rPr>
        <w:tab/>
        <w:t>Kalluri R, Neilson EG, Kalluri R, Neilson EG. Epithelial-mesenchymal transition and its implications for fibrosis Find the latest version : Epithelial-mesenchymal transition and its implications for fibrosis. 2003;112(12):1776-1784. doi:10.1172/JCI200320530.For</w:t>
      </w:r>
    </w:p>
    <w:p w14:paraId="70B82780"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FD42AC">
        <w:rPr>
          <w:rFonts w:ascii="Times New Roman" w:hAnsi="Times New Roman" w:cs="Times New Roman"/>
          <w:noProof/>
          <w:sz w:val="24"/>
          <w:lang w:val="en-US"/>
        </w:rPr>
        <w:t xml:space="preserve">73. </w:t>
      </w:r>
      <w:r w:rsidRPr="00FD42AC">
        <w:rPr>
          <w:rFonts w:ascii="Times New Roman" w:hAnsi="Times New Roman" w:cs="Times New Roman"/>
          <w:noProof/>
          <w:sz w:val="24"/>
          <w:lang w:val="en-US"/>
        </w:rPr>
        <w:tab/>
        <w:t xml:space="preserve">Iwano M, Plieth D, Danoff TM, Xue C, Okada H, Neilson EG. Evidence that fibroblasts derive from epithelium during tissue fibrosis. </w:t>
      </w:r>
      <w:r w:rsidRPr="00A6771D">
        <w:rPr>
          <w:rFonts w:ascii="Times New Roman" w:hAnsi="Times New Roman" w:cs="Times New Roman"/>
          <w:i/>
          <w:iCs/>
          <w:noProof/>
          <w:sz w:val="24"/>
        </w:rPr>
        <w:t>J Clin Invest</w:t>
      </w:r>
      <w:r w:rsidRPr="00A6771D">
        <w:rPr>
          <w:rFonts w:ascii="Times New Roman" w:hAnsi="Times New Roman" w:cs="Times New Roman"/>
          <w:noProof/>
          <w:sz w:val="24"/>
        </w:rPr>
        <w:t>. 2002;110(3):341-350. doi:10.1172/JCI0215518</w:t>
      </w:r>
    </w:p>
    <w:p w14:paraId="63D058A7"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74. </w:t>
      </w:r>
      <w:r w:rsidRPr="00A6771D">
        <w:rPr>
          <w:rFonts w:ascii="Times New Roman" w:hAnsi="Times New Roman" w:cs="Times New Roman"/>
          <w:noProof/>
          <w:sz w:val="24"/>
        </w:rPr>
        <w:tab/>
        <w:t xml:space="preserve">Rovin BH, Adler SG, Barratt J, et al. </w:t>
      </w:r>
      <w:r w:rsidRPr="00FD42AC">
        <w:rPr>
          <w:rFonts w:ascii="Times New Roman" w:hAnsi="Times New Roman" w:cs="Times New Roman"/>
          <w:noProof/>
          <w:sz w:val="24"/>
          <w:lang w:val="en-US"/>
        </w:rPr>
        <w:t xml:space="preserve">KDIGO 2021 Clinical Practice Guideline for the Management of Glomerular Diseases. </w:t>
      </w:r>
      <w:r w:rsidRPr="00FD42AC">
        <w:rPr>
          <w:rFonts w:ascii="Times New Roman" w:hAnsi="Times New Roman" w:cs="Times New Roman"/>
          <w:i/>
          <w:iCs/>
          <w:noProof/>
          <w:sz w:val="24"/>
          <w:lang w:val="en-US"/>
        </w:rPr>
        <w:t>Kidney Int</w:t>
      </w:r>
      <w:r w:rsidRPr="00FD42AC">
        <w:rPr>
          <w:rFonts w:ascii="Times New Roman" w:hAnsi="Times New Roman" w:cs="Times New Roman"/>
          <w:noProof/>
          <w:sz w:val="24"/>
          <w:lang w:val="en-US"/>
        </w:rPr>
        <w:t>. 2021;100(4):S1-S276. doi:10.1016/j.kint.2021.05.021</w:t>
      </w:r>
    </w:p>
    <w:p w14:paraId="4AE5E1F3"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FD42AC">
        <w:rPr>
          <w:rFonts w:ascii="Times New Roman" w:hAnsi="Times New Roman" w:cs="Times New Roman"/>
          <w:noProof/>
          <w:sz w:val="24"/>
          <w:lang w:val="en-US"/>
        </w:rPr>
        <w:t xml:space="preserve">75. </w:t>
      </w:r>
      <w:r w:rsidRPr="00FD42AC">
        <w:rPr>
          <w:rFonts w:ascii="Times New Roman" w:hAnsi="Times New Roman" w:cs="Times New Roman"/>
          <w:noProof/>
          <w:sz w:val="24"/>
          <w:lang w:val="en-US"/>
        </w:rPr>
        <w:tab/>
        <w:t xml:space="preserve">Chagnac A, Zingerman B, Rozen-Zvi B, Herman-Edelstein M. Consequences of glomerular hyperfiltration: The role of physical forces in the pathogenesis of chronic kidney disease in diabetes and obesity. </w:t>
      </w:r>
      <w:r w:rsidRPr="00A6771D">
        <w:rPr>
          <w:rFonts w:ascii="Times New Roman" w:hAnsi="Times New Roman" w:cs="Times New Roman"/>
          <w:i/>
          <w:iCs/>
          <w:noProof/>
          <w:sz w:val="24"/>
        </w:rPr>
        <w:t>Nephron</w:t>
      </w:r>
      <w:r w:rsidRPr="00A6771D">
        <w:rPr>
          <w:rFonts w:ascii="Times New Roman" w:hAnsi="Times New Roman" w:cs="Times New Roman"/>
          <w:noProof/>
          <w:sz w:val="24"/>
        </w:rPr>
        <w:t>. 2019;143(1):38-42. doi:10.1159/000499486</w:t>
      </w:r>
    </w:p>
    <w:p w14:paraId="7019F49A"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76. </w:t>
      </w:r>
      <w:r w:rsidRPr="00A6771D">
        <w:rPr>
          <w:rFonts w:ascii="Times New Roman" w:hAnsi="Times New Roman" w:cs="Times New Roman"/>
          <w:noProof/>
          <w:sz w:val="24"/>
        </w:rPr>
        <w:tab/>
        <w:t xml:space="preserve">Rampanelli E, Ochodnicky P, Vissers JPC, et al. </w:t>
      </w:r>
      <w:r w:rsidRPr="00FD42AC">
        <w:rPr>
          <w:rFonts w:ascii="Times New Roman" w:hAnsi="Times New Roman" w:cs="Times New Roman"/>
          <w:noProof/>
          <w:sz w:val="24"/>
          <w:lang w:val="en-US"/>
        </w:rPr>
        <w:t xml:space="preserve">Excessive dietary lipid intake provokes an acquired form of lysosomal lipid storage disease in the kidney. </w:t>
      </w:r>
      <w:r w:rsidRPr="00FD42AC">
        <w:rPr>
          <w:rFonts w:ascii="Times New Roman" w:hAnsi="Times New Roman" w:cs="Times New Roman"/>
          <w:i/>
          <w:iCs/>
          <w:noProof/>
          <w:sz w:val="24"/>
          <w:lang w:val="en-US"/>
        </w:rPr>
        <w:t>J Pathol</w:t>
      </w:r>
      <w:r w:rsidRPr="00FD42AC">
        <w:rPr>
          <w:rFonts w:ascii="Times New Roman" w:hAnsi="Times New Roman" w:cs="Times New Roman"/>
          <w:noProof/>
          <w:sz w:val="24"/>
          <w:lang w:val="en-US"/>
        </w:rPr>
        <w:t>. 2018;246(4):470-484. doi:10.1002/path.5150</w:t>
      </w:r>
    </w:p>
    <w:p w14:paraId="2EC9A32B"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77. </w:t>
      </w:r>
      <w:r w:rsidRPr="00FD42AC">
        <w:rPr>
          <w:rFonts w:ascii="Times New Roman" w:hAnsi="Times New Roman" w:cs="Times New Roman"/>
          <w:noProof/>
          <w:sz w:val="24"/>
          <w:lang w:val="en-US"/>
        </w:rPr>
        <w:tab/>
        <w:t xml:space="preserve">Tojo A, Kinugasa S. Mechanisms of glomerular albumin filtration and tubular reabsorption. </w:t>
      </w:r>
      <w:r w:rsidRPr="00FD42AC">
        <w:rPr>
          <w:rFonts w:ascii="Times New Roman" w:hAnsi="Times New Roman" w:cs="Times New Roman"/>
          <w:i/>
          <w:iCs/>
          <w:noProof/>
          <w:sz w:val="24"/>
          <w:lang w:val="en-US"/>
        </w:rPr>
        <w:t>Int J Nephrol</w:t>
      </w:r>
      <w:r w:rsidRPr="00FD42AC">
        <w:rPr>
          <w:rFonts w:ascii="Times New Roman" w:hAnsi="Times New Roman" w:cs="Times New Roman"/>
          <w:noProof/>
          <w:sz w:val="24"/>
          <w:lang w:val="en-US"/>
        </w:rPr>
        <w:t>. 2012;2012. doi:10.1155/2012/481520</w:t>
      </w:r>
    </w:p>
    <w:p w14:paraId="08857FC4"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lastRenderedPageBreak/>
        <w:t xml:space="preserve">78. </w:t>
      </w:r>
      <w:r w:rsidRPr="00FD42AC">
        <w:rPr>
          <w:rFonts w:ascii="Times New Roman" w:hAnsi="Times New Roman" w:cs="Times New Roman"/>
          <w:noProof/>
          <w:sz w:val="24"/>
          <w:lang w:val="en-US"/>
        </w:rPr>
        <w:tab/>
        <w:t xml:space="preserve">Kumar S, Liu J, Pang P, et al. Sox9 Activation Highlights a Cellular Pathway of Renal Repair in the Acutely Injured Mammalian Kidney. </w:t>
      </w:r>
      <w:r w:rsidRPr="00FD42AC">
        <w:rPr>
          <w:rFonts w:ascii="Times New Roman" w:hAnsi="Times New Roman" w:cs="Times New Roman"/>
          <w:i/>
          <w:iCs/>
          <w:noProof/>
          <w:sz w:val="24"/>
          <w:lang w:val="en-US"/>
        </w:rPr>
        <w:t>Cell Rep</w:t>
      </w:r>
      <w:r w:rsidRPr="00FD42AC">
        <w:rPr>
          <w:rFonts w:ascii="Times New Roman" w:hAnsi="Times New Roman" w:cs="Times New Roman"/>
          <w:noProof/>
          <w:sz w:val="24"/>
          <w:lang w:val="en-US"/>
        </w:rPr>
        <w:t>. 2015;12(8):1325-1338. doi:10.1016/j.celrep.2015.07.034</w:t>
      </w:r>
    </w:p>
    <w:p w14:paraId="04833F33"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79. </w:t>
      </w:r>
      <w:r w:rsidRPr="00FD42AC">
        <w:rPr>
          <w:rFonts w:ascii="Times New Roman" w:hAnsi="Times New Roman" w:cs="Times New Roman"/>
          <w:noProof/>
          <w:sz w:val="24"/>
          <w:lang w:val="en-US"/>
        </w:rPr>
        <w:tab/>
        <w:t xml:space="preserve">Nakagawa S, Nishihara K, Miyata H, et al. Molecular markers of tubulointerstitial fibrosis and tubular cell damage in patients with chronic kidney disease. </w:t>
      </w:r>
      <w:r w:rsidRPr="00FD42AC">
        <w:rPr>
          <w:rFonts w:ascii="Times New Roman" w:hAnsi="Times New Roman" w:cs="Times New Roman"/>
          <w:i/>
          <w:iCs/>
          <w:noProof/>
          <w:sz w:val="24"/>
          <w:lang w:val="en-US"/>
        </w:rPr>
        <w:t>PLoS One</w:t>
      </w:r>
      <w:r w:rsidRPr="00FD42AC">
        <w:rPr>
          <w:rFonts w:ascii="Times New Roman" w:hAnsi="Times New Roman" w:cs="Times New Roman"/>
          <w:noProof/>
          <w:sz w:val="24"/>
          <w:lang w:val="en-US"/>
        </w:rPr>
        <w:t>. 2015;10(8):1-14. doi:10.1371/journal.pone.0136994</w:t>
      </w:r>
    </w:p>
    <w:p w14:paraId="3A1C3576" w14:textId="77777777" w:rsidR="00A6771D" w:rsidRPr="00A6771D" w:rsidRDefault="00A6771D" w:rsidP="00A6771D">
      <w:pPr>
        <w:widowControl w:val="0"/>
        <w:autoSpaceDE w:val="0"/>
        <w:autoSpaceDN w:val="0"/>
        <w:adjustRightInd w:val="0"/>
        <w:spacing w:line="480" w:lineRule="auto"/>
        <w:ind w:left="640" w:hanging="640"/>
        <w:rPr>
          <w:rFonts w:ascii="Times New Roman" w:hAnsi="Times New Roman" w:cs="Times New Roman"/>
          <w:noProof/>
          <w:sz w:val="24"/>
        </w:rPr>
      </w:pPr>
      <w:r w:rsidRPr="00FD42AC">
        <w:rPr>
          <w:rFonts w:ascii="Times New Roman" w:hAnsi="Times New Roman" w:cs="Times New Roman"/>
          <w:noProof/>
          <w:sz w:val="24"/>
          <w:lang w:val="en-US"/>
        </w:rPr>
        <w:t xml:space="preserve">80. </w:t>
      </w:r>
      <w:r w:rsidRPr="00FD42AC">
        <w:rPr>
          <w:rFonts w:ascii="Times New Roman" w:hAnsi="Times New Roman" w:cs="Times New Roman"/>
          <w:noProof/>
          <w:sz w:val="24"/>
          <w:lang w:val="en-US"/>
        </w:rPr>
        <w:tab/>
        <w:t xml:space="preserve">Matsushita K, Toyoda T, Yamada T, Morikawa T, Ogawa K. Specific expression of survivin, SOX9, and CD44 in renal tubules in adaptive and maladaptive repair processes after acute kidney injury in rats. </w:t>
      </w:r>
      <w:r w:rsidRPr="00A6771D">
        <w:rPr>
          <w:rFonts w:ascii="Times New Roman" w:hAnsi="Times New Roman" w:cs="Times New Roman"/>
          <w:i/>
          <w:iCs/>
          <w:noProof/>
          <w:sz w:val="24"/>
        </w:rPr>
        <w:t>J Appl Toxicol</w:t>
      </w:r>
      <w:r w:rsidRPr="00A6771D">
        <w:rPr>
          <w:rFonts w:ascii="Times New Roman" w:hAnsi="Times New Roman" w:cs="Times New Roman"/>
          <w:noProof/>
          <w:sz w:val="24"/>
        </w:rPr>
        <w:t>. 2021;41(4):607-617. doi:10.1002/jat.4069</w:t>
      </w:r>
    </w:p>
    <w:p w14:paraId="673BB09A"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A6771D">
        <w:rPr>
          <w:rFonts w:ascii="Times New Roman" w:hAnsi="Times New Roman" w:cs="Times New Roman"/>
          <w:noProof/>
          <w:sz w:val="24"/>
        </w:rPr>
        <w:t xml:space="preserve">81. </w:t>
      </w:r>
      <w:r w:rsidRPr="00A6771D">
        <w:rPr>
          <w:rFonts w:ascii="Times New Roman" w:hAnsi="Times New Roman" w:cs="Times New Roman"/>
          <w:noProof/>
          <w:sz w:val="24"/>
        </w:rPr>
        <w:tab/>
        <w:t xml:space="preserve">Wang Z, Divanyan A, Jourd’heuil FL, et al. </w:t>
      </w:r>
      <w:r w:rsidRPr="00FD42AC">
        <w:rPr>
          <w:rFonts w:ascii="Times New Roman" w:hAnsi="Times New Roman" w:cs="Times New Roman"/>
          <w:noProof/>
          <w:sz w:val="24"/>
          <w:lang w:val="en-US"/>
        </w:rPr>
        <w:t xml:space="preserve">Vimentin expression is required for the development of EMT-related renal fibrosis following unilateral ureteral obstruction in mice. </w:t>
      </w:r>
      <w:r w:rsidRPr="00FD42AC">
        <w:rPr>
          <w:rFonts w:ascii="Times New Roman" w:hAnsi="Times New Roman" w:cs="Times New Roman"/>
          <w:i/>
          <w:iCs/>
          <w:noProof/>
          <w:sz w:val="24"/>
          <w:lang w:val="en-US"/>
        </w:rPr>
        <w:t>Am J Physiol - Ren Physiol</w:t>
      </w:r>
      <w:r w:rsidRPr="00FD42AC">
        <w:rPr>
          <w:rFonts w:ascii="Times New Roman" w:hAnsi="Times New Roman" w:cs="Times New Roman"/>
          <w:noProof/>
          <w:sz w:val="24"/>
          <w:lang w:val="en-US"/>
        </w:rPr>
        <w:t>. 2018;315(4):F769-F780. doi:10.1152/ajprenal.00340.2017</w:t>
      </w:r>
    </w:p>
    <w:p w14:paraId="77F301BF"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82. </w:t>
      </w:r>
      <w:r w:rsidRPr="00FD42AC">
        <w:rPr>
          <w:rFonts w:ascii="Times New Roman" w:hAnsi="Times New Roman" w:cs="Times New Roman"/>
          <w:noProof/>
          <w:sz w:val="24"/>
          <w:lang w:val="en-US"/>
        </w:rPr>
        <w:tab/>
        <w:t xml:space="preserve">Terryn S, Jouret F, Vandenabeele F, et al. A primary culture of mouse proximal tubular cells, established on collagen-coated membranes. </w:t>
      </w:r>
      <w:r w:rsidRPr="00FD42AC">
        <w:rPr>
          <w:rFonts w:ascii="Times New Roman" w:hAnsi="Times New Roman" w:cs="Times New Roman"/>
          <w:i/>
          <w:iCs/>
          <w:noProof/>
          <w:sz w:val="24"/>
          <w:lang w:val="en-US"/>
        </w:rPr>
        <w:t>Am J Physiol - Ren Physiol</w:t>
      </w:r>
      <w:r w:rsidRPr="00FD42AC">
        <w:rPr>
          <w:rFonts w:ascii="Times New Roman" w:hAnsi="Times New Roman" w:cs="Times New Roman"/>
          <w:noProof/>
          <w:sz w:val="24"/>
          <w:lang w:val="en-US"/>
        </w:rPr>
        <w:t>. Published online 2007. doi:10.1152/ajprenal.00363.2006</w:t>
      </w:r>
    </w:p>
    <w:p w14:paraId="4096FB9E"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83. </w:t>
      </w:r>
      <w:r w:rsidRPr="00FD42AC">
        <w:rPr>
          <w:rFonts w:ascii="Times New Roman" w:hAnsi="Times New Roman" w:cs="Times New Roman"/>
          <w:noProof/>
          <w:sz w:val="24"/>
          <w:lang w:val="en-US"/>
        </w:rPr>
        <w:tab/>
        <w:t xml:space="preserve">Bultot L, Jensen TE, Lai YC, et al. Benzimidazole derivative small-molecule 991 enhances AMPK activity and glucose uptake induced by AICAR or contraction in skeletal muscle. </w:t>
      </w:r>
      <w:r w:rsidRPr="00FD42AC">
        <w:rPr>
          <w:rFonts w:ascii="Times New Roman" w:hAnsi="Times New Roman" w:cs="Times New Roman"/>
          <w:i/>
          <w:iCs/>
          <w:noProof/>
          <w:sz w:val="24"/>
          <w:lang w:val="en-US"/>
        </w:rPr>
        <w:t>Am J Physiol - Endocrinol Metab</w:t>
      </w:r>
      <w:r w:rsidRPr="00FD42AC">
        <w:rPr>
          <w:rFonts w:ascii="Times New Roman" w:hAnsi="Times New Roman" w:cs="Times New Roman"/>
          <w:noProof/>
          <w:sz w:val="24"/>
          <w:lang w:val="en-US"/>
        </w:rPr>
        <w:t>. 2016;311(4):E706-E719. doi:10.1152/ajpendo.00237.2016</w:t>
      </w:r>
    </w:p>
    <w:p w14:paraId="7B3FA05B" w14:textId="77777777" w:rsidR="00A6771D" w:rsidRPr="00FD42AC" w:rsidRDefault="00A6771D" w:rsidP="00A6771D">
      <w:pPr>
        <w:widowControl w:val="0"/>
        <w:autoSpaceDE w:val="0"/>
        <w:autoSpaceDN w:val="0"/>
        <w:adjustRightInd w:val="0"/>
        <w:spacing w:line="480" w:lineRule="auto"/>
        <w:ind w:left="640" w:hanging="640"/>
        <w:rPr>
          <w:rFonts w:ascii="Times New Roman" w:hAnsi="Times New Roman" w:cs="Times New Roman"/>
          <w:noProof/>
          <w:sz w:val="24"/>
          <w:lang w:val="en-US"/>
        </w:rPr>
      </w:pPr>
      <w:r w:rsidRPr="00FD42AC">
        <w:rPr>
          <w:rFonts w:ascii="Times New Roman" w:hAnsi="Times New Roman" w:cs="Times New Roman"/>
          <w:noProof/>
          <w:sz w:val="24"/>
          <w:lang w:val="en-US"/>
        </w:rPr>
        <w:t xml:space="preserve">84. </w:t>
      </w:r>
      <w:r w:rsidRPr="00FD42AC">
        <w:rPr>
          <w:rFonts w:ascii="Times New Roman" w:hAnsi="Times New Roman" w:cs="Times New Roman"/>
          <w:noProof/>
          <w:sz w:val="24"/>
          <w:lang w:val="en-US"/>
        </w:rPr>
        <w:tab/>
        <w:t xml:space="preserve">Jadot M, Andrianaivo F, Dubois F, Wattiaux R. Effects of methylcyclodextrin on lysosomes. </w:t>
      </w:r>
      <w:r w:rsidRPr="00FD42AC">
        <w:rPr>
          <w:rFonts w:ascii="Times New Roman" w:hAnsi="Times New Roman" w:cs="Times New Roman"/>
          <w:i/>
          <w:iCs/>
          <w:noProof/>
          <w:sz w:val="24"/>
          <w:lang w:val="en-US"/>
        </w:rPr>
        <w:t>Eur J Biochem</w:t>
      </w:r>
      <w:r w:rsidRPr="00FD42AC">
        <w:rPr>
          <w:rFonts w:ascii="Times New Roman" w:hAnsi="Times New Roman" w:cs="Times New Roman"/>
          <w:noProof/>
          <w:sz w:val="24"/>
          <w:lang w:val="en-US"/>
        </w:rPr>
        <w:t>. 2001;268(5):1392-1399. doi:10.1046/j.1432-1327.2001.02006.x</w:t>
      </w:r>
    </w:p>
    <w:p w14:paraId="600D9747" w14:textId="77777777" w:rsidR="00AB1B85" w:rsidRPr="00405F18" w:rsidRDefault="00023A65" w:rsidP="00270044">
      <w:pPr>
        <w:spacing w:line="480" w:lineRule="auto"/>
        <w:jc w:val="both"/>
        <w:rPr>
          <w:rFonts w:ascii="Times New Roman" w:hAnsi="Times New Roman" w:cs="Times New Roman"/>
          <w:sz w:val="24"/>
          <w:szCs w:val="24"/>
          <w:lang w:val="en-GB"/>
        </w:rPr>
      </w:pPr>
      <w:r w:rsidRPr="00405F18">
        <w:rPr>
          <w:rFonts w:ascii="Times New Roman" w:hAnsi="Times New Roman" w:cs="Times New Roman"/>
          <w:sz w:val="24"/>
          <w:szCs w:val="24"/>
          <w:lang w:val="en-US"/>
        </w:rPr>
        <w:lastRenderedPageBreak/>
        <w:fldChar w:fldCharType="end"/>
      </w:r>
      <w:r w:rsidR="00AB1B85" w:rsidRPr="00405F18">
        <w:rPr>
          <w:rFonts w:ascii="Times New Roman" w:hAnsi="Times New Roman" w:cs="Times New Roman"/>
          <w:sz w:val="24"/>
          <w:szCs w:val="24"/>
          <w:lang w:val="en-GB"/>
        </w:rPr>
        <w:br w:type="page"/>
      </w:r>
    </w:p>
    <w:p w14:paraId="0A6DB958" w14:textId="686E06F3" w:rsidR="000F7F51" w:rsidRPr="00405F18" w:rsidRDefault="00107591" w:rsidP="00270044">
      <w:pPr>
        <w:spacing w:line="480" w:lineRule="auto"/>
        <w:jc w:val="both"/>
        <w:rPr>
          <w:rFonts w:ascii="Times New Roman" w:hAnsi="Times New Roman" w:cs="Times New Roman"/>
          <w:sz w:val="24"/>
          <w:szCs w:val="24"/>
          <w:lang w:val="en-GB"/>
        </w:rPr>
      </w:pPr>
      <w:r w:rsidRPr="00405F18">
        <w:rPr>
          <w:rFonts w:ascii="Times New Roman" w:hAnsi="Times New Roman" w:cs="Times New Roman"/>
          <w:b/>
          <w:bCs/>
          <w:sz w:val="24"/>
          <w:szCs w:val="24"/>
          <w:lang w:val="en-US"/>
        </w:rPr>
        <w:lastRenderedPageBreak/>
        <w:t>Figure legends</w:t>
      </w:r>
    </w:p>
    <w:p w14:paraId="4B3B4986" w14:textId="310158AA" w:rsidR="007A3DB2" w:rsidRDefault="000C5FF8" w:rsidP="00270044">
      <w:pPr>
        <w:pStyle w:val="NormalWeb"/>
        <w:spacing w:before="0" w:beforeAutospacing="0" w:after="160" w:afterAutospacing="0" w:line="480" w:lineRule="auto"/>
        <w:jc w:val="both"/>
        <w:rPr>
          <w:rFonts w:eastAsiaTheme="minorEastAsia"/>
          <w:color w:val="000000" w:themeColor="text1"/>
          <w:kern w:val="24"/>
          <w:lang w:val="en-US"/>
        </w:rPr>
      </w:pPr>
      <w:r w:rsidRPr="00405F18">
        <w:rPr>
          <w:rFonts w:eastAsia="Calibri"/>
          <w:b/>
          <w:bCs/>
          <w:color w:val="000000" w:themeColor="text1"/>
          <w:kern w:val="24"/>
          <w:lang w:val="en-US"/>
        </w:rPr>
        <w:t xml:space="preserve">Figure 1. </w:t>
      </w:r>
      <w:r w:rsidR="008C45D3" w:rsidRPr="00405F18">
        <w:rPr>
          <w:rFonts w:eastAsia="Calibri"/>
          <w:color w:val="000000" w:themeColor="text1"/>
          <w:kern w:val="24"/>
          <w:lang w:val="en-US"/>
        </w:rPr>
        <w:t xml:space="preserve">PA induces the accumulation of autophagosomes in </w:t>
      </w:r>
      <w:r w:rsidR="009326CD" w:rsidRPr="009326CD">
        <w:rPr>
          <w:rFonts w:eastAsia="Calibri"/>
          <w:i/>
          <w:iCs/>
          <w:color w:val="000000" w:themeColor="text1"/>
          <w:kern w:val="24"/>
          <w:lang w:val="en-US"/>
        </w:rPr>
        <w:t>Mus musculus</w:t>
      </w:r>
      <w:r w:rsidR="009326CD">
        <w:rPr>
          <w:rFonts w:eastAsia="Calibri"/>
          <w:color w:val="000000" w:themeColor="text1"/>
          <w:kern w:val="24"/>
          <w:lang w:val="en-US"/>
        </w:rPr>
        <w:t xml:space="preserve"> (mouse)</w:t>
      </w:r>
      <w:r w:rsidR="008C45D3" w:rsidRPr="00405F18">
        <w:rPr>
          <w:rFonts w:eastAsia="Calibri"/>
          <w:color w:val="000000" w:themeColor="text1"/>
          <w:kern w:val="24"/>
          <w:lang w:val="en-US"/>
        </w:rPr>
        <w:t xml:space="preserve"> proximal tubular epithelial cells (</w:t>
      </w:r>
      <w:proofErr w:type="spellStart"/>
      <w:r w:rsidR="009326CD">
        <w:rPr>
          <w:rFonts w:eastAsia="Calibri"/>
          <w:color w:val="000000" w:themeColor="text1"/>
          <w:kern w:val="24"/>
          <w:lang w:val="en-US"/>
        </w:rPr>
        <w:t>M</w:t>
      </w:r>
      <w:r w:rsidR="008C45D3" w:rsidRPr="00405F18">
        <w:rPr>
          <w:rFonts w:eastAsia="Calibri"/>
          <w:color w:val="000000" w:themeColor="text1"/>
          <w:kern w:val="24"/>
          <w:lang w:val="en-US"/>
        </w:rPr>
        <w:t>mPTECs</w:t>
      </w:r>
      <w:proofErr w:type="spellEnd"/>
      <w:r w:rsidR="008C45D3" w:rsidRPr="00405F18">
        <w:rPr>
          <w:rFonts w:eastAsia="Calibri"/>
          <w:color w:val="000000" w:themeColor="text1"/>
          <w:kern w:val="24"/>
          <w:lang w:val="en-US"/>
        </w:rPr>
        <w:t>). (</w:t>
      </w:r>
      <w:r w:rsidR="008C45D3" w:rsidRPr="00405F18">
        <w:rPr>
          <w:rFonts w:eastAsia="Calibri"/>
          <w:b/>
          <w:bCs/>
          <w:color w:val="000000" w:themeColor="text1"/>
          <w:kern w:val="24"/>
          <w:lang w:val="en-US"/>
        </w:rPr>
        <w:t>A</w:t>
      </w:r>
      <w:r w:rsidR="008C45D3" w:rsidRPr="00405F18">
        <w:rPr>
          <w:rFonts w:eastAsia="Calibri"/>
          <w:color w:val="000000" w:themeColor="text1"/>
          <w:kern w:val="24"/>
          <w:lang w:val="en-US"/>
        </w:rPr>
        <w:t>)</w:t>
      </w:r>
      <w:r w:rsidR="008C45D3" w:rsidRPr="00405F18">
        <w:rPr>
          <w:rFonts w:eastAsia="Calibri"/>
          <w:b/>
          <w:bCs/>
          <w:color w:val="000000" w:themeColor="text1"/>
          <w:kern w:val="24"/>
          <w:lang w:val="en-US"/>
        </w:rPr>
        <w:t xml:space="preserve"> </w:t>
      </w:r>
      <w:proofErr w:type="spellStart"/>
      <w:r w:rsidR="009326CD">
        <w:rPr>
          <w:rFonts w:eastAsia="Calibri"/>
          <w:color w:val="000000" w:themeColor="text1"/>
          <w:kern w:val="24"/>
          <w:lang w:val="en-US"/>
        </w:rPr>
        <w:t>M</w:t>
      </w:r>
      <w:r w:rsidR="008C45D3" w:rsidRPr="00405F18">
        <w:rPr>
          <w:rFonts w:eastAsia="Calibri"/>
          <w:color w:val="000000" w:themeColor="text1"/>
          <w:kern w:val="24"/>
          <w:lang w:val="en-US"/>
        </w:rPr>
        <w:t>mPTECs</w:t>
      </w:r>
      <w:proofErr w:type="spellEnd"/>
      <w:r w:rsidR="008C45D3" w:rsidRPr="00405F18">
        <w:rPr>
          <w:rFonts w:eastAsia="Calibri"/>
          <w:color w:val="000000" w:themeColor="text1"/>
          <w:kern w:val="24"/>
          <w:lang w:val="en-US"/>
        </w:rPr>
        <w:t xml:space="preserve"> were treated with 300 µM PA or 0.4% BSA for 6 or 24 h and stained with </w:t>
      </w:r>
      <w:r w:rsidR="008C45D3" w:rsidRPr="00405F18">
        <w:rPr>
          <w:rFonts w:eastAsia="Calibri"/>
          <w:color w:val="000000" w:themeColor="text1"/>
          <w:kern w:val="24"/>
          <w:lang w:val="en-ZA"/>
        </w:rPr>
        <w:t>BODIP</w:t>
      </w:r>
      <w:r w:rsidR="00226661">
        <w:rPr>
          <w:rFonts w:eastAsia="Calibri"/>
          <w:color w:val="000000" w:themeColor="text1"/>
          <w:kern w:val="24"/>
          <w:lang w:val="en-ZA"/>
        </w:rPr>
        <w:t>Y</w:t>
      </w:r>
      <w:r w:rsidR="00226661" w:rsidRPr="00226661">
        <w:rPr>
          <w:rFonts w:eastAsia="Calibri"/>
          <w:color w:val="000000" w:themeColor="text1"/>
          <w:kern w:val="24"/>
          <w:vertAlign w:val="superscript"/>
          <w:lang w:val="en-ZA"/>
        </w:rPr>
        <w:t>TM</w:t>
      </w:r>
      <w:r w:rsidR="00226661">
        <w:rPr>
          <w:rFonts w:eastAsia="Calibri"/>
          <w:color w:val="000000" w:themeColor="text1"/>
          <w:kern w:val="24"/>
          <w:lang w:val="en-ZA"/>
        </w:rPr>
        <w:t xml:space="preserve"> </w:t>
      </w:r>
      <w:r w:rsidR="008C45D3" w:rsidRPr="00405F18">
        <w:rPr>
          <w:rFonts w:eastAsia="Calibri"/>
          <w:color w:val="000000" w:themeColor="text1"/>
          <w:kern w:val="24"/>
          <w:lang w:val="en-ZA"/>
        </w:rPr>
        <w:t>493/503 for 15 min. Quantifications of lipid droplet (</w:t>
      </w:r>
      <w:r w:rsidR="008C45D3" w:rsidRPr="00405F18">
        <w:rPr>
          <w:rFonts w:eastAsia="Calibri"/>
          <w:b/>
          <w:bCs/>
          <w:color w:val="000000" w:themeColor="text1"/>
          <w:kern w:val="24"/>
          <w:lang w:val="en-ZA"/>
        </w:rPr>
        <w:t>B</w:t>
      </w:r>
      <w:r w:rsidR="008C45D3" w:rsidRPr="00405F18">
        <w:rPr>
          <w:rFonts w:eastAsia="Calibri"/>
          <w:color w:val="000000" w:themeColor="text1"/>
          <w:kern w:val="24"/>
          <w:lang w:val="en-ZA"/>
        </w:rPr>
        <w:t>) number and (</w:t>
      </w:r>
      <w:r w:rsidR="008C45D3" w:rsidRPr="00405F18">
        <w:rPr>
          <w:rFonts w:eastAsia="Calibri"/>
          <w:b/>
          <w:bCs/>
          <w:color w:val="000000" w:themeColor="text1"/>
          <w:kern w:val="24"/>
          <w:lang w:val="en-ZA"/>
        </w:rPr>
        <w:t>C</w:t>
      </w:r>
      <w:r w:rsidR="008C45D3" w:rsidRPr="00405F18">
        <w:rPr>
          <w:rFonts w:eastAsia="Calibri"/>
          <w:color w:val="000000" w:themeColor="text1"/>
          <w:kern w:val="24"/>
          <w:lang w:val="en-ZA"/>
        </w:rPr>
        <w:t>)</w:t>
      </w:r>
      <w:r w:rsidR="008C45D3" w:rsidRPr="00405F18">
        <w:rPr>
          <w:rFonts w:eastAsia="Calibri"/>
          <w:b/>
          <w:bCs/>
          <w:color w:val="000000" w:themeColor="text1"/>
          <w:kern w:val="24"/>
          <w:lang w:val="en-ZA"/>
        </w:rPr>
        <w:t xml:space="preserve"> </w:t>
      </w:r>
      <w:r w:rsidR="008C45D3" w:rsidRPr="00405F18">
        <w:rPr>
          <w:rFonts w:eastAsia="Calibri"/>
          <w:color w:val="000000" w:themeColor="text1"/>
          <w:kern w:val="24"/>
          <w:lang w:val="en-ZA"/>
        </w:rPr>
        <w:t xml:space="preserve">size on 100 cells per condition by Lipid Droplets MRI tool. </w:t>
      </w:r>
      <w:r w:rsidR="008C45D3" w:rsidRPr="00405F18">
        <w:rPr>
          <w:rFonts w:eastAsiaTheme="minorEastAsia"/>
          <w:color w:val="000000" w:themeColor="text1"/>
          <w:kern w:val="24"/>
          <w:lang w:val="en-US"/>
        </w:rPr>
        <w:t>(</w:t>
      </w:r>
      <w:r w:rsidR="008C45D3" w:rsidRPr="00405F18">
        <w:rPr>
          <w:rFonts w:eastAsiaTheme="minorEastAsia"/>
          <w:b/>
          <w:bCs/>
          <w:color w:val="000000" w:themeColor="text1"/>
          <w:kern w:val="24"/>
          <w:lang w:val="en-US"/>
        </w:rPr>
        <w:t>D</w:t>
      </w:r>
      <w:r w:rsidR="008C45D3" w:rsidRPr="00405F18">
        <w:rPr>
          <w:rFonts w:eastAsiaTheme="minorEastAsia"/>
          <w:color w:val="000000" w:themeColor="text1"/>
          <w:kern w:val="24"/>
          <w:lang w:val="en-US"/>
        </w:rPr>
        <w:t>) Representative western blot and (</w:t>
      </w:r>
      <w:r w:rsidR="008C45D3" w:rsidRPr="00405F18">
        <w:rPr>
          <w:rFonts w:eastAsiaTheme="minorEastAsia"/>
          <w:b/>
          <w:bCs/>
          <w:color w:val="000000" w:themeColor="text1"/>
          <w:kern w:val="24"/>
          <w:lang w:val="en-US"/>
        </w:rPr>
        <w:t>E,F</w:t>
      </w:r>
      <w:r w:rsidR="008C45D3" w:rsidRPr="00405F18">
        <w:rPr>
          <w:rFonts w:eastAsiaTheme="minorEastAsia"/>
          <w:color w:val="000000" w:themeColor="text1"/>
          <w:kern w:val="24"/>
          <w:lang w:val="en-US"/>
        </w:rPr>
        <w:t xml:space="preserve">) quantitative densitometry analysis of LC3, SQSTM1 and </w:t>
      </w:r>
      <w:r w:rsidR="0086015D">
        <w:rPr>
          <w:rFonts w:eastAsiaTheme="minorEastAsia"/>
          <w:color w:val="000000" w:themeColor="text1"/>
          <w:kern w:val="24"/>
          <w:lang w:val="en-US"/>
        </w:rPr>
        <w:t>ACTB/</w:t>
      </w:r>
      <w:r w:rsidR="008C45D3" w:rsidRPr="00405F18">
        <w:rPr>
          <w:rFonts w:eastAsiaTheme="minorEastAsia"/>
          <w:color w:val="000000" w:themeColor="text1"/>
          <w:kern w:val="24"/>
          <w:lang w:val="el-GR"/>
        </w:rPr>
        <w:t>β</w:t>
      </w:r>
      <w:r w:rsidR="008C45D3" w:rsidRPr="00405F18">
        <w:rPr>
          <w:rFonts w:eastAsiaTheme="minorEastAsia"/>
          <w:color w:val="000000" w:themeColor="text1"/>
          <w:kern w:val="24"/>
          <w:lang w:val="en-US"/>
        </w:rPr>
        <w:t xml:space="preserve">-actin in </w:t>
      </w:r>
      <w:proofErr w:type="spellStart"/>
      <w:r w:rsidR="009326CD">
        <w:rPr>
          <w:rFonts w:eastAsiaTheme="minorEastAsia"/>
          <w:color w:val="000000" w:themeColor="text1"/>
          <w:kern w:val="24"/>
          <w:lang w:val="en-US"/>
        </w:rPr>
        <w:t>M</w:t>
      </w:r>
      <w:r w:rsidR="008C45D3" w:rsidRPr="00405F18">
        <w:rPr>
          <w:rFonts w:eastAsiaTheme="minorEastAsia"/>
          <w:color w:val="000000" w:themeColor="text1"/>
          <w:kern w:val="24"/>
          <w:lang w:val="en-US"/>
        </w:rPr>
        <w:t>mPTECs</w:t>
      </w:r>
      <w:proofErr w:type="spellEnd"/>
      <w:r w:rsidR="008C45D3" w:rsidRPr="00405F18">
        <w:rPr>
          <w:rFonts w:eastAsiaTheme="minorEastAsia"/>
          <w:color w:val="000000" w:themeColor="text1"/>
          <w:kern w:val="24"/>
          <w:lang w:val="en-US"/>
        </w:rPr>
        <w:t xml:space="preserve"> treated with 300 µM PA or 0.4% BSA for 6 or 24 with or without 2 </w:t>
      </w:r>
      <w:proofErr w:type="spellStart"/>
      <w:r w:rsidR="008C45D3" w:rsidRPr="00405F18">
        <w:rPr>
          <w:rFonts w:eastAsiaTheme="minorEastAsia"/>
          <w:color w:val="000000" w:themeColor="text1"/>
          <w:kern w:val="24"/>
          <w:lang w:val="en-US"/>
        </w:rPr>
        <w:t>nM</w:t>
      </w:r>
      <w:proofErr w:type="spellEnd"/>
      <w:r w:rsidR="008C45D3" w:rsidRPr="00405F18">
        <w:rPr>
          <w:rFonts w:eastAsiaTheme="minorEastAsia"/>
          <w:color w:val="000000" w:themeColor="text1"/>
          <w:kern w:val="24"/>
          <w:lang w:val="en-US"/>
        </w:rPr>
        <w:t xml:space="preserve"> bafilomycin A</w:t>
      </w:r>
      <w:r w:rsidR="008C45D3" w:rsidRPr="00FF7085">
        <w:rPr>
          <w:rFonts w:eastAsiaTheme="minorEastAsia"/>
          <w:color w:val="000000" w:themeColor="text1"/>
          <w:kern w:val="24"/>
          <w:vertAlign w:val="subscript"/>
          <w:lang w:val="en-US"/>
        </w:rPr>
        <w:t>1</w:t>
      </w:r>
      <w:r w:rsidR="008C45D3" w:rsidRPr="00405F18">
        <w:rPr>
          <w:rFonts w:eastAsiaTheme="minorEastAsia"/>
          <w:color w:val="000000" w:themeColor="text1"/>
          <w:kern w:val="24"/>
          <w:lang w:val="en-US"/>
        </w:rPr>
        <w:t xml:space="preserve"> for last 6 h. (</w:t>
      </w:r>
      <w:r w:rsidR="008C45D3" w:rsidRPr="00405F18">
        <w:rPr>
          <w:rFonts w:eastAsiaTheme="minorEastAsia"/>
          <w:b/>
          <w:bCs/>
          <w:color w:val="000000" w:themeColor="text1"/>
          <w:kern w:val="24"/>
          <w:lang w:val="en-US"/>
        </w:rPr>
        <w:t>G</w:t>
      </w:r>
      <w:r w:rsidR="008C45D3" w:rsidRPr="00405F18">
        <w:rPr>
          <w:rFonts w:eastAsiaTheme="minorEastAsia"/>
          <w:color w:val="000000" w:themeColor="text1"/>
          <w:kern w:val="24"/>
          <w:lang w:val="en-US"/>
        </w:rPr>
        <w:t>)</w:t>
      </w:r>
      <w:r w:rsidR="008C45D3" w:rsidRPr="00405F18">
        <w:rPr>
          <w:rFonts w:eastAsiaTheme="minorEastAsia"/>
          <w:b/>
          <w:bCs/>
          <w:color w:val="000000" w:themeColor="text1"/>
          <w:kern w:val="24"/>
          <w:lang w:val="en-US"/>
        </w:rPr>
        <w:t xml:space="preserve"> </w:t>
      </w:r>
      <w:r w:rsidR="008C45D3" w:rsidRPr="00405F18">
        <w:rPr>
          <w:rFonts w:eastAsiaTheme="minorEastAsia"/>
          <w:color w:val="000000" w:themeColor="text1"/>
          <w:kern w:val="24"/>
          <w:lang w:val="en-US"/>
        </w:rPr>
        <w:t xml:space="preserve">Representative micrographs of </w:t>
      </w:r>
      <w:proofErr w:type="spellStart"/>
      <w:r w:rsidR="009326CD">
        <w:rPr>
          <w:rFonts w:eastAsiaTheme="minorEastAsia"/>
          <w:color w:val="000000" w:themeColor="text1"/>
          <w:kern w:val="24"/>
          <w:lang w:val="en-US"/>
        </w:rPr>
        <w:t>M</w:t>
      </w:r>
      <w:r w:rsidR="008C45D3" w:rsidRPr="00405F18">
        <w:rPr>
          <w:rFonts w:eastAsiaTheme="minorEastAsia"/>
          <w:color w:val="000000" w:themeColor="text1"/>
          <w:kern w:val="24"/>
          <w:lang w:val="en-US"/>
        </w:rPr>
        <w:t>mPTECs</w:t>
      </w:r>
      <w:proofErr w:type="spellEnd"/>
      <w:r w:rsidR="008C45D3" w:rsidRPr="00405F18">
        <w:rPr>
          <w:rFonts w:eastAsiaTheme="minorEastAsia"/>
          <w:color w:val="000000" w:themeColor="text1"/>
          <w:kern w:val="24"/>
          <w:lang w:val="en-US"/>
        </w:rPr>
        <w:t xml:space="preserve"> expressing mRFP-GFP-LC3B and treated with 300 µM PA or 0.4% BSA for 6 or 24 h with or without 2 </w:t>
      </w:r>
      <w:proofErr w:type="spellStart"/>
      <w:r w:rsidR="008C45D3" w:rsidRPr="00405F18">
        <w:rPr>
          <w:rFonts w:eastAsiaTheme="minorEastAsia"/>
          <w:color w:val="000000" w:themeColor="text1"/>
          <w:kern w:val="24"/>
          <w:lang w:val="en-US"/>
        </w:rPr>
        <w:t>nM</w:t>
      </w:r>
      <w:proofErr w:type="spellEnd"/>
      <w:r w:rsidR="008C45D3" w:rsidRPr="00405F18">
        <w:rPr>
          <w:rFonts w:eastAsiaTheme="minorEastAsia"/>
          <w:color w:val="000000" w:themeColor="text1"/>
          <w:kern w:val="24"/>
          <w:lang w:val="en-US"/>
        </w:rPr>
        <w:t xml:space="preserve"> bafilomycin A</w:t>
      </w:r>
      <w:r w:rsidR="008C45D3" w:rsidRPr="00FF7085">
        <w:rPr>
          <w:rFonts w:eastAsiaTheme="minorEastAsia"/>
          <w:color w:val="000000" w:themeColor="text1"/>
          <w:kern w:val="24"/>
          <w:vertAlign w:val="subscript"/>
          <w:lang w:val="en-US"/>
        </w:rPr>
        <w:t>1</w:t>
      </w:r>
      <w:r w:rsidR="008C45D3" w:rsidRPr="00405F18">
        <w:rPr>
          <w:rFonts w:eastAsiaTheme="minorEastAsia"/>
          <w:color w:val="000000" w:themeColor="text1"/>
          <w:kern w:val="24"/>
          <w:lang w:val="en-US"/>
        </w:rPr>
        <w:t xml:space="preserve"> for </w:t>
      </w:r>
      <w:r w:rsidR="0086015D">
        <w:rPr>
          <w:rFonts w:eastAsiaTheme="minorEastAsia"/>
          <w:color w:val="000000" w:themeColor="text1"/>
          <w:kern w:val="24"/>
          <w:lang w:val="en-US"/>
        </w:rPr>
        <w:t xml:space="preserve">the </w:t>
      </w:r>
      <w:r w:rsidR="008C45D3" w:rsidRPr="00405F18">
        <w:rPr>
          <w:rFonts w:eastAsiaTheme="minorEastAsia"/>
          <w:color w:val="000000" w:themeColor="text1"/>
          <w:kern w:val="24"/>
          <w:lang w:val="en-US"/>
        </w:rPr>
        <w:t xml:space="preserve">last 6 h. </w:t>
      </w:r>
      <w:r w:rsidR="008C45D3" w:rsidRPr="00226661">
        <w:rPr>
          <w:rFonts w:eastAsiaTheme="minorEastAsia"/>
          <w:color w:val="000000" w:themeColor="text1"/>
          <w:kern w:val="24"/>
          <w:lang w:val="en-US"/>
        </w:rPr>
        <w:t>GFP</w:t>
      </w:r>
      <w:r w:rsidR="0086015D" w:rsidRPr="00226661">
        <w:rPr>
          <w:rFonts w:eastAsiaTheme="minorEastAsia"/>
          <w:color w:val="000000" w:themeColor="text1"/>
          <w:kern w:val="24"/>
          <w:vertAlign w:val="superscript"/>
          <w:lang w:val="en-US"/>
        </w:rPr>
        <w:t>+</w:t>
      </w:r>
      <w:r w:rsidR="008C45D3" w:rsidRPr="00226661">
        <w:rPr>
          <w:rFonts w:eastAsiaTheme="minorEastAsia"/>
          <w:color w:val="000000" w:themeColor="text1"/>
          <w:kern w:val="24"/>
          <w:position w:val="7"/>
          <w:vertAlign w:val="superscript"/>
          <w:lang w:val="en-US"/>
        </w:rPr>
        <w:t xml:space="preserve"> </w:t>
      </w:r>
      <w:r w:rsidR="008C45D3" w:rsidRPr="00226661">
        <w:rPr>
          <w:rFonts w:eastAsiaTheme="minorEastAsia"/>
          <w:color w:val="000000" w:themeColor="text1"/>
          <w:kern w:val="24"/>
          <w:lang w:val="en-US"/>
        </w:rPr>
        <w:t>RFP</w:t>
      </w:r>
      <w:r w:rsidR="0086015D" w:rsidRPr="00226661">
        <w:rPr>
          <w:rFonts w:eastAsiaTheme="minorEastAsia"/>
          <w:color w:val="000000" w:themeColor="text1"/>
          <w:kern w:val="24"/>
          <w:vertAlign w:val="superscript"/>
          <w:lang w:val="en-US"/>
        </w:rPr>
        <w:t>+</w:t>
      </w:r>
      <w:r w:rsidR="008C45D3" w:rsidRPr="00405F18">
        <w:rPr>
          <w:rFonts w:eastAsiaTheme="minorEastAsia"/>
          <w:color w:val="000000" w:themeColor="text1"/>
          <w:kern w:val="24"/>
          <w:lang w:val="en-US"/>
        </w:rPr>
        <w:t xml:space="preserve"> (yellow) puncta indicate autophagosomes (neutral pH), and GFP</w:t>
      </w:r>
      <w:r w:rsidR="0086015D">
        <w:rPr>
          <w:rFonts w:eastAsiaTheme="minorEastAsia"/>
          <w:color w:val="000000" w:themeColor="text1"/>
          <w:kern w:val="24"/>
          <w:vertAlign w:val="superscript"/>
          <w:lang w:val="en-US"/>
        </w:rPr>
        <w:t>-</w:t>
      </w:r>
      <w:r w:rsidR="008C45D3" w:rsidRPr="00405F18">
        <w:rPr>
          <w:rFonts w:eastAsiaTheme="minorEastAsia"/>
          <w:color w:val="000000" w:themeColor="text1"/>
          <w:kern w:val="24"/>
          <w:position w:val="7"/>
          <w:vertAlign w:val="superscript"/>
          <w:lang w:val="en-US"/>
        </w:rPr>
        <w:t xml:space="preserve"> </w:t>
      </w:r>
      <w:r w:rsidR="008C45D3" w:rsidRPr="00405F18">
        <w:rPr>
          <w:rFonts w:eastAsiaTheme="minorEastAsia"/>
          <w:color w:val="000000" w:themeColor="text1"/>
          <w:kern w:val="24"/>
          <w:lang w:val="en-US"/>
        </w:rPr>
        <w:t>RFP</w:t>
      </w:r>
      <w:r w:rsidR="0086015D" w:rsidRPr="001E4170">
        <w:rPr>
          <w:rFonts w:eastAsiaTheme="minorEastAsia"/>
          <w:color w:val="000000" w:themeColor="text1"/>
          <w:kern w:val="24"/>
          <w:vertAlign w:val="superscript"/>
          <w:lang w:val="en-US"/>
        </w:rPr>
        <w:t>+</w:t>
      </w:r>
      <w:r w:rsidR="008C45D3" w:rsidRPr="00405F18">
        <w:rPr>
          <w:rFonts w:eastAsiaTheme="minorEastAsia"/>
          <w:color w:val="000000" w:themeColor="text1"/>
          <w:kern w:val="24"/>
          <w:lang w:val="en-US"/>
        </w:rPr>
        <w:t xml:space="preserve"> (red) ones indicate acidic </w:t>
      </w:r>
      <w:proofErr w:type="spellStart"/>
      <w:r w:rsidR="008C45D3" w:rsidRPr="00405F18">
        <w:rPr>
          <w:rFonts w:eastAsiaTheme="minorEastAsia"/>
          <w:color w:val="000000" w:themeColor="text1"/>
          <w:kern w:val="24"/>
          <w:lang w:val="en-US"/>
        </w:rPr>
        <w:t>pH.</w:t>
      </w:r>
      <w:proofErr w:type="spellEnd"/>
      <w:r w:rsidR="008C45D3" w:rsidRPr="00405F18">
        <w:rPr>
          <w:rFonts w:eastAsiaTheme="minorEastAsia"/>
          <w:color w:val="000000" w:themeColor="text1"/>
          <w:kern w:val="24"/>
          <w:lang w:val="en-US"/>
        </w:rPr>
        <w:t xml:space="preserve"> Quantifications of the number of (</w:t>
      </w:r>
      <w:r w:rsidR="008C45D3" w:rsidRPr="00405F18">
        <w:rPr>
          <w:rFonts w:eastAsiaTheme="minorEastAsia"/>
          <w:b/>
          <w:bCs/>
          <w:color w:val="000000" w:themeColor="text1"/>
          <w:kern w:val="24"/>
          <w:lang w:val="en-US"/>
        </w:rPr>
        <w:t>H</w:t>
      </w:r>
      <w:r w:rsidR="008C45D3" w:rsidRPr="00405F18">
        <w:rPr>
          <w:rFonts w:eastAsiaTheme="minorEastAsia"/>
          <w:color w:val="000000" w:themeColor="text1"/>
          <w:kern w:val="24"/>
          <w:lang w:val="en-US"/>
        </w:rPr>
        <w:t>)</w:t>
      </w:r>
      <w:r w:rsidR="008C45D3" w:rsidRPr="00405F18">
        <w:rPr>
          <w:rFonts w:eastAsiaTheme="minorEastAsia"/>
          <w:b/>
          <w:bCs/>
          <w:color w:val="000000" w:themeColor="text1"/>
          <w:kern w:val="24"/>
          <w:lang w:val="en-US"/>
        </w:rPr>
        <w:t xml:space="preserve"> </w:t>
      </w:r>
      <w:r w:rsidR="008C45D3" w:rsidRPr="00405F18">
        <w:rPr>
          <w:rFonts w:eastAsiaTheme="minorEastAsia"/>
          <w:color w:val="000000"/>
          <w:kern w:val="24"/>
          <w:lang w:val="en-US"/>
        </w:rPr>
        <w:t>GFP</w:t>
      </w:r>
      <w:r w:rsidR="0086015D" w:rsidRPr="001E4170">
        <w:rPr>
          <w:rFonts w:eastAsiaTheme="minorEastAsia"/>
          <w:color w:val="000000" w:themeColor="text1"/>
          <w:kern w:val="24"/>
          <w:vertAlign w:val="superscript"/>
          <w:lang w:val="en-US"/>
        </w:rPr>
        <w:t>+</w:t>
      </w:r>
      <w:r w:rsidR="008C45D3" w:rsidRPr="00405F18">
        <w:rPr>
          <w:rFonts w:eastAsiaTheme="minorEastAsia"/>
          <w:color w:val="000000"/>
          <w:kern w:val="24"/>
          <w:lang w:val="en-US"/>
        </w:rPr>
        <w:t xml:space="preserve"> RFP</w:t>
      </w:r>
      <w:r w:rsidR="0086015D" w:rsidRPr="001E4170">
        <w:rPr>
          <w:rFonts w:eastAsiaTheme="minorEastAsia"/>
          <w:color w:val="000000" w:themeColor="text1"/>
          <w:kern w:val="24"/>
          <w:vertAlign w:val="superscript"/>
          <w:lang w:val="en-US"/>
        </w:rPr>
        <w:t>+</w:t>
      </w:r>
      <w:r w:rsidR="008C45D3" w:rsidRPr="00405F18">
        <w:rPr>
          <w:rFonts w:eastAsiaTheme="minorEastAsia"/>
          <w:color w:val="000000"/>
          <w:kern w:val="24"/>
          <w:lang w:val="en-US"/>
        </w:rPr>
        <w:t xml:space="preserve"> and (</w:t>
      </w:r>
      <w:r w:rsidR="008C45D3" w:rsidRPr="00405F18">
        <w:rPr>
          <w:rFonts w:eastAsiaTheme="minorEastAsia"/>
          <w:b/>
          <w:bCs/>
          <w:color w:val="000000"/>
          <w:kern w:val="24"/>
          <w:lang w:val="en-US"/>
        </w:rPr>
        <w:t>I</w:t>
      </w:r>
      <w:r w:rsidR="008C45D3" w:rsidRPr="00405F18">
        <w:rPr>
          <w:rFonts w:eastAsiaTheme="minorEastAsia"/>
          <w:color w:val="000000"/>
          <w:kern w:val="24"/>
          <w:lang w:val="en-US"/>
        </w:rPr>
        <w:t>)</w:t>
      </w:r>
      <w:r w:rsidR="008C45D3" w:rsidRPr="00405F18">
        <w:rPr>
          <w:rFonts w:eastAsiaTheme="minorEastAsia"/>
          <w:b/>
          <w:bCs/>
          <w:color w:val="000000"/>
          <w:kern w:val="24"/>
          <w:lang w:val="en-US"/>
        </w:rPr>
        <w:t xml:space="preserve"> </w:t>
      </w:r>
      <w:r w:rsidR="008C45D3" w:rsidRPr="00405F18">
        <w:rPr>
          <w:rFonts w:eastAsiaTheme="minorEastAsia"/>
          <w:color w:val="000000"/>
          <w:kern w:val="24"/>
          <w:lang w:val="en-US"/>
        </w:rPr>
        <w:t>GFP</w:t>
      </w:r>
      <w:r w:rsidR="0086015D">
        <w:rPr>
          <w:rFonts w:eastAsiaTheme="minorEastAsia"/>
          <w:color w:val="000000" w:themeColor="text1"/>
          <w:kern w:val="24"/>
          <w:vertAlign w:val="superscript"/>
          <w:lang w:val="en-US"/>
        </w:rPr>
        <w:t>-</w:t>
      </w:r>
      <w:r w:rsidR="008C45D3" w:rsidRPr="00405F18">
        <w:rPr>
          <w:rFonts w:eastAsiaTheme="minorEastAsia"/>
          <w:color w:val="000000"/>
          <w:kern w:val="24"/>
          <w:position w:val="7"/>
          <w:vertAlign w:val="superscript"/>
          <w:lang w:val="en-US"/>
        </w:rPr>
        <w:t xml:space="preserve"> </w:t>
      </w:r>
      <w:r w:rsidR="008C45D3" w:rsidRPr="00405F18">
        <w:rPr>
          <w:rFonts w:eastAsiaTheme="minorEastAsia"/>
          <w:color w:val="000000"/>
          <w:kern w:val="24"/>
          <w:lang w:val="en-US"/>
        </w:rPr>
        <w:t>RFP</w:t>
      </w:r>
      <w:r w:rsidR="0086015D" w:rsidRPr="001E4170">
        <w:rPr>
          <w:rFonts w:eastAsiaTheme="minorEastAsia"/>
          <w:color w:val="000000" w:themeColor="text1"/>
          <w:kern w:val="24"/>
          <w:vertAlign w:val="superscript"/>
          <w:lang w:val="en-US"/>
        </w:rPr>
        <w:t>+</w:t>
      </w:r>
      <w:r w:rsidR="008C45D3" w:rsidRPr="00405F18">
        <w:rPr>
          <w:rFonts w:eastAsiaTheme="minorEastAsia"/>
          <w:color w:val="000000"/>
          <w:kern w:val="24"/>
          <w:lang w:val="en-US"/>
        </w:rPr>
        <w:t xml:space="preserve"> puncta on </w:t>
      </w:r>
      <w:r w:rsidR="008C45D3" w:rsidRPr="00405F18">
        <w:rPr>
          <w:rFonts w:eastAsiaTheme="minorEastAsia"/>
          <w:color w:val="000000" w:themeColor="text1"/>
          <w:kern w:val="24"/>
          <w:lang w:val="en-US"/>
        </w:rPr>
        <w:t xml:space="preserve">30 cells per group. </w:t>
      </w:r>
      <w:r w:rsidR="008C45D3" w:rsidRPr="00405F18">
        <w:rPr>
          <w:rFonts w:eastAsia="Calibri"/>
          <w:color w:val="000000" w:themeColor="text1"/>
          <w:kern w:val="24"/>
          <w:lang w:val="en-ZA"/>
        </w:rPr>
        <w:t xml:space="preserve">Data are represented as </w:t>
      </w:r>
      <w:r w:rsidR="008C45D3" w:rsidRPr="00405F18">
        <w:rPr>
          <w:rFonts w:eastAsia="Calibri"/>
          <w:color w:val="000000" w:themeColor="text1"/>
          <w:kern w:val="24"/>
          <w:lang w:val="en-US"/>
        </w:rPr>
        <w:t>(</w:t>
      </w:r>
      <w:r w:rsidR="008C45D3" w:rsidRPr="00405F18">
        <w:rPr>
          <w:rFonts w:eastAsia="Calibri"/>
          <w:b/>
          <w:bCs/>
          <w:color w:val="000000" w:themeColor="text1"/>
          <w:kern w:val="24"/>
          <w:lang w:val="en-US"/>
        </w:rPr>
        <w:t>B</w:t>
      </w:r>
      <w:r w:rsidR="008C45D3" w:rsidRPr="00405F18">
        <w:rPr>
          <w:rFonts w:eastAsia="Calibri"/>
          <w:color w:val="000000" w:themeColor="text1"/>
          <w:kern w:val="24"/>
          <w:lang w:val="en-US"/>
        </w:rPr>
        <w:t xml:space="preserve">, </w:t>
      </w:r>
      <w:r w:rsidR="008C45D3" w:rsidRPr="00405F18">
        <w:rPr>
          <w:rFonts w:eastAsia="Calibri"/>
          <w:b/>
          <w:bCs/>
          <w:color w:val="000000" w:themeColor="text1"/>
          <w:kern w:val="24"/>
          <w:lang w:val="en-US"/>
        </w:rPr>
        <w:t>C</w:t>
      </w:r>
      <w:r w:rsidR="008C45D3" w:rsidRPr="00405F18">
        <w:rPr>
          <w:rFonts w:eastAsia="Calibri"/>
          <w:color w:val="000000" w:themeColor="text1"/>
          <w:kern w:val="24"/>
          <w:lang w:val="en-US"/>
        </w:rPr>
        <w:t>)</w:t>
      </w:r>
      <w:r w:rsidR="008C45D3" w:rsidRPr="00405F18">
        <w:rPr>
          <w:rFonts w:eastAsia="Calibri"/>
          <w:color w:val="000000" w:themeColor="text1"/>
          <w:kern w:val="24"/>
          <w:lang w:val="en-ZA"/>
        </w:rPr>
        <w:t xml:space="preserve"> mean</w:t>
      </w:r>
      <w:r w:rsidR="008C45D3" w:rsidRPr="00405F18">
        <w:rPr>
          <w:rFonts w:eastAsia="Calibri"/>
          <w:color w:val="000000" w:themeColor="text1"/>
          <w:kern w:val="24"/>
          <w:lang w:val="en-US"/>
        </w:rPr>
        <w:t>s and quarters or as (</w:t>
      </w:r>
      <w:r w:rsidR="008C45D3" w:rsidRPr="00405F18">
        <w:rPr>
          <w:rFonts w:eastAsia="Calibri"/>
          <w:b/>
          <w:bCs/>
          <w:color w:val="000000" w:themeColor="text1"/>
          <w:kern w:val="24"/>
          <w:lang w:val="en-US"/>
        </w:rPr>
        <w:t>E</w:t>
      </w:r>
      <w:r w:rsidR="008C45D3" w:rsidRPr="00405F18">
        <w:rPr>
          <w:rFonts w:eastAsia="Calibri"/>
          <w:color w:val="000000" w:themeColor="text1"/>
          <w:kern w:val="24"/>
          <w:lang w:val="en-US"/>
        </w:rPr>
        <w:t xml:space="preserve">, </w:t>
      </w:r>
      <w:r w:rsidR="008C45D3" w:rsidRPr="00405F18">
        <w:rPr>
          <w:rFonts w:eastAsia="Calibri"/>
          <w:b/>
          <w:bCs/>
          <w:color w:val="000000" w:themeColor="text1"/>
          <w:kern w:val="24"/>
          <w:lang w:val="en-US"/>
        </w:rPr>
        <w:t>F</w:t>
      </w:r>
      <w:r w:rsidR="008C45D3" w:rsidRPr="00405F18">
        <w:rPr>
          <w:rFonts w:eastAsia="Calibri"/>
          <w:color w:val="000000" w:themeColor="text1"/>
          <w:kern w:val="24"/>
          <w:lang w:val="en-US"/>
        </w:rPr>
        <w:t xml:space="preserve">, </w:t>
      </w:r>
      <w:r w:rsidR="008C45D3" w:rsidRPr="00405F18">
        <w:rPr>
          <w:rFonts w:eastAsia="Calibri"/>
          <w:b/>
          <w:bCs/>
          <w:color w:val="000000" w:themeColor="text1"/>
          <w:kern w:val="24"/>
          <w:lang w:val="en-US"/>
        </w:rPr>
        <w:t>H</w:t>
      </w:r>
      <w:r w:rsidR="008C45D3" w:rsidRPr="00405F18">
        <w:rPr>
          <w:rFonts w:eastAsia="Calibri"/>
          <w:color w:val="000000" w:themeColor="text1"/>
          <w:kern w:val="24"/>
          <w:lang w:val="en-US"/>
        </w:rPr>
        <w:t xml:space="preserve">, </w:t>
      </w:r>
      <w:r w:rsidR="008C45D3" w:rsidRPr="00405F18">
        <w:rPr>
          <w:rFonts w:eastAsia="Calibri"/>
          <w:b/>
          <w:bCs/>
          <w:color w:val="000000" w:themeColor="text1"/>
          <w:kern w:val="24"/>
          <w:lang w:val="en-US"/>
        </w:rPr>
        <w:t>I</w:t>
      </w:r>
      <w:r w:rsidR="008C45D3" w:rsidRPr="00405F18">
        <w:rPr>
          <w:rFonts w:eastAsia="Calibri"/>
          <w:color w:val="000000" w:themeColor="text1"/>
          <w:kern w:val="24"/>
          <w:lang w:val="en-US"/>
        </w:rPr>
        <w:t xml:space="preserve">) </w:t>
      </w:r>
      <w:r w:rsidR="008C45D3" w:rsidRPr="00405F18">
        <w:rPr>
          <w:rFonts w:eastAsiaTheme="minorEastAsia"/>
          <w:color w:val="000000" w:themeColor="text1"/>
          <w:kern w:val="24"/>
          <w:lang w:val="en-US"/>
        </w:rPr>
        <w:t>means ± SEM of three independent biological experiments. Statistical analyses were performed by two-way ANOVA followed by (</w:t>
      </w:r>
      <w:r w:rsidR="008C45D3" w:rsidRPr="00405F18">
        <w:rPr>
          <w:rFonts w:eastAsiaTheme="minorEastAsia"/>
          <w:b/>
          <w:bCs/>
          <w:color w:val="000000" w:themeColor="text1"/>
          <w:kern w:val="24"/>
          <w:lang w:val="en-US"/>
        </w:rPr>
        <w:t>F</w:t>
      </w:r>
      <w:r w:rsidR="008C45D3" w:rsidRPr="00405F18">
        <w:rPr>
          <w:rFonts w:eastAsiaTheme="minorEastAsia"/>
          <w:color w:val="000000" w:themeColor="text1"/>
          <w:kern w:val="24"/>
          <w:lang w:val="en-US"/>
        </w:rPr>
        <w:t>,</w:t>
      </w:r>
      <w:r w:rsidR="008C45D3" w:rsidRPr="00405F18">
        <w:rPr>
          <w:rFonts w:eastAsiaTheme="minorEastAsia"/>
          <w:b/>
          <w:bCs/>
          <w:color w:val="000000" w:themeColor="text1"/>
          <w:kern w:val="24"/>
          <w:lang w:val="en-US"/>
        </w:rPr>
        <w:t xml:space="preserve"> H</w:t>
      </w:r>
      <w:r w:rsidR="008C45D3" w:rsidRPr="00405F18">
        <w:rPr>
          <w:rFonts w:eastAsiaTheme="minorEastAsia"/>
          <w:color w:val="000000" w:themeColor="text1"/>
          <w:kern w:val="24"/>
          <w:lang w:val="en-US"/>
        </w:rPr>
        <w:t>,</w:t>
      </w:r>
      <w:r w:rsidR="008C45D3" w:rsidRPr="00405F18">
        <w:rPr>
          <w:rFonts w:eastAsiaTheme="minorEastAsia"/>
          <w:b/>
          <w:bCs/>
          <w:color w:val="000000" w:themeColor="text1"/>
          <w:kern w:val="24"/>
          <w:lang w:val="en-US"/>
        </w:rPr>
        <w:t xml:space="preserve"> I</w:t>
      </w:r>
      <w:r w:rsidR="008C45D3" w:rsidRPr="00405F18">
        <w:rPr>
          <w:rFonts w:eastAsiaTheme="minorEastAsia"/>
          <w:color w:val="000000" w:themeColor="text1"/>
          <w:kern w:val="24"/>
          <w:lang w:val="en-US"/>
        </w:rPr>
        <w:t>) Dunnett’s or (</w:t>
      </w:r>
      <w:r w:rsidR="008C45D3" w:rsidRPr="00405F18">
        <w:rPr>
          <w:rFonts w:eastAsiaTheme="minorEastAsia"/>
          <w:b/>
          <w:bCs/>
          <w:color w:val="000000" w:themeColor="text1"/>
          <w:kern w:val="24"/>
          <w:lang w:val="en-US"/>
        </w:rPr>
        <w:t>B</w:t>
      </w:r>
      <w:r w:rsidR="008C45D3" w:rsidRPr="00405F18">
        <w:rPr>
          <w:rFonts w:eastAsiaTheme="minorEastAsia"/>
          <w:color w:val="000000" w:themeColor="text1"/>
          <w:kern w:val="24"/>
          <w:lang w:val="en-US"/>
        </w:rPr>
        <w:t>,</w:t>
      </w:r>
      <w:r w:rsidR="008C45D3" w:rsidRPr="00405F18">
        <w:rPr>
          <w:rFonts w:eastAsiaTheme="minorEastAsia"/>
          <w:b/>
          <w:bCs/>
          <w:color w:val="000000" w:themeColor="text1"/>
          <w:kern w:val="24"/>
          <w:lang w:val="en-US"/>
        </w:rPr>
        <w:t xml:space="preserve"> C</w:t>
      </w:r>
      <w:r w:rsidR="008C45D3" w:rsidRPr="00405F18">
        <w:rPr>
          <w:rFonts w:eastAsiaTheme="minorEastAsia"/>
          <w:color w:val="000000" w:themeColor="text1"/>
          <w:kern w:val="24"/>
          <w:lang w:val="en-US"/>
        </w:rPr>
        <w:t>,</w:t>
      </w:r>
      <w:r w:rsidR="008C45D3" w:rsidRPr="00405F18">
        <w:rPr>
          <w:rFonts w:eastAsiaTheme="minorEastAsia"/>
          <w:b/>
          <w:bCs/>
          <w:color w:val="000000" w:themeColor="text1"/>
          <w:kern w:val="24"/>
          <w:lang w:val="en-US"/>
        </w:rPr>
        <w:t xml:space="preserve"> E</w:t>
      </w:r>
      <w:r w:rsidR="008C45D3" w:rsidRPr="00405F18">
        <w:rPr>
          <w:rFonts w:eastAsiaTheme="minorEastAsia"/>
          <w:color w:val="000000" w:themeColor="text1"/>
          <w:kern w:val="24"/>
          <w:lang w:val="en-US"/>
        </w:rPr>
        <w:t xml:space="preserve">) Tukey’s post-hoc test. *p ≤ 0.05; **p ≤ 0.01; ***p ≤ 0.001 </w:t>
      </w:r>
      <w:r w:rsidR="008C45D3" w:rsidRPr="00405F18">
        <w:rPr>
          <w:rFonts w:eastAsiaTheme="minorEastAsia"/>
          <w:i/>
          <w:iCs/>
          <w:color w:val="000000" w:themeColor="text1"/>
          <w:kern w:val="24"/>
          <w:lang w:val="en-US"/>
        </w:rPr>
        <w:t>versus</w:t>
      </w:r>
      <w:r w:rsidR="008C45D3" w:rsidRPr="00405F18">
        <w:rPr>
          <w:rFonts w:eastAsiaTheme="minorEastAsia"/>
          <w:color w:val="000000" w:themeColor="text1"/>
          <w:kern w:val="24"/>
          <w:lang w:val="en-US"/>
        </w:rPr>
        <w:t xml:space="preserve"> corresponding BSA </w:t>
      </w:r>
      <w:proofErr w:type="gramStart"/>
      <w:r w:rsidR="008C45D3" w:rsidRPr="00405F18">
        <w:rPr>
          <w:rFonts w:eastAsiaTheme="minorEastAsia"/>
          <w:color w:val="000000" w:themeColor="text1"/>
          <w:kern w:val="24"/>
          <w:lang w:val="en-US"/>
        </w:rPr>
        <w:t>group; ##</w:t>
      </w:r>
      <w:proofErr w:type="gramEnd"/>
      <w:r w:rsidR="008C45D3" w:rsidRPr="00405F18">
        <w:rPr>
          <w:rFonts w:eastAsiaTheme="minorEastAsia"/>
          <w:color w:val="000000" w:themeColor="text1"/>
          <w:kern w:val="24"/>
          <w:lang w:val="en-US"/>
        </w:rPr>
        <w:t>p ≤ 0.01; ###p ≤ 0.001 between PA groups.</w:t>
      </w:r>
    </w:p>
    <w:p w14:paraId="1BB3484D" w14:textId="77777777" w:rsidR="007A3DB2" w:rsidRDefault="007A3DB2">
      <w:pPr>
        <w:rPr>
          <w:rFonts w:ascii="Times New Roman" w:eastAsiaTheme="minorEastAsia" w:hAnsi="Times New Roman" w:cs="Times New Roman"/>
          <w:color w:val="000000" w:themeColor="text1"/>
          <w:kern w:val="24"/>
          <w:sz w:val="24"/>
          <w:szCs w:val="24"/>
          <w:lang w:val="en-US" w:eastAsia="fr-BE"/>
        </w:rPr>
      </w:pPr>
      <w:r>
        <w:rPr>
          <w:rFonts w:eastAsiaTheme="minorEastAsia"/>
          <w:color w:val="000000" w:themeColor="text1"/>
          <w:kern w:val="24"/>
          <w:lang w:val="en-US"/>
        </w:rPr>
        <w:br w:type="page"/>
      </w:r>
    </w:p>
    <w:p w14:paraId="6292B39C" w14:textId="6477A9D0" w:rsidR="008C45D3" w:rsidRPr="00405F18" w:rsidRDefault="007A3DB2" w:rsidP="00270044">
      <w:pPr>
        <w:pStyle w:val="NormalWeb"/>
        <w:spacing w:before="0" w:beforeAutospacing="0" w:after="160" w:afterAutospacing="0" w:line="480" w:lineRule="auto"/>
        <w:jc w:val="both"/>
        <w:rPr>
          <w:rFonts w:eastAsiaTheme="minorEastAsia"/>
          <w:color w:val="000000" w:themeColor="text1"/>
          <w:kern w:val="24"/>
          <w:lang w:val="en-US"/>
        </w:rPr>
      </w:pPr>
      <w:r>
        <w:rPr>
          <w:rFonts w:eastAsiaTheme="minorEastAsia"/>
          <w:noProof/>
          <w:color w:val="000000" w:themeColor="text1"/>
          <w:kern w:val="24"/>
          <w:lang w:val="en-US"/>
        </w:rPr>
        <w:lastRenderedPageBreak/>
        <w:drawing>
          <wp:inline distT="0" distB="0" distL="0" distR="0" wp14:anchorId="5DBA74AA" wp14:editId="20637FEC">
            <wp:extent cx="5759450" cy="8143875"/>
            <wp:effectExtent l="0" t="0" r="0" b="9525"/>
            <wp:docPr id="1865475157" name="Image 1"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475157" name="Image 1" descr="Une image contenant texte, capture d’écran, diagramme&#10;&#10;Description générée automatiquemen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14:paraId="4CCF08C8" w14:textId="08277007" w:rsidR="007A3DB2" w:rsidRDefault="001C3FCF" w:rsidP="00270044">
      <w:pPr>
        <w:pStyle w:val="NormalWeb"/>
        <w:spacing w:before="0" w:beforeAutospacing="0" w:after="160" w:afterAutospacing="0" w:line="480" w:lineRule="auto"/>
        <w:jc w:val="both"/>
        <w:rPr>
          <w:rFonts w:eastAsiaTheme="minorEastAsia"/>
          <w:color w:val="000000" w:themeColor="text1"/>
          <w:kern w:val="24"/>
          <w:lang w:val="en-US"/>
        </w:rPr>
      </w:pPr>
      <w:r w:rsidRPr="00405F18">
        <w:rPr>
          <w:rFonts w:eastAsia="Calibri"/>
          <w:b/>
          <w:bCs/>
          <w:color w:val="000000" w:themeColor="text1"/>
          <w:kern w:val="24"/>
          <w:lang w:val="en-US"/>
        </w:rPr>
        <w:lastRenderedPageBreak/>
        <w:t xml:space="preserve">Figure 2. </w:t>
      </w:r>
      <w:r w:rsidR="00345DED" w:rsidRPr="00405F18">
        <w:rPr>
          <w:rFonts w:eastAsia="Calibri"/>
          <w:color w:val="000000" w:themeColor="text1"/>
          <w:kern w:val="24"/>
          <w:lang w:val="en-US"/>
        </w:rPr>
        <w:t xml:space="preserve">PA alters AMPK activity and signalization after 24 h in </w:t>
      </w:r>
      <w:proofErr w:type="spellStart"/>
      <w:r w:rsidR="009326CD">
        <w:rPr>
          <w:rFonts w:eastAsia="Calibri"/>
          <w:color w:val="000000" w:themeColor="text1"/>
          <w:kern w:val="24"/>
          <w:lang w:val="en-US"/>
        </w:rPr>
        <w:t>M</w:t>
      </w:r>
      <w:r w:rsidR="00345DED" w:rsidRPr="00405F18">
        <w:rPr>
          <w:rFonts w:eastAsia="Calibri"/>
          <w:color w:val="000000" w:themeColor="text1"/>
          <w:kern w:val="24"/>
          <w:lang w:val="en-US"/>
        </w:rPr>
        <w:t>mPTEC</w:t>
      </w:r>
      <w:r w:rsidR="004A130F" w:rsidRPr="00405F18">
        <w:rPr>
          <w:rFonts w:eastAsia="Calibri"/>
          <w:color w:val="000000" w:themeColor="text1"/>
          <w:kern w:val="24"/>
          <w:lang w:val="en-US"/>
        </w:rPr>
        <w:t>s</w:t>
      </w:r>
      <w:proofErr w:type="spellEnd"/>
      <w:r w:rsidR="00345DED" w:rsidRPr="00405F18">
        <w:rPr>
          <w:rFonts w:eastAsia="Calibri"/>
          <w:color w:val="000000" w:themeColor="text1"/>
          <w:kern w:val="24"/>
          <w:lang w:val="en-US"/>
        </w:rPr>
        <w:t>. (</w:t>
      </w:r>
      <w:r w:rsidR="00345DED" w:rsidRPr="00405F18">
        <w:rPr>
          <w:rFonts w:eastAsia="Calibri"/>
          <w:b/>
          <w:bCs/>
          <w:color w:val="000000" w:themeColor="text1"/>
          <w:kern w:val="24"/>
          <w:lang w:val="en-US"/>
        </w:rPr>
        <w:t>A</w:t>
      </w:r>
      <w:r w:rsidR="00345DED" w:rsidRPr="00405F18">
        <w:rPr>
          <w:rFonts w:eastAsia="Calibri"/>
          <w:color w:val="000000" w:themeColor="text1"/>
          <w:kern w:val="24"/>
          <w:lang w:val="en-US"/>
        </w:rPr>
        <w:t xml:space="preserve">, </w:t>
      </w:r>
      <w:r w:rsidR="00345DED" w:rsidRPr="00405F18">
        <w:rPr>
          <w:rFonts w:eastAsia="Calibri"/>
          <w:b/>
          <w:bCs/>
          <w:color w:val="000000" w:themeColor="text1"/>
          <w:kern w:val="24"/>
          <w:lang w:val="en-US"/>
        </w:rPr>
        <w:t>E</w:t>
      </w:r>
      <w:r w:rsidR="00345DED" w:rsidRPr="00405F18">
        <w:rPr>
          <w:rFonts w:eastAsia="Calibri"/>
          <w:color w:val="000000" w:themeColor="text1"/>
          <w:kern w:val="24"/>
          <w:lang w:val="en-US"/>
        </w:rPr>
        <w:t xml:space="preserve">) </w:t>
      </w:r>
      <w:r w:rsidR="00345DED" w:rsidRPr="00405F18">
        <w:rPr>
          <w:rFonts w:eastAsiaTheme="minorEastAsia"/>
          <w:color w:val="000000" w:themeColor="text1"/>
          <w:kern w:val="24"/>
          <w:lang w:val="en-US"/>
        </w:rPr>
        <w:t>AMPK was immunoprecipitated by anti-</w:t>
      </w:r>
      <w:r w:rsidR="0086015D">
        <w:rPr>
          <w:rFonts w:eastAsiaTheme="minorEastAsia"/>
          <w:color w:val="000000" w:themeColor="text1"/>
          <w:kern w:val="24"/>
          <w:lang w:val="en-US"/>
        </w:rPr>
        <w:t>PRKAA1/</w:t>
      </w:r>
      <w:r w:rsidR="00345DED" w:rsidRPr="00405F18">
        <w:rPr>
          <w:rFonts w:eastAsiaTheme="minorEastAsia"/>
          <w:color w:val="000000" w:themeColor="text1"/>
          <w:kern w:val="24"/>
          <w:lang w:val="en-US"/>
        </w:rPr>
        <w:t>AMPK</w:t>
      </w:r>
      <w:r w:rsidR="00345DED" w:rsidRPr="00405F18">
        <w:rPr>
          <w:rFonts w:eastAsiaTheme="minorEastAsia"/>
          <w:color w:val="000000" w:themeColor="text1"/>
          <w:kern w:val="24"/>
          <w:lang w:val="el-GR"/>
        </w:rPr>
        <w:t>α</w:t>
      </w:r>
      <w:r w:rsidR="00345DED" w:rsidRPr="00405F18">
        <w:rPr>
          <w:rFonts w:eastAsiaTheme="minorEastAsia"/>
          <w:color w:val="000000" w:themeColor="text1"/>
          <w:kern w:val="24"/>
          <w:lang w:val="en-US"/>
        </w:rPr>
        <w:t>1 and -</w:t>
      </w:r>
      <w:r w:rsidR="0086015D">
        <w:rPr>
          <w:rFonts w:eastAsiaTheme="minorEastAsia"/>
          <w:color w:val="000000" w:themeColor="text1"/>
          <w:kern w:val="24"/>
          <w:lang w:val="en-US"/>
        </w:rPr>
        <w:t>PRKAA2/</w:t>
      </w:r>
      <w:r w:rsidR="00345DED" w:rsidRPr="00405F18">
        <w:rPr>
          <w:rFonts w:eastAsiaTheme="minorEastAsia"/>
          <w:color w:val="000000" w:themeColor="text1"/>
          <w:kern w:val="24"/>
          <w:lang w:val="en-US"/>
        </w:rPr>
        <w:t>AMPK</w:t>
      </w:r>
      <w:r w:rsidR="00345DED" w:rsidRPr="00405F18">
        <w:rPr>
          <w:rFonts w:eastAsiaTheme="minorEastAsia"/>
          <w:color w:val="000000" w:themeColor="text1"/>
          <w:kern w:val="24"/>
          <w:lang w:val="el-GR"/>
        </w:rPr>
        <w:t>α</w:t>
      </w:r>
      <w:r w:rsidR="00345DED" w:rsidRPr="00405F18">
        <w:rPr>
          <w:rFonts w:eastAsiaTheme="minorEastAsia"/>
          <w:color w:val="000000" w:themeColor="text1"/>
          <w:kern w:val="24"/>
          <w:lang w:val="en-US"/>
        </w:rPr>
        <w:t xml:space="preserve">2 antibodies in lysates from </w:t>
      </w:r>
      <w:proofErr w:type="spellStart"/>
      <w:r w:rsidR="009326CD">
        <w:rPr>
          <w:rFonts w:eastAsiaTheme="minorEastAsia"/>
          <w:color w:val="000000" w:themeColor="text1"/>
          <w:kern w:val="24"/>
          <w:lang w:val="en-US"/>
        </w:rPr>
        <w:t>M</w:t>
      </w:r>
      <w:r w:rsidR="00345DED" w:rsidRPr="00405F18">
        <w:rPr>
          <w:rFonts w:eastAsiaTheme="minorEastAsia"/>
          <w:color w:val="000000" w:themeColor="text1"/>
          <w:kern w:val="24"/>
          <w:lang w:val="en-US"/>
        </w:rPr>
        <w:t>mPTEC</w:t>
      </w:r>
      <w:r w:rsidR="004A130F" w:rsidRPr="00405F18">
        <w:rPr>
          <w:rFonts w:eastAsiaTheme="minorEastAsia"/>
          <w:color w:val="000000" w:themeColor="text1"/>
          <w:kern w:val="24"/>
          <w:lang w:val="en-US"/>
        </w:rPr>
        <w:t>s</w:t>
      </w:r>
      <w:proofErr w:type="spellEnd"/>
      <w:r w:rsidR="00345DED" w:rsidRPr="00405F18">
        <w:rPr>
          <w:rFonts w:eastAsiaTheme="minorEastAsia"/>
          <w:color w:val="000000" w:themeColor="text1"/>
          <w:kern w:val="24"/>
          <w:lang w:val="en-US"/>
        </w:rPr>
        <w:t xml:space="preserve"> previously treated for (</w:t>
      </w:r>
      <w:r w:rsidR="00345DED" w:rsidRPr="00405F18">
        <w:rPr>
          <w:rFonts w:eastAsiaTheme="minorEastAsia"/>
          <w:b/>
          <w:bCs/>
          <w:color w:val="000000" w:themeColor="text1"/>
          <w:kern w:val="24"/>
          <w:lang w:val="en-US"/>
        </w:rPr>
        <w:t>A</w:t>
      </w:r>
      <w:r w:rsidR="00345DED" w:rsidRPr="00405F18">
        <w:rPr>
          <w:rFonts w:eastAsiaTheme="minorEastAsia"/>
          <w:color w:val="000000" w:themeColor="text1"/>
          <w:kern w:val="24"/>
          <w:lang w:val="en-US"/>
        </w:rPr>
        <w:t>)</w:t>
      </w:r>
      <w:r w:rsidR="00345DED" w:rsidRPr="00405F18">
        <w:rPr>
          <w:rFonts w:eastAsiaTheme="minorEastAsia"/>
          <w:b/>
          <w:bCs/>
          <w:color w:val="000000" w:themeColor="text1"/>
          <w:kern w:val="24"/>
          <w:lang w:val="en-US"/>
        </w:rPr>
        <w:t xml:space="preserve"> </w:t>
      </w:r>
      <w:r w:rsidR="00345DED" w:rsidRPr="00405F18">
        <w:rPr>
          <w:rFonts w:eastAsiaTheme="minorEastAsia"/>
          <w:color w:val="000000" w:themeColor="text1"/>
          <w:kern w:val="24"/>
          <w:lang w:val="en-US"/>
        </w:rPr>
        <w:t>6 or (</w:t>
      </w:r>
      <w:r w:rsidR="00345DED" w:rsidRPr="00405F18">
        <w:rPr>
          <w:rFonts w:eastAsiaTheme="minorEastAsia"/>
          <w:b/>
          <w:bCs/>
          <w:color w:val="000000" w:themeColor="text1"/>
          <w:kern w:val="24"/>
          <w:lang w:val="en-US"/>
        </w:rPr>
        <w:t>E</w:t>
      </w:r>
      <w:r w:rsidR="00345DED" w:rsidRPr="00405F18">
        <w:rPr>
          <w:rFonts w:eastAsiaTheme="minorEastAsia"/>
          <w:color w:val="000000" w:themeColor="text1"/>
          <w:kern w:val="24"/>
          <w:lang w:val="en-US"/>
        </w:rPr>
        <w:t>)</w:t>
      </w:r>
      <w:r w:rsidR="00345DED" w:rsidRPr="00405F18">
        <w:rPr>
          <w:rFonts w:eastAsiaTheme="minorEastAsia"/>
          <w:b/>
          <w:bCs/>
          <w:color w:val="000000" w:themeColor="text1"/>
          <w:kern w:val="24"/>
          <w:lang w:val="en-US"/>
        </w:rPr>
        <w:t xml:space="preserve"> </w:t>
      </w:r>
      <w:r w:rsidR="00345DED" w:rsidRPr="00405F18">
        <w:rPr>
          <w:rFonts w:eastAsiaTheme="minorEastAsia"/>
          <w:color w:val="000000" w:themeColor="text1"/>
          <w:kern w:val="24"/>
          <w:lang w:val="en-US"/>
        </w:rPr>
        <w:t>24 h with 300 µM PA or 0.4% BSA with or without 100 µM A769662 or 2 mM AICAR. Phosphotransferase activity was assessed toward the AMARA peptide. Data are presented as the means of Pi (</w:t>
      </w:r>
      <w:proofErr w:type="spellStart"/>
      <w:r w:rsidR="00345DED" w:rsidRPr="00405F18">
        <w:rPr>
          <w:rFonts w:eastAsiaTheme="minorEastAsia"/>
          <w:color w:val="000000" w:themeColor="text1"/>
          <w:kern w:val="24"/>
          <w:lang w:val="en-US"/>
        </w:rPr>
        <w:t>pmol</w:t>
      </w:r>
      <w:proofErr w:type="spellEnd"/>
      <w:r w:rsidR="00345DED" w:rsidRPr="00405F18">
        <w:rPr>
          <w:rFonts w:eastAsiaTheme="minorEastAsia"/>
          <w:color w:val="000000" w:themeColor="text1"/>
          <w:kern w:val="24"/>
          <w:lang w:val="en-US"/>
        </w:rPr>
        <w:t xml:space="preserve">) incorporated per </w:t>
      </w:r>
      <w:r w:rsidR="0057605F" w:rsidRPr="00405F18">
        <w:rPr>
          <w:rFonts w:eastAsiaTheme="minorEastAsia"/>
          <w:color w:val="000000" w:themeColor="text1"/>
          <w:kern w:val="24"/>
          <w:lang w:val="en-US"/>
        </w:rPr>
        <w:t>µg of proteins</w:t>
      </w:r>
      <w:r w:rsidR="00345DED" w:rsidRPr="00405F18">
        <w:rPr>
          <w:rFonts w:eastAsiaTheme="minorEastAsia"/>
          <w:color w:val="000000" w:themeColor="text1"/>
          <w:kern w:val="24"/>
          <w:lang w:val="en-US"/>
        </w:rPr>
        <w:t xml:space="preserve"> per min </w:t>
      </w:r>
      <w:r w:rsidR="00345DED" w:rsidRPr="00405F18">
        <w:rPr>
          <w:rFonts w:eastAsiaTheme="minorEastAsia" w:hAnsi="+mn-ea"/>
          <w:color w:val="000000" w:themeColor="text1"/>
          <w:kern w:val="24"/>
          <w:lang w:val="en-US"/>
        </w:rPr>
        <w:t>±</w:t>
      </w:r>
      <w:r w:rsidR="00345DED" w:rsidRPr="00405F18">
        <w:rPr>
          <w:rFonts w:eastAsiaTheme="minorEastAsia" w:hAnsi="+mn-ea"/>
          <w:color w:val="000000" w:themeColor="text1"/>
          <w:kern w:val="24"/>
          <w:lang w:val="en-US"/>
        </w:rPr>
        <w:t xml:space="preserve"> SEM. (</w:t>
      </w:r>
      <w:r w:rsidR="00345DED" w:rsidRPr="00405F18">
        <w:rPr>
          <w:rFonts w:eastAsiaTheme="minorEastAsia"/>
          <w:b/>
          <w:bCs/>
          <w:color w:val="000000" w:themeColor="text1"/>
          <w:kern w:val="24"/>
          <w:lang w:val="en-US"/>
        </w:rPr>
        <w:t>B</w:t>
      </w:r>
      <w:r w:rsidR="00345DED" w:rsidRPr="00405F18">
        <w:rPr>
          <w:rFonts w:eastAsiaTheme="minorEastAsia"/>
          <w:color w:val="000000" w:themeColor="text1"/>
          <w:kern w:val="24"/>
          <w:lang w:val="en-US"/>
        </w:rPr>
        <w:t xml:space="preserve">, </w:t>
      </w:r>
      <w:r w:rsidR="00345DED" w:rsidRPr="00405F18">
        <w:rPr>
          <w:rFonts w:eastAsiaTheme="minorEastAsia"/>
          <w:b/>
          <w:bCs/>
          <w:color w:val="000000" w:themeColor="text1"/>
          <w:kern w:val="24"/>
          <w:lang w:val="en-US"/>
        </w:rPr>
        <w:t>F</w:t>
      </w:r>
      <w:r w:rsidR="00345DED" w:rsidRPr="00405F18">
        <w:rPr>
          <w:rFonts w:eastAsiaTheme="minorEastAsia"/>
          <w:color w:val="000000" w:themeColor="text1"/>
          <w:kern w:val="24"/>
          <w:lang w:val="en-US"/>
        </w:rPr>
        <w:t>) Representative western blot of p-</w:t>
      </w:r>
      <w:r w:rsidR="005C56C0">
        <w:rPr>
          <w:rFonts w:eastAsiaTheme="minorEastAsia"/>
          <w:color w:val="000000" w:themeColor="text1"/>
          <w:kern w:val="24"/>
          <w:lang w:val="en-US"/>
        </w:rPr>
        <w:t>ACAC</w:t>
      </w:r>
      <w:r w:rsidR="00345DED" w:rsidRPr="00405F18">
        <w:rPr>
          <w:rFonts w:eastAsiaTheme="minorEastAsia"/>
          <w:color w:val="000000" w:themeColor="text1"/>
          <w:kern w:val="24"/>
          <w:lang w:val="en-US"/>
        </w:rPr>
        <w:t xml:space="preserve"> (Ser79), p-</w:t>
      </w:r>
      <w:r w:rsidR="005005CB">
        <w:rPr>
          <w:rFonts w:eastAsiaTheme="minorEastAsia"/>
          <w:color w:val="000000" w:themeColor="text1"/>
          <w:kern w:val="24"/>
          <w:lang w:val="en-US"/>
        </w:rPr>
        <w:t>PRKAA</w:t>
      </w:r>
      <w:r w:rsidR="005005CB" w:rsidRPr="00405F18">
        <w:rPr>
          <w:rFonts w:eastAsiaTheme="minorEastAsia"/>
          <w:color w:val="000000" w:themeColor="text1"/>
          <w:kern w:val="24"/>
          <w:lang w:val="en-US"/>
        </w:rPr>
        <w:t xml:space="preserve"> </w:t>
      </w:r>
      <w:r w:rsidR="00345DED" w:rsidRPr="00405F18">
        <w:rPr>
          <w:rFonts w:eastAsiaTheme="minorEastAsia"/>
          <w:color w:val="000000" w:themeColor="text1"/>
          <w:kern w:val="24"/>
          <w:lang w:val="en-US"/>
        </w:rPr>
        <w:t xml:space="preserve">(Thr172), </w:t>
      </w:r>
      <w:r w:rsidR="005C56C0">
        <w:rPr>
          <w:rFonts w:eastAsiaTheme="minorEastAsia"/>
          <w:color w:val="000000" w:themeColor="text1"/>
          <w:kern w:val="24"/>
          <w:lang w:val="en-US"/>
        </w:rPr>
        <w:t>ACAC</w:t>
      </w:r>
      <w:r w:rsidR="00345DED" w:rsidRPr="00405F18">
        <w:rPr>
          <w:rFonts w:eastAsiaTheme="minorEastAsia"/>
          <w:color w:val="000000" w:themeColor="text1"/>
          <w:kern w:val="24"/>
          <w:lang w:val="en-US"/>
        </w:rPr>
        <w:t xml:space="preserve">, AMPK and </w:t>
      </w:r>
      <w:r w:rsidR="0007766E">
        <w:rPr>
          <w:rFonts w:eastAsiaTheme="minorEastAsia"/>
          <w:color w:val="000000" w:themeColor="text1"/>
          <w:kern w:val="24"/>
          <w:lang w:val="en-US"/>
        </w:rPr>
        <w:t>ACTB</w:t>
      </w:r>
      <w:r w:rsidR="00345DED" w:rsidRPr="00405F18">
        <w:rPr>
          <w:rFonts w:eastAsiaTheme="minorEastAsia"/>
          <w:color w:val="000000" w:themeColor="text1"/>
          <w:kern w:val="24"/>
          <w:lang w:val="en-US"/>
        </w:rPr>
        <w:t xml:space="preserve"> in </w:t>
      </w:r>
      <w:proofErr w:type="spellStart"/>
      <w:r w:rsidR="009326CD">
        <w:rPr>
          <w:rFonts w:eastAsiaTheme="minorEastAsia"/>
          <w:color w:val="000000" w:themeColor="text1"/>
          <w:kern w:val="24"/>
          <w:lang w:val="en-US"/>
        </w:rPr>
        <w:t>M</w:t>
      </w:r>
      <w:r w:rsidR="00345DED" w:rsidRPr="00405F18">
        <w:rPr>
          <w:rFonts w:eastAsiaTheme="minorEastAsia"/>
          <w:color w:val="000000" w:themeColor="text1"/>
          <w:kern w:val="24"/>
          <w:lang w:val="en-US"/>
        </w:rPr>
        <w:t>mPTEC</w:t>
      </w:r>
      <w:r w:rsidR="004A130F" w:rsidRPr="00405F18">
        <w:rPr>
          <w:rFonts w:eastAsiaTheme="minorEastAsia"/>
          <w:color w:val="000000" w:themeColor="text1"/>
          <w:kern w:val="24"/>
          <w:lang w:val="en-US"/>
        </w:rPr>
        <w:t>s</w:t>
      </w:r>
      <w:proofErr w:type="spellEnd"/>
      <w:r w:rsidR="00345DED" w:rsidRPr="00405F18">
        <w:rPr>
          <w:rFonts w:eastAsiaTheme="minorEastAsia"/>
          <w:color w:val="000000" w:themeColor="text1"/>
          <w:kern w:val="24"/>
          <w:lang w:val="en-US"/>
        </w:rPr>
        <w:t xml:space="preserve"> treated with 300 µM PA or 0.4% BSA with or without 100 µM A769662 or 2 mM AICAR for (</w:t>
      </w:r>
      <w:r w:rsidR="00345DED" w:rsidRPr="00405F18">
        <w:rPr>
          <w:rFonts w:eastAsiaTheme="minorEastAsia"/>
          <w:b/>
          <w:bCs/>
          <w:color w:val="000000" w:themeColor="text1"/>
          <w:kern w:val="24"/>
          <w:lang w:val="en-US"/>
        </w:rPr>
        <w:t>B</w:t>
      </w:r>
      <w:r w:rsidR="00345DED" w:rsidRPr="00405F18">
        <w:rPr>
          <w:rFonts w:eastAsiaTheme="minorEastAsia"/>
          <w:color w:val="000000" w:themeColor="text1"/>
          <w:kern w:val="24"/>
          <w:lang w:val="en-US"/>
        </w:rPr>
        <w:t>) 6 or (</w:t>
      </w:r>
      <w:r w:rsidR="00345DED" w:rsidRPr="00405F18">
        <w:rPr>
          <w:rFonts w:eastAsiaTheme="minorEastAsia"/>
          <w:b/>
          <w:bCs/>
          <w:color w:val="000000" w:themeColor="text1"/>
          <w:kern w:val="24"/>
          <w:lang w:val="en-US"/>
        </w:rPr>
        <w:t>F</w:t>
      </w:r>
      <w:r w:rsidR="00345DED" w:rsidRPr="00405F18">
        <w:rPr>
          <w:rFonts w:eastAsiaTheme="minorEastAsia"/>
          <w:color w:val="000000" w:themeColor="text1"/>
          <w:kern w:val="24"/>
          <w:lang w:val="en-US"/>
        </w:rPr>
        <w:t>)</w:t>
      </w:r>
      <w:r w:rsidR="00345DED" w:rsidRPr="00405F18">
        <w:rPr>
          <w:rFonts w:eastAsiaTheme="minorEastAsia"/>
          <w:b/>
          <w:bCs/>
          <w:color w:val="000000" w:themeColor="text1"/>
          <w:kern w:val="24"/>
          <w:lang w:val="en-US"/>
        </w:rPr>
        <w:t xml:space="preserve"> </w:t>
      </w:r>
      <w:r w:rsidR="00345DED" w:rsidRPr="00405F18">
        <w:rPr>
          <w:rFonts w:eastAsiaTheme="minorEastAsia"/>
          <w:color w:val="000000" w:themeColor="text1"/>
          <w:kern w:val="24"/>
          <w:lang w:val="en-US"/>
        </w:rPr>
        <w:t>24 h. (</w:t>
      </w:r>
      <w:r w:rsidR="00345DED" w:rsidRPr="00405F18">
        <w:rPr>
          <w:rFonts w:eastAsiaTheme="minorEastAsia"/>
          <w:b/>
          <w:bCs/>
          <w:color w:val="000000" w:themeColor="text1"/>
          <w:kern w:val="24"/>
          <w:lang w:val="en-US"/>
        </w:rPr>
        <w:t>C</w:t>
      </w:r>
      <w:r w:rsidR="00345DED" w:rsidRPr="00405F18">
        <w:rPr>
          <w:rFonts w:eastAsiaTheme="minorEastAsia"/>
          <w:color w:val="000000" w:themeColor="text1"/>
          <w:kern w:val="24"/>
          <w:lang w:val="en-US"/>
        </w:rPr>
        <w:t xml:space="preserve">, </w:t>
      </w:r>
      <w:r w:rsidR="00345DED" w:rsidRPr="00405F18">
        <w:rPr>
          <w:rFonts w:eastAsiaTheme="minorEastAsia"/>
          <w:b/>
          <w:bCs/>
          <w:color w:val="000000" w:themeColor="text1"/>
          <w:kern w:val="24"/>
          <w:lang w:val="en-US"/>
        </w:rPr>
        <w:t>D</w:t>
      </w:r>
      <w:r w:rsidR="00345DED" w:rsidRPr="00405F18">
        <w:rPr>
          <w:rFonts w:eastAsiaTheme="minorEastAsia"/>
          <w:color w:val="000000" w:themeColor="text1"/>
          <w:kern w:val="24"/>
          <w:lang w:val="en-US"/>
        </w:rPr>
        <w:t xml:space="preserve">, </w:t>
      </w:r>
      <w:r w:rsidR="00345DED" w:rsidRPr="00405F18">
        <w:rPr>
          <w:rFonts w:eastAsiaTheme="minorEastAsia"/>
          <w:b/>
          <w:bCs/>
          <w:color w:val="000000" w:themeColor="text1"/>
          <w:kern w:val="24"/>
          <w:lang w:val="en-US"/>
        </w:rPr>
        <w:t>G</w:t>
      </w:r>
      <w:r w:rsidR="00345DED" w:rsidRPr="00405F18">
        <w:rPr>
          <w:rFonts w:eastAsiaTheme="minorEastAsia"/>
          <w:color w:val="000000" w:themeColor="text1"/>
          <w:kern w:val="24"/>
          <w:lang w:val="en-US"/>
        </w:rPr>
        <w:t xml:space="preserve">, </w:t>
      </w:r>
      <w:r w:rsidR="00345DED" w:rsidRPr="00405F18">
        <w:rPr>
          <w:rFonts w:eastAsiaTheme="minorEastAsia"/>
          <w:b/>
          <w:bCs/>
          <w:color w:val="000000" w:themeColor="text1"/>
          <w:kern w:val="24"/>
          <w:lang w:val="en-US"/>
        </w:rPr>
        <w:t>H</w:t>
      </w:r>
      <w:r w:rsidR="00345DED" w:rsidRPr="00405F18">
        <w:rPr>
          <w:rFonts w:eastAsiaTheme="minorEastAsia"/>
          <w:color w:val="000000" w:themeColor="text1"/>
          <w:kern w:val="24"/>
          <w:lang w:val="en-US"/>
        </w:rPr>
        <w:t>) Quantitative densitometry analysis of the p-</w:t>
      </w:r>
      <w:r w:rsidR="005005CB">
        <w:rPr>
          <w:rFonts w:eastAsiaTheme="minorEastAsia"/>
          <w:color w:val="000000" w:themeColor="text1"/>
          <w:kern w:val="24"/>
          <w:lang w:val="en-US"/>
        </w:rPr>
        <w:t>PRKAA</w:t>
      </w:r>
      <w:r w:rsidR="00345DED" w:rsidRPr="00405F18">
        <w:rPr>
          <w:rFonts w:eastAsiaTheme="minorEastAsia"/>
          <w:color w:val="000000" w:themeColor="text1"/>
          <w:kern w:val="24"/>
          <w:lang w:val="en-US"/>
        </w:rPr>
        <w:t>:P</w:t>
      </w:r>
      <w:r w:rsidR="005005CB">
        <w:rPr>
          <w:rFonts w:eastAsiaTheme="minorEastAsia"/>
          <w:color w:val="000000" w:themeColor="text1"/>
          <w:kern w:val="24"/>
          <w:lang w:val="en-US"/>
        </w:rPr>
        <w:t>R</w:t>
      </w:r>
      <w:r w:rsidR="00345DED" w:rsidRPr="00405F18">
        <w:rPr>
          <w:rFonts w:eastAsiaTheme="minorEastAsia"/>
          <w:color w:val="000000" w:themeColor="text1"/>
          <w:kern w:val="24"/>
          <w:lang w:val="en-US"/>
        </w:rPr>
        <w:t>K</w:t>
      </w:r>
      <w:r w:rsidR="005005CB">
        <w:rPr>
          <w:rFonts w:eastAsiaTheme="minorEastAsia"/>
          <w:color w:val="000000" w:themeColor="text1"/>
          <w:kern w:val="24"/>
          <w:lang w:val="en-US"/>
        </w:rPr>
        <w:t>AA</w:t>
      </w:r>
      <w:r w:rsidR="00345DED" w:rsidRPr="00405F18">
        <w:rPr>
          <w:rFonts w:eastAsiaTheme="minorEastAsia"/>
          <w:color w:val="000000" w:themeColor="text1"/>
          <w:kern w:val="24"/>
          <w:lang w:val="en-US"/>
        </w:rPr>
        <w:t xml:space="preserve"> (</w:t>
      </w:r>
      <w:r w:rsidR="00345DED" w:rsidRPr="00405F18">
        <w:rPr>
          <w:rFonts w:eastAsiaTheme="minorEastAsia"/>
          <w:b/>
          <w:bCs/>
          <w:color w:val="000000" w:themeColor="text1"/>
          <w:kern w:val="24"/>
          <w:lang w:val="en-US"/>
        </w:rPr>
        <w:t>C</w:t>
      </w:r>
      <w:r w:rsidR="00345DED" w:rsidRPr="00405F18">
        <w:rPr>
          <w:rFonts w:eastAsiaTheme="minorEastAsia"/>
          <w:color w:val="000000" w:themeColor="text1"/>
          <w:kern w:val="24"/>
          <w:lang w:val="en-US"/>
        </w:rPr>
        <w:t xml:space="preserve"> for 6</w:t>
      </w:r>
      <w:r w:rsidR="002E76AA">
        <w:rPr>
          <w:rFonts w:eastAsiaTheme="minorEastAsia"/>
          <w:color w:val="000000" w:themeColor="text1"/>
          <w:kern w:val="24"/>
          <w:lang w:val="en-US"/>
        </w:rPr>
        <w:t xml:space="preserve"> </w:t>
      </w:r>
      <w:r w:rsidR="00345DED" w:rsidRPr="00405F18">
        <w:rPr>
          <w:rFonts w:eastAsiaTheme="minorEastAsia"/>
          <w:color w:val="000000" w:themeColor="text1"/>
          <w:kern w:val="24"/>
          <w:lang w:val="en-US"/>
        </w:rPr>
        <w:t xml:space="preserve">h, </w:t>
      </w:r>
      <w:r w:rsidR="00345DED" w:rsidRPr="00405F18">
        <w:rPr>
          <w:rFonts w:eastAsiaTheme="minorEastAsia"/>
          <w:b/>
          <w:bCs/>
          <w:color w:val="000000" w:themeColor="text1"/>
          <w:kern w:val="24"/>
          <w:lang w:val="en-US"/>
        </w:rPr>
        <w:t xml:space="preserve">G </w:t>
      </w:r>
      <w:r w:rsidR="00345DED" w:rsidRPr="00405F18">
        <w:rPr>
          <w:rFonts w:eastAsiaTheme="minorEastAsia"/>
          <w:color w:val="000000" w:themeColor="text1"/>
          <w:kern w:val="24"/>
          <w:lang w:val="en-US"/>
        </w:rPr>
        <w:t>for 24 h) and the p-AC</w:t>
      </w:r>
      <w:r w:rsidR="00FD42AC">
        <w:rPr>
          <w:rFonts w:eastAsiaTheme="minorEastAsia"/>
          <w:color w:val="000000" w:themeColor="text1"/>
          <w:kern w:val="24"/>
          <w:lang w:val="en-US"/>
        </w:rPr>
        <w:t>A</w:t>
      </w:r>
      <w:r w:rsidR="00345DED" w:rsidRPr="00405F18">
        <w:rPr>
          <w:rFonts w:eastAsiaTheme="minorEastAsia"/>
          <w:color w:val="000000" w:themeColor="text1"/>
          <w:kern w:val="24"/>
          <w:lang w:val="en-US"/>
        </w:rPr>
        <w:t>C:AC</w:t>
      </w:r>
      <w:r w:rsidR="00FD42AC">
        <w:rPr>
          <w:rFonts w:eastAsiaTheme="minorEastAsia"/>
          <w:color w:val="000000" w:themeColor="text1"/>
          <w:kern w:val="24"/>
          <w:lang w:val="en-US"/>
        </w:rPr>
        <w:t>A</w:t>
      </w:r>
      <w:r w:rsidR="00345DED" w:rsidRPr="00405F18">
        <w:rPr>
          <w:rFonts w:eastAsiaTheme="minorEastAsia"/>
          <w:color w:val="000000" w:themeColor="text1"/>
          <w:kern w:val="24"/>
          <w:lang w:val="en-US"/>
        </w:rPr>
        <w:t>C (</w:t>
      </w:r>
      <w:r w:rsidR="00345DED" w:rsidRPr="00405F18">
        <w:rPr>
          <w:rFonts w:eastAsiaTheme="minorEastAsia"/>
          <w:b/>
          <w:bCs/>
          <w:color w:val="000000" w:themeColor="text1"/>
          <w:kern w:val="24"/>
          <w:lang w:val="en-US"/>
        </w:rPr>
        <w:t>D</w:t>
      </w:r>
      <w:r w:rsidR="00345DED" w:rsidRPr="00405F18">
        <w:rPr>
          <w:rFonts w:eastAsiaTheme="minorEastAsia"/>
          <w:color w:val="000000" w:themeColor="text1"/>
          <w:kern w:val="24"/>
          <w:lang w:val="en-US"/>
        </w:rPr>
        <w:t xml:space="preserve"> for 6h, </w:t>
      </w:r>
      <w:r w:rsidR="00345DED" w:rsidRPr="00405F18">
        <w:rPr>
          <w:rFonts w:eastAsiaTheme="minorEastAsia"/>
          <w:b/>
          <w:bCs/>
          <w:color w:val="000000" w:themeColor="text1"/>
          <w:kern w:val="24"/>
          <w:lang w:val="en-US"/>
        </w:rPr>
        <w:t>H</w:t>
      </w:r>
      <w:r w:rsidR="00345DED" w:rsidRPr="00405F18">
        <w:rPr>
          <w:rFonts w:eastAsiaTheme="minorEastAsia"/>
          <w:color w:val="000000" w:themeColor="text1"/>
          <w:kern w:val="24"/>
          <w:lang w:val="en-US"/>
        </w:rPr>
        <w:t xml:space="preserve"> for 24 h)</w:t>
      </w:r>
      <w:r w:rsidR="004A130F" w:rsidRPr="00405F18">
        <w:rPr>
          <w:rFonts w:eastAsiaTheme="minorEastAsia"/>
          <w:color w:val="000000" w:themeColor="text1"/>
          <w:kern w:val="24"/>
          <w:lang w:val="en-US"/>
        </w:rPr>
        <w:t xml:space="preserve"> ratios</w:t>
      </w:r>
      <w:r w:rsidR="00345DED" w:rsidRPr="00405F18">
        <w:rPr>
          <w:rFonts w:eastAsiaTheme="minorEastAsia"/>
          <w:color w:val="000000" w:themeColor="text1"/>
          <w:kern w:val="24"/>
          <w:lang w:val="en-US"/>
        </w:rPr>
        <w:t xml:space="preserve">. Data </w:t>
      </w:r>
      <w:proofErr w:type="gramStart"/>
      <w:r w:rsidR="00345DED" w:rsidRPr="00405F18">
        <w:rPr>
          <w:rFonts w:eastAsiaTheme="minorEastAsia"/>
          <w:color w:val="000000" w:themeColor="text1"/>
          <w:kern w:val="24"/>
          <w:lang w:val="en-US"/>
        </w:rPr>
        <w:t>are</w:t>
      </w:r>
      <w:proofErr w:type="gramEnd"/>
      <w:r w:rsidR="00345DED" w:rsidRPr="00405F18">
        <w:rPr>
          <w:rFonts w:eastAsiaTheme="minorEastAsia"/>
          <w:color w:val="000000" w:themeColor="text1"/>
          <w:kern w:val="24"/>
          <w:lang w:val="en-US"/>
        </w:rPr>
        <w:t xml:space="preserve"> presented as means ± SEM of five independent biological experiments. Statistical analyses were performed by two-way ANOVA followed by Tukey’s post-hoc test. *p ≤ 0.05; **p ≤ 0.01; ***p ≤ 0.001 in PA or BSA treatment </w:t>
      </w:r>
      <w:proofErr w:type="gramStart"/>
      <w:r w:rsidR="00345DED" w:rsidRPr="00405F18">
        <w:rPr>
          <w:rFonts w:eastAsiaTheme="minorEastAsia"/>
          <w:color w:val="000000" w:themeColor="text1"/>
          <w:kern w:val="24"/>
          <w:lang w:val="en-US"/>
        </w:rPr>
        <w:t>groups; #</w:t>
      </w:r>
      <w:proofErr w:type="gramEnd"/>
      <w:r w:rsidR="00345DED" w:rsidRPr="00405F18">
        <w:rPr>
          <w:rFonts w:eastAsiaTheme="minorEastAsia"/>
          <w:color w:val="000000" w:themeColor="text1"/>
          <w:kern w:val="24"/>
          <w:lang w:val="en-US"/>
        </w:rPr>
        <w:t>p ≤ 0.05 between groups.</w:t>
      </w:r>
    </w:p>
    <w:p w14:paraId="6C01635A" w14:textId="77777777" w:rsidR="007A3DB2" w:rsidRDefault="007A3DB2">
      <w:pPr>
        <w:rPr>
          <w:rFonts w:ascii="Times New Roman" w:eastAsiaTheme="minorEastAsia" w:hAnsi="Times New Roman" w:cs="Times New Roman"/>
          <w:color w:val="000000" w:themeColor="text1"/>
          <w:kern w:val="24"/>
          <w:sz w:val="24"/>
          <w:szCs w:val="24"/>
          <w:lang w:val="en-US" w:eastAsia="fr-BE"/>
        </w:rPr>
      </w:pPr>
      <w:r>
        <w:rPr>
          <w:rFonts w:eastAsiaTheme="minorEastAsia"/>
          <w:color w:val="000000" w:themeColor="text1"/>
          <w:kern w:val="24"/>
          <w:lang w:val="en-US"/>
        </w:rPr>
        <w:br w:type="page"/>
      </w:r>
    </w:p>
    <w:p w14:paraId="5C92D5F8" w14:textId="12E84A5B" w:rsidR="00345DED" w:rsidRPr="00405F18" w:rsidRDefault="007A3DB2" w:rsidP="00270044">
      <w:pPr>
        <w:pStyle w:val="NormalWeb"/>
        <w:spacing w:before="0" w:beforeAutospacing="0" w:after="160" w:afterAutospacing="0" w:line="480" w:lineRule="auto"/>
        <w:jc w:val="both"/>
        <w:rPr>
          <w:rFonts w:eastAsiaTheme="minorEastAsia"/>
          <w:color w:val="000000" w:themeColor="text1"/>
          <w:kern w:val="24"/>
          <w:lang w:val="en-US"/>
        </w:rPr>
      </w:pPr>
      <w:r>
        <w:rPr>
          <w:rFonts w:eastAsiaTheme="minorEastAsia"/>
          <w:noProof/>
          <w:color w:val="000000" w:themeColor="text1"/>
          <w:kern w:val="24"/>
          <w:lang w:val="en-US"/>
        </w:rPr>
        <w:lastRenderedPageBreak/>
        <w:drawing>
          <wp:inline distT="0" distB="0" distL="0" distR="0" wp14:anchorId="7479414C" wp14:editId="5449703C">
            <wp:extent cx="5759450" cy="8143875"/>
            <wp:effectExtent l="0" t="0" r="0" b="9525"/>
            <wp:docPr id="2035604250" name="Image 2" descr="Une image contenant texte, diagramm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04250" name="Image 2" descr="Une image contenant texte, diagramme, capture d’écran, Police&#10;&#10;Description générée automatiquemen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14:paraId="7878981E" w14:textId="0141C679" w:rsidR="007A3DB2" w:rsidRDefault="001C3FCF" w:rsidP="00270044">
      <w:pPr>
        <w:pStyle w:val="NormalWeb"/>
        <w:spacing w:before="0" w:beforeAutospacing="0" w:after="160" w:afterAutospacing="0" w:line="480" w:lineRule="auto"/>
        <w:jc w:val="both"/>
        <w:rPr>
          <w:rFonts w:eastAsia="Calibri"/>
          <w:color w:val="000000" w:themeColor="text1"/>
          <w:kern w:val="24"/>
          <w:lang w:val="en-US"/>
        </w:rPr>
      </w:pPr>
      <w:r w:rsidRPr="00405F18">
        <w:rPr>
          <w:rFonts w:eastAsia="Calibri"/>
          <w:b/>
          <w:bCs/>
          <w:color w:val="000000" w:themeColor="text1"/>
          <w:kern w:val="24"/>
          <w:lang w:val="en-US"/>
        </w:rPr>
        <w:lastRenderedPageBreak/>
        <w:t xml:space="preserve">Figure 3. </w:t>
      </w:r>
      <w:r w:rsidR="003631B9" w:rsidRPr="00405F18">
        <w:rPr>
          <w:rFonts w:eastAsia="Calibri"/>
          <w:color w:val="000000" w:themeColor="text1"/>
          <w:kern w:val="24"/>
          <w:lang w:val="en-US"/>
        </w:rPr>
        <w:t xml:space="preserve">AMPK activation prevents PA-induced autophagosome accumulation in </w:t>
      </w:r>
      <w:proofErr w:type="spellStart"/>
      <w:r w:rsidR="009326CD">
        <w:rPr>
          <w:rFonts w:eastAsia="Calibri"/>
          <w:color w:val="000000" w:themeColor="text1"/>
          <w:kern w:val="24"/>
          <w:lang w:val="en-US"/>
        </w:rPr>
        <w:t>M</w:t>
      </w:r>
      <w:r w:rsidR="003631B9" w:rsidRPr="00405F18">
        <w:rPr>
          <w:rFonts w:eastAsia="Calibri"/>
          <w:color w:val="000000" w:themeColor="text1"/>
          <w:kern w:val="24"/>
          <w:lang w:val="en-US"/>
        </w:rPr>
        <w:t>mPTECs</w:t>
      </w:r>
      <w:proofErr w:type="spellEnd"/>
      <w:r w:rsidR="003631B9" w:rsidRPr="00405F18">
        <w:rPr>
          <w:rFonts w:eastAsia="Calibri"/>
          <w:color w:val="000000" w:themeColor="text1"/>
          <w:kern w:val="24"/>
          <w:lang w:val="en-US"/>
        </w:rPr>
        <w:t xml:space="preserve">. </w:t>
      </w:r>
      <w:r w:rsidR="003631B9" w:rsidRPr="00405F18">
        <w:rPr>
          <w:rFonts w:eastAsiaTheme="minorEastAsia"/>
          <w:color w:val="000000" w:themeColor="text1"/>
          <w:kern w:val="24"/>
          <w:lang w:val="en-US"/>
        </w:rPr>
        <w:t>(</w:t>
      </w:r>
      <w:r w:rsidR="003631B9" w:rsidRPr="00405F18">
        <w:rPr>
          <w:rFonts w:eastAsiaTheme="minorEastAsia"/>
          <w:b/>
          <w:bCs/>
          <w:color w:val="000000" w:themeColor="text1"/>
          <w:kern w:val="24"/>
          <w:lang w:val="en-US"/>
        </w:rPr>
        <w:t>A</w:t>
      </w:r>
      <w:r w:rsidR="003631B9" w:rsidRPr="00405F18">
        <w:rPr>
          <w:rFonts w:eastAsiaTheme="minorEastAsia"/>
          <w:color w:val="000000" w:themeColor="text1"/>
          <w:kern w:val="24"/>
          <w:lang w:val="en-US"/>
        </w:rPr>
        <w:t>) Representative western blot and (</w:t>
      </w:r>
      <w:r w:rsidR="003631B9" w:rsidRPr="00405F18">
        <w:rPr>
          <w:rFonts w:eastAsiaTheme="minorEastAsia"/>
          <w:b/>
          <w:bCs/>
          <w:color w:val="000000" w:themeColor="text1"/>
          <w:kern w:val="24"/>
          <w:lang w:val="en-US"/>
        </w:rPr>
        <w:t>B, C</w:t>
      </w:r>
      <w:r w:rsidR="003631B9" w:rsidRPr="00405F18">
        <w:rPr>
          <w:rFonts w:eastAsiaTheme="minorEastAsia"/>
          <w:color w:val="000000" w:themeColor="text1"/>
          <w:kern w:val="24"/>
          <w:lang w:val="en-US"/>
        </w:rPr>
        <w:t xml:space="preserve">) quantitative densitometry analysis of LC3, SQSTM1 and </w:t>
      </w:r>
      <w:r w:rsidR="0007766E">
        <w:rPr>
          <w:rFonts w:eastAsiaTheme="minorEastAsia"/>
          <w:color w:val="000000" w:themeColor="text1"/>
          <w:kern w:val="24"/>
          <w:lang w:val="en-US"/>
        </w:rPr>
        <w:t>ACTB</w:t>
      </w:r>
      <w:r w:rsidR="003631B9" w:rsidRPr="00405F18">
        <w:rPr>
          <w:rFonts w:eastAsiaTheme="minorEastAsia"/>
          <w:color w:val="000000" w:themeColor="text1"/>
          <w:kern w:val="24"/>
          <w:lang w:val="en-US"/>
        </w:rPr>
        <w:t xml:space="preserve"> in </w:t>
      </w:r>
      <w:proofErr w:type="spellStart"/>
      <w:r w:rsidR="009326CD">
        <w:rPr>
          <w:rFonts w:eastAsiaTheme="minorEastAsia"/>
          <w:color w:val="000000" w:themeColor="text1"/>
          <w:kern w:val="24"/>
          <w:lang w:val="en-US"/>
        </w:rPr>
        <w:t>M</w:t>
      </w:r>
      <w:r w:rsidR="003631B9" w:rsidRPr="00405F18">
        <w:rPr>
          <w:rFonts w:eastAsiaTheme="minorEastAsia"/>
          <w:color w:val="000000" w:themeColor="text1"/>
          <w:kern w:val="24"/>
          <w:lang w:val="en-US"/>
        </w:rPr>
        <w:t>mPTECs</w:t>
      </w:r>
      <w:proofErr w:type="spellEnd"/>
      <w:r w:rsidR="003631B9" w:rsidRPr="00405F18">
        <w:rPr>
          <w:rFonts w:eastAsiaTheme="minorEastAsia"/>
          <w:color w:val="000000" w:themeColor="text1"/>
          <w:kern w:val="24"/>
          <w:lang w:val="en-US"/>
        </w:rPr>
        <w:t xml:space="preserve"> treated for 24 h with 300 µM PA or 0.</w:t>
      </w:r>
      <w:r w:rsidR="009D33F5">
        <w:rPr>
          <w:rFonts w:eastAsiaTheme="minorEastAsia"/>
          <w:color w:val="000000" w:themeColor="text1"/>
          <w:kern w:val="24"/>
          <w:lang w:val="en-US"/>
        </w:rPr>
        <w:t>4</w:t>
      </w:r>
      <w:r w:rsidR="003631B9" w:rsidRPr="00405F18">
        <w:rPr>
          <w:rFonts w:eastAsiaTheme="minorEastAsia"/>
          <w:color w:val="000000" w:themeColor="text1"/>
          <w:kern w:val="24"/>
          <w:lang w:val="en-US"/>
        </w:rPr>
        <w:t xml:space="preserve">% BSA, in the presence of 100 µM A769662 or 2 mM AICAR and with or without 2 </w:t>
      </w:r>
      <w:proofErr w:type="spellStart"/>
      <w:r w:rsidR="003631B9" w:rsidRPr="00405F18">
        <w:rPr>
          <w:rFonts w:eastAsiaTheme="minorEastAsia"/>
          <w:color w:val="000000" w:themeColor="text1"/>
          <w:kern w:val="24"/>
          <w:lang w:val="en-US"/>
        </w:rPr>
        <w:t>nM</w:t>
      </w:r>
      <w:proofErr w:type="spellEnd"/>
      <w:r w:rsidR="003631B9" w:rsidRPr="00405F18">
        <w:rPr>
          <w:rFonts w:eastAsiaTheme="minorEastAsia"/>
          <w:color w:val="000000" w:themeColor="text1"/>
          <w:kern w:val="24"/>
          <w:lang w:val="en-US"/>
        </w:rPr>
        <w:t xml:space="preserve"> bafilomycin A</w:t>
      </w:r>
      <w:r w:rsidR="003631B9" w:rsidRPr="00FF7085">
        <w:rPr>
          <w:rFonts w:eastAsiaTheme="minorEastAsia"/>
          <w:color w:val="000000" w:themeColor="text1"/>
          <w:kern w:val="24"/>
          <w:vertAlign w:val="subscript"/>
          <w:lang w:val="en-US"/>
        </w:rPr>
        <w:t>1</w:t>
      </w:r>
      <w:r w:rsidR="003631B9" w:rsidRPr="00405F18">
        <w:rPr>
          <w:rFonts w:eastAsiaTheme="minorEastAsia"/>
          <w:color w:val="000000" w:themeColor="text1"/>
          <w:kern w:val="24"/>
          <w:lang w:val="en-US"/>
        </w:rPr>
        <w:t xml:space="preserve"> for last 6 h. (</w:t>
      </w:r>
      <w:r w:rsidR="003631B9" w:rsidRPr="00405F18">
        <w:rPr>
          <w:rFonts w:eastAsiaTheme="minorEastAsia"/>
          <w:b/>
          <w:bCs/>
          <w:color w:val="000000" w:themeColor="text1"/>
          <w:kern w:val="24"/>
          <w:lang w:val="en-US"/>
        </w:rPr>
        <w:t>D</w:t>
      </w:r>
      <w:r w:rsidR="003631B9" w:rsidRPr="00405F18">
        <w:rPr>
          <w:rFonts w:eastAsiaTheme="minorEastAsia"/>
          <w:color w:val="000000" w:themeColor="text1"/>
          <w:kern w:val="24"/>
          <w:lang w:val="en-US"/>
        </w:rPr>
        <w:t>)</w:t>
      </w:r>
      <w:r w:rsidR="003631B9" w:rsidRPr="00405F18">
        <w:rPr>
          <w:rFonts w:eastAsiaTheme="minorEastAsia"/>
          <w:b/>
          <w:bCs/>
          <w:color w:val="000000" w:themeColor="text1"/>
          <w:kern w:val="24"/>
          <w:lang w:val="en-US"/>
        </w:rPr>
        <w:t xml:space="preserve"> </w:t>
      </w:r>
      <w:r w:rsidR="003631B9" w:rsidRPr="00405F18">
        <w:rPr>
          <w:rFonts w:eastAsiaTheme="minorEastAsia"/>
          <w:color w:val="000000" w:themeColor="text1"/>
          <w:kern w:val="24"/>
          <w:lang w:val="en-US"/>
        </w:rPr>
        <w:t xml:space="preserve">Representative micrographs of </w:t>
      </w:r>
      <w:proofErr w:type="spellStart"/>
      <w:r w:rsidR="009326CD">
        <w:rPr>
          <w:rFonts w:eastAsiaTheme="minorEastAsia"/>
          <w:color w:val="000000" w:themeColor="text1"/>
          <w:kern w:val="24"/>
          <w:lang w:val="en-US"/>
        </w:rPr>
        <w:t>M</w:t>
      </w:r>
      <w:r w:rsidR="003631B9" w:rsidRPr="00405F18">
        <w:rPr>
          <w:rFonts w:eastAsiaTheme="minorEastAsia"/>
          <w:color w:val="000000" w:themeColor="text1"/>
          <w:kern w:val="24"/>
          <w:lang w:val="en-US"/>
        </w:rPr>
        <w:t>mPTECs</w:t>
      </w:r>
      <w:proofErr w:type="spellEnd"/>
      <w:r w:rsidR="003631B9" w:rsidRPr="00405F18">
        <w:rPr>
          <w:rFonts w:eastAsiaTheme="minorEastAsia"/>
          <w:color w:val="000000" w:themeColor="text1"/>
          <w:kern w:val="24"/>
          <w:lang w:val="en-US"/>
        </w:rPr>
        <w:t xml:space="preserve"> expressing mRFP-GFP-LC3B and treated for 24 h in the same conditions. GF</w:t>
      </w:r>
      <w:r w:rsidR="00226661">
        <w:rPr>
          <w:rFonts w:eastAsiaTheme="minorEastAsia"/>
          <w:color w:val="000000" w:themeColor="text1"/>
          <w:kern w:val="24"/>
          <w:lang w:val="en-US"/>
        </w:rPr>
        <w:t>P</w:t>
      </w:r>
      <w:r w:rsidR="00226661" w:rsidRPr="00226661">
        <w:rPr>
          <w:rFonts w:eastAsiaTheme="minorEastAsia"/>
          <w:color w:val="000000" w:themeColor="text1"/>
          <w:kern w:val="24"/>
          <w:vertAlign w:val="superscript"/>
          <w:lang w:val="en-US"/>
        </w:rPr>
        <w:t>+</w:t>
      </w:r>
      <w:r w:rsidR="003631B9" w:rsidRPr="00226661">
        <w:rPr>
          <w:rFonts w:eastAsiaTheme="minorEastAsia"/>
          <w:color w:val="000000" w:themeColor="text1"/>
          <w:kern w:val="24"/>
          <w:position w:val="7"/>
          <w:vertAlign w:val="superscript"/>
          <w:lang w:val="en-US"/>
        </w:rPr>
        <w:t xml:space="preserve"> </w:t>
      </w:r>
      <w:r w:rsidR="003631B9" w:rsidRPr="00405F18">
        <w:rPr>
          <w:rFonts w:eastAsiaTheme="minorEastAsia"/>
          <w:color w:val="000000" w:themeColor="text1"/>
          <w:kern w:val="24"/>
          <w:lang w:val="en-US"/>
        </w:rPr>
        <w:t>RF</w:t>
      </w:r>
      <w:r w:rsidR="00226661">
        <w:rPr>
          <w:rFonts w:eastAsiaTheme="minorEastAsia"/>
          <w:color w:val="000000" w:themeColor="text1"/>
          <w:kern w:val="24"/>
          <w:lang w:val="en-US"/>
        </w:rPr>
        <w:t>P</w:t>
      </w:r>
      <w:r w:rsidR="00226661" w:rsidRPr="00226661">
        <w:rPr>
          <w:rFonts w:eastAsiaTheme="minorEastAsia"/>
          <w:color w:val="000000" w:themeColor="text1"/>
          <w:kern w:val="24"/>
          <w:vertAlign w:val="superscript"/>
          <w:lang w:val="en-US"/>
        </w:rPr>
        <w:t>+</w:t>
      </w:r>
      <w:r w:rsidR="00226661">
        <w:rPr>
          <w:rFonts w:eastAsiaTheme="minorEastAsia"/>
          <w:color w:val="000000" w:themeColor="text1"/>
          <w:kern w:val="24"/>
          <w:lang w:val="en-US"/>
        </w:rPr>
        <w:t xml:space="preserve"> </w:t>
      </w:r>
      <w:r w:rsidR="003631B9" w:rsidRPr="00405F18">
        <w:rPr>
          <w:rFonts w:eastAsiaTheme="minorEastAsia"/>
          <w:color w:val="000000" w:themeColor="text1"/>
          <w:kern w:val="24"/>
          <w:lang w:val="en-US"/>
        </w:rPr>
        <w:t>(yellow) puncta indicate autophagosomes (neutral pH), and GFP</w:t>
      </w:r>
      <w:r w:rsidR="00226661" w:rsidRPr="00226661">
        <w:rPr>
          <w:rFonts w:eastAsiaTheme="minorEastAsia"/>
          <w:color w:val="000000" w:themeColor="text1"/>
          <w:kern w:val="24"/>
          <w:vertAlign w:val="superscript"/>
          <w:lang w:val="en-US"/>
        </w:rPr>
        <w:t>-</w:t>
      </w:r>
      <w:r w:rsidR="003631B9" w:rsidRPr="00405F18">
        <w:rPr>
          <w:rFonts w:eastAsiaTheme="minorEastAsia"/>
          <w:color w:val="000000" w:themeColor="text1"/>
          <w:kern w:val="24"/>
          <w:lang w:val="en-US"/>
        </w:rPr>
        <w:t xml:space="preserve"> RF</w:t>
      </w:r>
      <w:r w:rsidR="00226661">
        <w:rPr>
          <w:rFonts w:eastAsiaTheme="minorEastAsia"/>
          <w:color w:val="000000" w:themeColor="text1"/>
          <w:kern w:val="24"/>
          <w:lang w:val="en-US"/>
        </w:rPr>
        <w:t>P</w:t>
      </w:r>
      <w:r w:rsidR="00226661" w:rsidRPr="00226661">
        <w:rPr>
          <w:rFonts w:eastAsiaTheme="minorEastAsia"/>
          <w:color w:val="000000" w:themeColor="text1"/>
          <w:kern w:val="24"/>
          <w:vertAlign w:val="superscript"/>
          <w:lang w:val="en-US"/>
        </w:rPr>
        <w:t>+</w:t>
      </w:r>
      <w:r w:rsidR="00226661">
        <w:rPr>
          <w:rFonts w:eastAsiaTheme="minorEastAsia"/>
          <w:color w:val="000000" w:themeColor="text1"/>
          <w:kern w:val="24"/>
          <w:lang w:val="en-US"/>
        </w:rPr>
        <w:t xml:space="preserve"> </w:t>
      </w:r>
      <w:r w:rsidR="003631B9" w:rsidRPr="00405F18">
        <w:rPr>
          <w:rFonts w:eastAsiaTheme="minorEastAsia"/>
          <w:color w:val="000000" w:themeColor="text1"/>
          <w:kern w:val="24"/>
          <w:lang w:val="en-US"/>
        </w:rPr>
        <w:t xml:space="preserve">(red) ones indicate acidic </w:t>
      </w:r>
      <w:proofErr w:type="spellStart"/>
      <w:r w:rsidR="003631B9" w:rsidRPr="00405F18">
        <w:rPr>
          <w:rFonts w:eastAsiaTheme="minorEastAsia"/>
          <w:color w:val="000000" w:themeColor="text1"/>
          <w:kern w:val="24"/>
          <w:lang w:val="en-US"/>
        </w:rPr>
        <w:t>pH.</w:t>
      </w:r>
      <w:proofErr w:type="spellEnd"/>
      <w:r w:rsidR="003631B9" w:rsidRPr="00405F18">
        <w:rPr>
          <w:rFonts w:eastAsiaTheme="minorEastAsia"/>
          <w:color w:val="000000" w:themeColor="text1"/>
          <w:kern w:val="24"/>
          <w:lang w:val="en-US"/>
        </w:rPr>
        <w:t xml:space="preserve"> Quantifications of the number of (</w:t>
      </w:r>
      <w:r w:rsidR="003631B9" w:rsidRPr="00405F18">
        <w:rPr>
          <w:rFonts w:eastAsiaTheme="minorEastAsia"/>
          <w:b/>
          <w:bCs/>
          <w:color w:val="000000" w:themeColor="text1"/>
          <w:kern w:val="24"/>
          <w:lang w:val="en-US"/>
        </w:rPr>
        <w:t>E</w:t>
      </w:r>
      <w:r w:rsidR="003631B9" w:rsidRPr="00405F18">
        <w:rPr>
          <w:rFonts w:eastAsiaTheme="minorEastAsia"/>
          <w:color w:val="000000" w:themeColor="text1"/>
          <w:kern w:val="24"/>
          <w:lang w:val="en-US"/>
        </w:rPr>
        <w:t>)</w:t>
      </w:r>
      <w:r w:rsidR="003631B9" w:rsidRPr="00405F18">
        <w:rPr>
          <w:rFonts w:eastAsiaTheme="minorEastAsia"/>
          <w:b/>
          <w:bCs/>
          <w:color w:val="000000" w:themeColor="text1"/>
          <w:kern w:val="24"/>
          <w:lang w:val="en-US"/>
        </w:rPr>
        <w:t xml:space="preserve"> </w:t>
      </w:r>
      <w:r w:rsidR="00226661" w:rsidRPr="00405F18">
        <w:rPr>
          <w:rFonts w:eastAsiaTheme="minorEastAsia"/>
          <w:color w:val="000000" w:themeColor="text1"/>
          <w:kern w:val="24"/>
          <w:lang w:val="en-US"/>
        </w:rPr>
        <w:t>GF</w:t>
      </w:r>
      <w:r w:rsidR="00226661">
        <w:rPr>
          <w:rFonts w:eastAsiaTheme="minorEastAsia"/>
          <w:color w:val="000000" w:themeColor="text1"/>
          <w:kern w:val="24"/>
          <w:lang w:val="en-US"/>
        </w:rPr>
        <w:t>P</w:t>
      </w:r>
      <w:r w:rsidR="00226661" w:rsidRPr="00226661">
        <w:rPr>
          <w:rFonts w:eastAsiaTheme="minorEastAsia"/>
          <w:color w:val="000000" w:themeColor="text1"/>
          <w:kern w:val="24"/>
          <w:vertAlign w:val="superscript"/>
          <w:lang w:val="en-US"/>
        </w:rPr>
        <w:t>+</w:t>
      </w:r>
      <w:r w:rsidR="00226661" w:rsidRPr="00226661">
        <w:rPr>
          <w:rFonts w:eastAsiaTheme="minorEastAsia"/>
          <w:color w:val="000000" w:themeColor="text1"/>
          <w:kern w:val="24"/>
          <w:position w:val="7"/>
          <w:vertAlign w:val="superscript"/>
          <w:lang w:val="en-US"/>
        </w:rPr>
        <w:t xml:space="preserve"> </w:t>
      </w:r>
      <w:r w:rsidR="00226661" w:rsidRPr="00405F18">
        <w:rPr>
          <w:rFonts w:eastAsiaTheme="minorEastAsia"/>
          <w:color w:val="000000" w:themeColor="text1"/>
          <w:kern w:val="24"/>
          <w:lang w:val="en-US"/>
        </w:rPr>
        <w:t>RF</w:t>
      </w:r>
      <w:r w:rsidR="00226661">
        <w:rPr>
          <w:rFonts w:eastAsiaTheme="minorEastAsia"/>
          <w:color w:val="000000" w:themeColor="text1"/>
          <w:kern w:val="24"/>
          <w:lang w:val="en-US"/>
        </w:rPr>
        <w:t>P</w:t>
      </w:r>
      <w:r w:rsidR="00226661" w:rsidRPr="00226661">
        <w:rPr>
          <w:rFonts w:eastAsiaTheme="minorEastAsia"/>
          <w:color w:val="000000" w:themeColor="text1"/>
          <w:kern w:val="24"/>
          <w:vertAlign w:val="superscript"/>
          <w:lang w:val="en-US"/>
        </w:rPr>
        <w:t>+</w:t>
      </w:r>
      <w:r w:rsidR="00226661">
        <w:rPr>
          <w:rFonts w:eastAsiaTheme="minorEastAsia"/>
          <w:color w:val="000000" w:themeColor="text1"/>
          <w:kern w:val="24"/>
          <w:vertAlign w:val="superscript"/>
          <w:lang w:val="en-US"/>
        </w:rPr>
        <w:t xml:space="preserve"> </w:t>
      </w:r>
      <w:r w:rsidR="003631B9" w:rsidRPr="00405F18">
        <w:rPr>
          <w:rFonts w:eastAsiaTheme="minorEastAsia"/>
          <w:color w:val="000000"/>
          <w:kern w:val="24"/>
          <w:lang w:val="en-US"/>
        </w:rPr>
        <w:t>and (</w:t>
      </w:r>
      <w:r w:rsidR="003631B9" w:rsidRPr="00405F18">
        <w:rPr>
          <w:rFonts w:eastAsiaTheme="minorEastAsia"/>
          <w:b/>
          <w:bCs/>
          <w:color w:val="000000"/>
          <w:kern w:val="24"/>
          <w:lang w:val="en-US"/>
        </w:rPr>
        <w:t>F</w:t>
      </w:r>
      <w:r w:rsidR="003631B9" w:rsidRPr="00405F18">
        <w:rPr>
          <w:rFonts w:eastAsiaTheme="minorEastAsia"/>
          <w:color w:val="000000"/>
          <w:kern w:val="24"/>
          <w:lang w:val="en-US"/>
        </w:rPr>
        <w:t>)</w:t>
      </w:r>
      <w:r w:rsidR="003631B9" w:rsidRPr="00405F18">
        <w:rPr>
          <w:rFonts w:eastAsiaTheme="minorEastAsia"/>
          <w:b/>
          <w:bCs/>
          <w:color w:val="000000"/>
          <w:kern w:val="24"/>
          <w:lang w:val="en-US"/>
        </w:rPr>
        <w:t xml:space="preserve"> </w:t>
      </w:r>
      <w:r w:rsidR="00226661" w:rsidRPr="00405F18">
        <w:rPr>
          <w:rFonts w:eastAsiaTheme="minorEastAsia"/>
          <w:color w:val="000000" w:themeColor="text1"/>
          <w:kern w:val="24"/>
          <w:lang w:val="en-US"/>
        </w:rPr>
        <w:t>GFP</w:t>
      </w:r>
      <w:r w:rsidR="00226661" w:rsidRPr="00226661">
        <w:rPr>
          <w:rFonts w:eastAsiaTheme="minorEastAsia"/>
          <w:color w:val="000000" w:themeColor="text1"/>
          <w:kern w:val="24"/>
          <w:vertAlign w:val="superscript"/>
          <w:lang w:val="en-US"/>
        </w:rPr>
        <w:t>-</w:t>
      </w:r>
      <w:r w:rsidR="00226661" w:rsidRPr="00405F18">
        <w:rPr>
          <w:rFonts w:eastAsiaTheme="minorEastAsia"/>
          <w:color w:val="000000" w:themeColor="text1"/>
          <w:kern w:val="24"/>
          <w:lang w:val="en-US"/>
        </w:rPr>
        <w:t xml:space="preserve"> RF</w:t>
      </w:r>
      <w:r w:rsidR="00226661">
        <w:rPr>
          <w:rFonts w:eastAsiaTheme="minorEastAsia"/>
          <w:color w:val="000000" w:themeColor="text1"/>
          <w:kern w:val="24"/>
          <w:lang w:val="en-US"/>
        </w:rPr>
        <w:t>P</w:t>
      </w:r>
      <w:r w:rsidR="00226661" w:rsidRPr="00226661">
        <w:rPr>
          <w:rFonts w:eastAsiaTheme="minorEastAsia"/>
          <w:color w:val="000000" w:themeColor="text1"/>
          <w:kern w:val="24"/>
          <w:vertAlign w:val="superscript"/>
          <w:lang w:val="en-US"/>
        </w:rPr>
        <w:t>+</w:t>
      </w:r>
      <w:r w:rsidR="00226661">
        <w:rPr>
          <w:rFonts w:eastAsiaTheme="minorEastAsia"/>
          <w:color w:val="000000" w:themeColor="text1"/>
          <w:kern w:val="24"/>
          <w:vertAlign w:val="superscript"/>
          <w:lang w:val="en-US"/>
        </w:rPr>
        <w:t xml:space="preserve"> </w:t>
      </w:r>
      <w:r w:rsidR="003631B9" w:rsidRPr="00405F18">
        <w:rPr>
          <w:rFonts w:eastAsiaTheme="minorEastAsia"/>
          <w:color w:val="000000"/>
          <w:kern w:val="24"/>
          <w:lang w:val="en-US"/>
        </w:rPr>
        <w:t xml:space="preserve">puncta on </w:t>
      </w:r>
      <w:r w:rsidR="003631B9" w:rsidRPr="00405F18">
        <w:rPr>
          <w:rFonts w:eastAsiaTheme="minorEastAsia"/>
          <w:color w:val="000000" w:themeColor="text1"/>
          <w:kern w:val="24"/>
          <w:lang w:val="en-US"/>
        </w:rPr>
        <w:t>30 cells per group. (</w:t>
      </w:r>
      <w:r w:rsidR="003631B9" w:rsidRPr="00405F18">
        <w:rPr>
          <w:rFonts w:eastAsiaTheme="minorEastAsia"/>
          <w:b/>
          <w:bCs/>
          <w:color w:val="000000" w:themeColor="text1"/>
          <w:kern w:val="24"/>
          <w:lang w:val="en-US"/>
        </w:rPr>
        <w:t>G</w:t>
      </w:r>
      <w:r w:rsidR="003631B9" w:rsidRPr="00405F18">
        <w:rPr>
          <w:rFonts w:eastAsiaTheme="minorEastAsia"/>
          <w:color w:val="000000" w:themeColor="text1"/>
          <w:kern w:val="24"/>
          <w:lang w:val="en-US"/>
        </w:rPr>
        <w:t>)</w:t>
      </w:r>
      <w:r w:rsidR="003631B9" w:rsidRPr="00405F18">
        <w:rPr>
          <w:rFonts w:eastAsiaTheme="minorEastAsia"/>
          <w:b/>
          <w:bCs/>
          <w:color w:val="000000" w:themeColor="text1"/>
          <w:kern w:val="24"/>
          <w:lang w:val="en-US"/>
        </w:rPr>
        <w:t xml:space="preserve"> </w:t>
      </w:r>
      <w:r w:rsidR="003631B9" w:rsidRPr="00405F18">
        <w:rPr>
          <w:rFonts w:eastAsiaTheme="minorEastAsia"/>
          <w:color w:val="000000" w:themeColor="text1"/>
          <w:kern w:val="24"/>
          <w:lang w:val="en-US"/>
        </w:rPr>
        <w:t>Representative western blot and (</w:t>
      </w:r>
      <w:r w:rsidR="003631B9" w:rsidRPr="00405F18">
        <w:rPr>
          <w:rFonts w:eastAsiaTheme="minorEastAsia"/>
          <w:b/>
          <w:bCs/>
          <w:color w:val="000000" w:themeColor="text1"/>
          <w:kern w:val="24"/>
          <w:lang w:val="en-US"/>
        </w:rPr>
        <w:t>H</w:t>
      </w:r>
      <w:r w:rsidR="003631B9" w:rsidRPr="00405F18">
        <w:rPr>
          <w:rFonts w:eastAsiaTheme="minorEastAsia"/>
          <w:color w:val="000000" w:themeColor="text1"/>
          <w:kern w:val="24"/>
          <w:lang w:val="en-US"/>
        </w:rPr>
        <w:t xml:space="preserve">) quantitative densitometry analysis of p-ULK1 (Ser555), ULK1 and </w:t>
      </w:r>
      <w:r w:rsidR="0007766E">
        <w:rPr>
          <w:rFonts w:eastAsiaTheme="minorEastAsia"/>
          <w:color w:val="000000" w:themeColor="text1"/>
          <w:kern w:val="24"/>
          <w:lang w:val="en-US"/>
        </w:rPr>
        <w:t>ACTB</w:t>
      </w:r>
      <w:r w:rsidR="003631B9" w:rsidRPr="00405F18">
        <w:rPr>
          <w:rFonts w:eastAsiaTheme="minorEastAsia"/>
          <w:color w:val="000000" w:themeColor="text1"/>
          <w:kern w:val="24"/>
          <w:lang w:val="en-US"/>
        </w:rPr>
        <w:t xml:space="preserve"> in </w:t>
      </w:r>
      <w:proofErr w:type="spellStart"/>
      <w:r w:rsidR="009326CD">
        <w:rPr>
          <w:rFonts w:eastAsiaTheme="minorEastAsia"/>
          <w:color w:val="000000" w:themeColor="text1"/>
          <w:kern w:val="24"/>
          <w:lang w:val="en-US"/>
        </w:rPr>
        <w:t>M</w:t>
      </w:r>
      <w:r w:rsidR="003631B9" w:rsidRPr="00405F18">
        <w:rPr>
          <w:rFonts w:eastAsiaTheme="minorEastAsia"/>
          <w:color w:val="000000" w:themeColor="text1"/>
          <w:kern w:val="24"/>
          <w:lang w:val="en-US"/>
        </w:rPr>
        <w:t>mPTECs</w:t>
      </w:r>
      <w:proofErr w:type="spellEnd"/>
      <w:r w:rsidR="003631B9" w:rsidRPr="00405F18">
        <w:rPr>
          <w:rFonts w:eastAsiaTheme="minorEastAsia"/>
          <w:color w:val="000000" w:themeColor="text1"/>
          <w:kern w:val="24"/>
          <w:lang w:val="en-US"/>
        </w:rPr>
        <w:t xml:space="preserve"> treated for 24 h with 300 µM PA or 0.4% BSA in the presence of 100 µM A769662 or 2 mM AICAR. Data are presented as means ± SEM of three or five independent biological experiments as indicated on the charts. Statistical analyses were performed by two-way ANOVA and Tukey’s post-hoc test. *p ≤ 0.05; **p ≤ 0.01; ***p ≤ 0.001 in PA or BSA treatment </w:t>
      </w:r>
      <w:proofErr w:type="gramStart"/>
      <w:r w:rsidR="003631B9" w:rsidRPr="00405F18">
        <w:rPr>
          <w:rFonts w:eastAsiaTheme="minorEastAsia"/>
          <w:color w:val="000000" w:themeColor="text1"/>
          <w:kern w:val="24"/>
          <w:lang w:val="en-US"/>
        </w:rPr>
        <w:t>groups; #</w:t>
      </w:r>
      <w:proofErr w:type="gramEnd"/>
      <w:r w:rsidR="003631B9" w:rsidRPr="00405F18">
        <w:rPr>
          <w:rFonts w:eastAsiaTheme="minorEastAsia"/>
          <w:color w:val="000000" w:themeColor="text1"/>
          <w:kern w:val="24"/>
          <w:lang w:val="en-US"/>
        </w:rPr>
        <w:t>p ≤ 0.05; ###p ≤ 0.001 between groups.</w:t>
      </w:r>
      <w:r w:rsidR="003631B9" w:rsidRPr="00405F18">
        <w:rPr>
          <w:rFonts w:eastAsia="Calibri"/>
          <w:color w:val="000000" w:themeColor="text1"/>
          <w:kern w:val="24"/>
          <w:lang w:val="en-US"/>
        </w:rPr>
        <w:t xml:space="preserve"> </w:t>
      </w:r>
    </w:p>
    <w:p w14:paraId="5367B68B" w14:textId="77777777" w:rsidR="007A3DB2" w:rsidRDefault="007A3DB2">
      <w:pPr>
        <w:rPr>
          <w:rFonts w:ascii="Times New Roman" w:eastAsia="Calibri" w:hAnsi="Times New Roman" w:cs="Times New Roman"/>
          <w:color w:val="000000" w:themeColor="text1"/>
          <w:kern w:val="24"/>
          <w:sz w:val="24"/>
          <w:szCs w:val="24"/>
          <w:lang w:val="en-US" w:eastAsia="fr-BE"/>
        </w:rPr>
      </w:pPr>
      <w:r>
        <w:rPr>
          <w:rFonts w:eastAsia="Calibri"/>
          <w:color w:val="000000" w:themeColor="text1"/>
          <w:kern w:val="24"/>
          <w:lang w:val="en-US"/>
        </w:rPr>
        <w:br w:type="page"/>
      </w:r>
    </w:p>
    <w:p w14:paraId="061C2846" w14:textId="5117D84C" w:rsidR="003631B9" w:rsidRPr="009D33F5" w:rsidRDefault="007A3DB2" w:rsidP="00270044">
      <w:pPr>
        <w:pStyle w:val="NormalWeb"/>
        <w:spacing w:before="0" w:beforeAutospacing="0" w:after="160" w:afterAutospacing="0" w:line="480" w:lineRule="auto"/>
        <w:jc w:val="both"/>
        <w:rPr>
          <w:rFonts w:eastAsiaTheme="minorEastAsia"/>
          <w:color w:val="000000" w:themeColor="text1"/>
          <w:kern w:val="24"/>
          <w:lang w:val="en-US"/>
        </w:rPr>
      </w:pPr>
      <w:r>
        <w:rPr>
          <w:rFonts w:eastAsiaTheme="minorEastAsia"/>
          <w:noProof/>
          <w:color w:val="000000" w:themeColor="text1"/>
          <w:kern w:val="24"/>
          <w:lang w:val="en-US"/>
        </w:rPr>
        <w:lastRenderedPageBreak/>
        <w:drawing>
          <wp:inline distT="0" distB="0" distL="0" distR="0" wp14:anchorId="1AD1AE1C" wp14:editId="5591C543">
            <wp:extent cx="5759450" cy="8143875"/>
            <wp:effectExtent l="0" t="0" r="0" b="9525"/>
            <wp:docPr id="1994647942" name="Image 3"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647942" name="Image 3" descr="Une image contenant texte, capture d’écran, diagramme&#10;&#10;Description générée automatiquemen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14:paraId="7919FB1F" w14:textId="14D8E438" w:rsidR="007A3DB2" w:rsidRDefault="00856A3C" w:rsidP="00270044">
      <w:pPr>
        <w:pStyle w:val="NormalWeb"/>
        <w:spacing w:before="0" w:beforeAutospacing="0" w:after="160" w:afterAutospacing="0" w:line="480" w:lineRule="auto"/>
        <w:jc w:val="both"/>
        <w:rPr>
          <w:rFonts w:eastAsia="Calibri"/>
          <w:color w:val="000000" w:themeColor="text1"/>
          <w:kern w:val="24"/>
          <w:lang w:val="en-US"/>
        </w:rPr>
      </w:pPr>
      <w:r w:rsidRPr="00405F18">
        <w:rPr>
          <w:rFonts w:eastAsia="Calibri"/>
          <w:b/>
          <w:bCs/>
          <w:color w:val="000000" w:themeColor="text1"/>
          <w:kern w:val="24"/>
          <w:lang w:val="en-US"/>
        </w:rPr>
        <w:lastRenderedPageBreak/>
        <w:t xml:space="preserve">Figure 4. </w:t>
      </w:r>
      <w:r w:rsidR="004300A7" w:rsidRPr="00405F18">
        <w:rPr>
          <w:rFonts w:eastAsia="Calibri"/>
          <w:color w:val="000000" w:themeColor="text1"/>
          <w:kern w:val="24"/>
          <w:lang w:val="en-US"/>
        </w:rPr>
        <w:t xml:space="preserve">Autophagosomes in response to PA contain ubiquitin-positive aggregates in </w:t>
      </w:r>
      <w:proofErr w:type="spellStart"/>
      <w:r w:rsidR="009326CD">
        <w:rPr>
          <w:rFonts w:eastAsia="Calibri"/>
          <w:color w:val="000000" w:themeColor="text1"/>
          <w:kern w:val="24"/>
          <w:lang w:val="en-US"/>
        </w:rPr>
        <w:t>M</w:t>
      </w:r>
      <w:r w:rsidR="004300A7" w:rsidRPr="00405F18">
        <w:rPr>
          <w:rFonts w:eastAsia="Calibri"/>
          <w:color w:val="000000" w:themeColor="text1"/>
          <w:kern w:val="24"/>
          <w:lang w:val="en-US"/>
        </w:rPr>
        <w:t>mPTECs</w:t>
      </w:r>
      <w:proofErr w:type="spellEnd"/>
      <w:r w:rsidR="004300A7" w:rsidRPr="00405F18">
        <w:rPr>
          <w:rFonts w:eastAsia="Calibri"/>
          <w:color w:val="000000" w:themeColor="text1"/>
          <w:kern w:val="24"/>
          <w:lang w:val="en-US"/>
        </w:rPr>
        <w:t>. (</w:t>
      </w:r>
      <w:r w:rsidR="004300A7" w:rsidRPr="00405F18">
        <w:rPr>
          <w:rFonts w:eastAsia="Calibri"/>
          <w:b/>
          <w:bCs/>
          <w:color w:val="000000" w:themeColor="text1"/>
          <w:kern w:val="24"/>
          <w:lang w:val="en-US"/>
        </w:rPr>
        <w:t>A</w:t>
      </w:r>
      <w:r w:rsidR="004300A7" w:rsidRPr="00405F18">
        <w:rPr>
          <w:rFonts w:eastAsia="Calibri"/>
          <w:color w:val="000000" w:themeColor="text1"/>
          <w:kern w:val="24"/>
          <w:lang w:val="en-US"/>
        </w:rPr>
        <w:t xml:space="preserve">) Representative micrographs of </w:t>
      </w:r>
      <w:proofErr w:type="spellStart"/>
      <w:r w:rsidR="004300A7" w:rsidRPr="00405F18">
        <w:rPr>
          <w:rFonts w:eastAsia="Calibri"/>
          <w:color w:val="000000" w:themeColor="text1"/>
          <w:kern w:val="24"/>
          <w:lang w:val="en-US"/>
        </w:rPr>
        <w:t>mPTECs</w:t>
      </w:r>
      <w:proofErr w:type="spellEnd"/>
      <w:r w:rsidR="004300A7" w:rsidRPr="00405F18">
        <w:rPr>
          <w:rFonts w:eastAsia="Calibri"/>
          <w:color w:val="000000" w:themeColor="text1"/>
          <w:kern w:val="24"/>
          <w:lang w:val="en-US"/>
        </w:rPr>
        <w:t xml:space="preserve"> treated for 24 h with 300 µM PA, 0.4% BSA or for 6 h with 10 µM MG132 and 2 </w:t>
      </w:r>
      <w:proofErr w:type="spellStart"/>
      <w:r w:rsidR="004300A7" w:rsidRPr="00405F18">
        <w:rPr>
          <w:rFonts w:eastAsia="Calibri"/>
          <w:color w:val="000000" w:themeColor="text1"/>
          <w:kern w:val="24"/>
          <w:lang w:val="en-US"/>
        </w:rPr>
        <w:t>nM</w:t>
      </w:r>
      <w:proofErr w:type="spellEnd"/>
      <w:r w:rsidR="004300A7" w:rsidRPr="00405F18">
        <w:rPr>
          <w:rFonts w:eastAsia="Calibri"/>
          <w:color w:val="000000" w:themeColor="text1"/>
          <w:kern w:val="24"/>
          <w:lang w:val="en-US"/>
        </w:rPr>
        <w:t xml:space="preserve"> bafilomycin A</w:t>
      </w:r>
      <w:r w:rsidR="004300A7" w:rsidRPr="007110A4">
        <w:rPr>
          <w:rFonts w:eastAsia="Calibri"/>
          <w:color w:val="000000" w:themeColor="text1"/>
          <w:kern w:val="24"/>
          <w:vertAlign w:val="subscript"/>
          <w:lang w:val="en-US"/>
        </w:rPr>
        <w:t>1</w:t>
      </w:r>
      <w:r w:rsidR="004300A7" w:rsidRPr="00405F18">
        <w:rPr>
          <w:rFonts w:eastAsia="Calibri"/>
          <w:color w:val="000000" w:themeColor="text1"/>
          <w:kern w:val="24"/>
          <w:lang w:val="en-US"/>
        </w:rPr>
        <w:t xml:space="preserve"> (positive control), fixed and immuno-stained for ubiquitin (red) and SQSTM1 (green). (</w:t>
      </w:r>
      <w:r w:rsidR="004300A7" w:rsidRPr="00405F18">
        <w:rPr>
          <w:rFonts w:eastAsia="Calibri"/>
          <w:b/>
          <w:bCs/>
          <w:color w:val="000000" w:themeColor="text1"/>
          <w:kern w:val="24"/>
          <w:lang w:val="en-US"/>
        </w:rPr>
        <w:t>B</w:t>
      </w:r>
      <w:r w:rsidR="004300A7" w:rsidRPr="00405F18">
        <w:rPr>
          <w:rFonts w:eastAsia="Calibri"/>
          <w:color w:val="000000" w:themeColor="text1"/>
          <w:kern w:val="24"/>
          <w:lang w:val="en-US"/>
        </w:rPr>
        <w:t>)</w:t>
      </w:r>
      <w:r w:rsidR="004300A7" w:rsidRPr="00405F18">
        <w:rPr>
          <w:rFonts w:eastAsia="Calibri"/>
          <w:b/>
          <w:bCs/>
          <w:color w:val="000000" w:themeColor="text1"/>
          <w:kern w:val="24"/>
          <w:lang w:val="en-US"/>
        </w:rPr>
        <w:t xml:space="preserve"> </w:t>
      </w:r>
      <w:r w:rsidR="004300A7" w:rsidRPr="00405F18">
        <w:rPr>
          <w:rFonts w:eastAsia="Calibri"/>
          <w:color w:val="000000" w:themeColor="text1"/>
          <w:kern w:val="24"/>
          <w:lang w:val="en-US"/>
        </w:rPr>
        <w:t>Quantifications of the number of ubiquitin puncta</w:t>
      </w:r>
      <w:r w:rsidR="005105DC" w:rsidRPr="00405F18">
        <w:rPr>
          <w:rFonts w:eastAsia="Calibri"/>
          <w:color w:val="000000" w:themeColor="text1"/>
          <w:kern w:val="24"/>
          <w:lang w:val="en-US"/>
        </w:rPr>
        <w:t xml:space="preserve"> </w:t>
      </w:r>
      <w:r w:rsidR="006A4732" w:rsidRPr="00405F18">
        <w:rPr>
          <w:rFonts w:eastAsia="Calibri"/>
          <w:color w:val="000000" w:themeColor="text1"/>
          <w:kern w:val="24"/>
          <w:lang w:val="en-US"/>
        </w:rPr>
        <w:t xml:space="preserve">per nucleus </w:t>
      </w:r>
      <w:r w:rsidR="004300A7" w:rsidRPr="00405F18">
        <w:rPr>
          <w:rFonts w:eastAsia="Calibri"/>
          <w:color w:val="000000" w:themeColor="text1"/>
          <w:kern w:val="24"/>
          <w:lang w:val="en-US"/>
        </w:rPr>
        <w:t>on 30 cells per group. (</w:t>
      </w:r>
      <w:r w:rsidR="00392187" w:rsidRPr="00405F18">
        <w:rPr>
          <w:rFonts w:eastAsia="Calibri"/>
          <w:b/>
          <w:bCs/>
          <w:color w:val="000000" w:themeColor="text1"/>
          <w:kern w:val="24"/>
          <w:lang w:val="en-US"/>
        </w:rPr>
        <w:t>C</w:t>
      </w:r>
      <w:r w:rsidR="004300A7" w:rsidRPr="00405F18">
        <w:rPr>
          <w:rFonts w:eastAsia="Calibri"/>
          <w:color w:val="000000" w:themeColor="text1"/>
          <w:kern w:val="24"/>
          <w:lang w:val="en-US"/>
        </w:rPr>
        <w:t xml:space="preserve">) Representative </w:t>
      </w:r>
      <w:r w:rsidR="004300A7" w:rsidRPr="00405F18">
        <w:rPr>
          <w:rFonts w:eastAsiaTheme="minorEastAsia"/>
          <w:color w:val="000000" w:themeColor="text1"/>
          <w:kern w:val="24"/>
          <w:lang w:val="en-US"/>
        </w:rPr>
        <w:t>western blot and (</w:t>
      </w:r>
      <w:r w:rsidR="00392187" w:rsidRPr="00405F18">
        <w:rPr>
          <w:rFonts w:eastAsiaTheme="minorEastAsia"/>
          <w:b/>
          <w:bCs/>
          <w:color w:val="000000" w:themeColor="text1"/>
          <w:kern w:val="24"/>
          <w:lang w:val="en-US"/>
        </w:rPr>
        <w:t>D</w:t>
      </w:r>
      <w:r w:rsidR="004300A7" w:rsidRPr="00405F18">
        <w:rPr>
          <w:rFonts w:eastAsiaTheme="minorEastAsia"/>
          <w:color w:val="000000" w:themeColor="text1"/>
          <w:kern w:val="24"/>
          <w:lang w:val="en-US"/>
        </w:rPr>
        <w:t xml:space="preserve">) quantitative densitometry analysis of ubiquitinylated proteins normalized by total proteins in </w:t>
      </w:r>
      <w:proofErr w:type="spellStart"/>
      <w:r w:rsidR="009326CD">
        <w:rPr>
          <w:rFonts w:eastAsiaTheme="minorEastAsia"/>
          <w:color w:val="000000" w:themeColor="text1"/>
          <w:kern w:val="24"/>
          <w:lang w:val="en-US"/>
        </w:rPr>
        <w:t>M</w:t>
      </w:r>
      <w:r w:rsidR="004300A7" w:rsidRPr="00405F18">
        <w:rPr>
          <w:rFonts w:eastAsiaTheme="minorEastAsia"/>
          <w:color w:val="000000" w:themeColor="text1"/>
          <w:kern w:val="24"/>
          <w:lang w:val="en-US"/>
        </w:rPr>
        <w:t>mPTECs</w:t>
      </w:r>
      <w:proofErr w:type="spellEnd"/>
      <w:r w:rsidR="004300A7" w:rsidRPr="00405F18">
        <w:rPr>
          <w:rFonts w:eastAsiaTheme="minorEastAsia"/>
          <w:color w:val="000000" w:themeColor="text1"/>
          <w:kern w:val="24"/>
          <w:lang w:val="en-US"/>
        </w:rPr>
        <w:t xml:space="preserve"> treated with 300 µM PA or 0.4% BSA for 24 h. </w:t>
      </w:r>
      <w:r w:rsidR="00392187" w:rsidRPr="00405F18">
        <w:rPr>
          <w:rFonts w:eastAsiaTheme="minorEastAsia"/>
          <w:color w:val="000000" w:themeColor="text1"/>
          <w:kern w:val="24"/>
          <w:lang w:val="en-US"/>
        </w:rPr>
        <w:t>(</w:t>
      </w:r>
      <w:r w:rsidR="00392187" w:rsidRPr="00405F18">
        <w:rPr>
          <w:rFonts w:eastAsia="Calibri"/>
          <w:b/>
          <w:bCs/>
          <w:color w:val="000000" w:themeColor="text1"/>
          <w:kern w:val="24"/>
          <w:lang w:val="en-US"/>
        </w:rPr>
        <w:t>D</w:t>
      </w:r>
      <w:r w:rsidR="00392187" w:rsidRPr="00405F18">
        <w:rPr>
          <w:rFonts w:eastAsia="Calibri"/>
          <w:color w:val="000000" w:themeColor="text1"/>
          <w:kern w:val="24"/>
          <w:lang w:val="en-US"/>
        </w:rPr>
        <w:t>)</w:t>
      </w:r>
      <w:r w:rsidR="00392187" w:rsidRPr="00405F18">
        <w:rPr>
          <w:rFonts w:eastAsia="Calibri"/>
          <w:b/>
          <w:bCs/>
          <w:color w:val="000000" w:themeColor="text1"/>
          <w:kern w:val="24"/>
          <w:lang w:val="en-US"/>
        </w:rPr>
        <w:t xml:space="preserve"> </w:t>
      </w:r>
      <w:r w:rsidR="00392187" w:rsidRPr="00405F18">
        <w:rPr>
          <w:rFonts w:eastAsia="Calibri"/>
          <w:color w:val="000000" w:themeColor="text1"/>
          <w:kern w:val="24"/>
          <w:lang w:val="en-US"/>
        </w:rPr>
        <w:t xml:space="preserve">Quantifications of the percentages of colocalization of </w:t>
      </w:r>
      <w:proofErr w:type="spellStart"/>
      <w:r w:rsidR="00392187" w:rsidRPr="00405F18">
        <w:rPr>
          <w:rFonts w:eastAsia="Calibri"/>
          <w:color w:val="000000" w:themeColor="text1"/>
          <w:kern w:val="24"/>
          <w:lang w:val="en-US"/>
        </w:rPr>
        <w:t>Ub</w:t>
      </w:r>
      <w:proofErr w:type="spellEnd"/>
      <w:r w:rsidR="00392187" w:rsidRPr="00405F18">
        <w:rPr>
          <w:rFonts w:eastAsia="Calibri"/>
          <w:color w:val="000000" w:themeColor="text1"/>
          <w:kern w:val="24"/>
          <w:lang w:val="en-US"/>
        </w:rPr>
        <w:t xml:space="preserve"> with SQSTM1</w:t>
      </w:r>
      <w:r w:rsidR="00FC32E9" w:rsidRPr="00405F18">
        <w:rPr>
          <w:lang w:val="en-US"/>
        </w:rPr>
        <w:t xml:space="preserve"> </w:t>
      </w:r>
      <w:r w:rsidR="00FC32E9" w:rsidRPr="00405F18">
        <w:rPr>
          <w:rFonts w:eastAsia="Calibri"/>
          <w:color w:val="000000" w:themeColor="text1"/>
          <w:kern w:val="24"/>
          <w:lang w:val="en-US"/>
        </w:rPr>
        <w:t>calculated by Mander's correlation coefficients</w:t>
      </w:r>
      <w:r w:rsidR="00392187" w:rsidRPr="00405F18">
        <w:rPr>
          <w:rFonts w:eastAsia="Calibri"/>
          <w:color w:val="000000" w:themeColor="text1"/>
          <w:kern w:val="24"/>
          <w:lang w:val="en-US"/>
        </w:rPr>
        <w:t xml:space="preserve"> on 30 cells per group.</w:t>
      </w:r>
      <w:r w:rsidR="00392187" w:rsidRPr="00405F18">
        <w:rPr>
          <w:rFonts w:eastAsiaTheme="minorEastAsia"/>
          <w:color w:val="000000" w:themeColor="text1"/>
          <w:kern w:val="24"/>
          <w:lang w:val="en-US"/>
        </w:rPr>
        <w:t xml:space="preserve"> </w:t>
      </w:r>
      <w:r w:rsidR="004300A7" w:rsidRPr="00405F18">
        <w:rPr>
          <w:rFonts w:eastAsia="Calibri"/>
          <w:color w:val="000000" w:themeColor="text1"/>
          <w:kern w:val="24"/>
          <w:lang w:val="en-US"/>
        </w:rPr>
        <w:t>(</w:t>
      </w:r>
      <w:r w:rsidR="004300A7" w:rsidRPr="00405F18">
        <w:rPr>
          <w:rFonts w:eastAsia="Calibri"/>
          <w:b/>
          <w:bCs/>
          <w:color w:val="000000" w:themeColor="text1"/>
          <w:kern w:val="24"/>
          <w:lang w:val="en-US"/>
        </w:rPr>
        <w:t>F</w:t>
      </w:r>
      <w:r w:rsidR="004300A7" w:rsidRPr="00405F18">
        <w:rPr>
          <w:rFonts w:eastAsia="Calibri"/>
          <w:color w:val="000000" w:themeColor="text1"/>
          <w:kern w:val="24"/>
          <w:lang w:val="en-US"/>
        </w:rPr>
        <w:t>)</w:t>
      </w:r>
      <w:r w:rsidR="004300A7" w:rsidRPr="00405F18">
        <w:rPr>
          <w:rFonts w:eastAsia="Calibri"/>
          <w:b/>
          <w:bCs/>
          <w:color w:val="000000" w:themeColor="text1"/>
          <w:kern w:val="24"/>
          <w:lang w:val="en-US"/>
        </w:rPr>
        <w:t xml:space="preserve"> </w:t>
      </w:r>
      <w:r w:rsidR="004300A7" w:rsidRPr="00405F18">
        <w:rPr>
          <w:rFonts w:eastAsiaTheme="minorEastAsia"/>
          <w:color w:val="000000" w:themeColor="text1"/>
          <w:kern w:val="24"/>
          <w:lang w:val="en-US"/>
        </w:rPr>
        <w:t xml:space="preserve">Representative micrographs of </w:t>
      </w:r>
      <w:proofErr w:type="spellStart"/>
      <w:r w:rsidR="009326CD">
        <w:rPr>
          <w:rFonts w:eastAsiaTheme="minorEastAsia"/>
          <w:color w:val="000000" w:themeColor="text1"/>
          <w:kern w:val="24"/>
          <w:lang w:val="en-US"/>
        </w:rPr>
        <w:t>M</w:t>
      </w:r>
      <w:r w:rsidR="004300A7" w:rsidRPr="00405F18">
        <w:rPr>
          <w:rFonts w:eastAsiaTheme="minorEastAsia"/>
          <w:color w:val="000000" w:themeColor="text1"/>
          <w:kern w:val="24"/>
          <w:lang w:val="en-US"/>
        </w:rPr>
        <w:t>mPTECs</w:t>
      </w:r>
      <w:proofErr w:type="spellEnd"/>
      <w:r w:rsidR="004300A7" w:rsidRPr="00405F18">
        <w:rPr>
          <w:rFonts w:eastAsiaTheme="minorEastAsia"/>
          <w:color w:val="000000" w:themeColor="text1"/>
          <w:kern w:val="24"/>
          <w:lang w:val="en-US"/>
        </w:rPr>
        <w:t xml:space="preserve"> treated for 24 h with 300 µM PA or 0.4% BSA in the presence of 100 µM A769662 or 2 mM AICAR with and without and 2 </w:t>
      </w:r>
      <w:proofErr w:type="spellStart"/>
      <w:r w:rsidR="004300A7" w:rsidRPr="00405F18">
        <w:rPr>
          <w:rFonts w:eastAsiaTheme="minorEastAsia"/>
          <w:color w:val="000000" w:themeColor="text1"/>
          <w:kern w:val="24"/>
          <w:lang w:val="en-US"/>
        </w:rPr>
        <w:t>nM</w:t>
      </w:r>
      <w:proofErr w:type="spellEnd"/>
      <w:r w:rsidR="004300A7" w:rsidRPr="00405F18">
        <w:rPr>
          <w:rFonts w:eastAsiaTheme="minorEastAsia"/>
          <w:color w:val="000000" w:themeColor="text1"/>
          <w:kern w:val="24"/>
          <w:lang w:val="en-US"/>
        </w:rPr>
        <w:t xml:space="preserve"> bafilomycin A</w:t>
      </w:r>
      <w:r w:rsidR="004300A7" w:rsidRPr="007110A4">
        <w:rPr>
          <w:rFonts w:eastAsiaTheme="minorEastAsia"/>
          <w:color w:val="000000" w:themeColor="text1"/>
          <w:kern w:val="24"/>
          <w:vertAlign w:val="subscript"/>
          <w:lang w:val="en-US"/>
        </w:rPr>
        <w:t>1</w:t>
      </w:r>
      <w:r w:rsidR="004300A7" w:rsidRPr="00405F18">
        <w:rPr>
          <w:rFonts w:eastAsiaTheme="minorEastAsia"/>
          <w:color w:val="000000" w:themeColor="text1"/>
          <w:kern w:val="24"/>
          <w:lang w:val="en-US"/>
        </w:rPr>
        <w:t xml:space="preserve"> for last 6 h</w:t>
      </w:r>
      <w:r w:rsidR="004300A7" w:rsidRPr="00405F18">
        <w:rPr>
          <w:rFonts w:eastAsia="Calibri"/>
          <w:color w:val="000000" w:themeColor="text1"/>
          <w:kern w:val="24"/>
          <w:lang w:val="en-US"/>
        </w:rPr>
        <w:t>, fixed and immuno-stained for ubiquitin (red) and SQSTM1 (green). (</w:t>
      </w:r>
      <w:r w:rsidR="004300A7" w:rsidRPr="00405F18">
        <w:rPr>
          <w:rFonts w:eastAsia="Calibri"/>
          <w:b/>
          <w:bCs/>
          <w:color w:val="000000" w:themeColor="text1"/>
          <w:kern w:val="24"/>
          <w:lang w:val="en-US"/>
        </w:rPr>
        <w:t>G</w:t>
      </w:r>
      <w:r w:rsidR="004300A7" w:rsidRPr="00405F18">
        <w:rPr>
          <w:rFonts w:eastAsia="Calibri"/>
          <w:color w:val="000000" w:themeColor="text1"/>
          <w:kern w:val="24"/>
          <w:lang w:val="en-US"/>
        </w:rPr>
        <w:t xml:space="preserve">, </w:t>
      </w:r>
      <w:r w:rsidR="004300A7" w:rsidRPr="00405F18">
        <w:rPr>
          <w:rFonts w:eastAsia="Calibri"/>
          <w:b/>
          <w:bCs/>
          <w:color w:val="000000" w:themeColor="text1"/>
          <w:kern w:val="24"/>
          <w:lang w:val="en-US"/>
        </w:rPr>
        <w:t>H</w:t>
      </w:r>
      <w:r w:rsidR="004300A7" w:rsidRPr="00405F18">
        <w:rPr>
          <w:rFonts w:eastAsia="Calibri"/>
          <w:color w:val="000000" w:themeColor="text1"/>
          <w:kern w:val="24"/>
          <w:lang w:val="en-US"/>
        </w:rPr>
        <w:t>) Quantifications of the number of (</w:t>
      </w:r>
      <w:r w:rsidR="004300A7" w:rsidRPr="00405F18">
        <w:rPr>
          <w:rFonts w:eastAsia="Calibri"/>
          <w:b/>
          <w:bCs/>
          <w:color w:val="000000" w:themeColor="text1"/>
          <w:kern w:val="24"/>
          <w:lang w:val="en-US"/>
        </w:rPr>
        <w:t>G</w:t>
      </w:r>
      <w:r w:rsidR="004300A7" w:rsidRPr="00405F18">
        <w:rPr>
          <w:rFonts w:eastAsia="Calibri"/>
          <w:color w:val="000000" w:themeColor="text1"/>
          <w:kern w:val="24"/>
          <w:lang w:val="en-US"/>
        </w:rPr>
        <w:t>) ubiquitin puncta and (</w:t>
      </w:r>
      <w:r w:rsidR="004300A7" w:rsidRPr="00405F18">
        <w:rPr>
          <w:rFonts w:eastAsia="Calibri"/>
          <w:b/>
          <w:bCs/>
          <w:color w:val="000000" w:themeColor="text1"/>
          <w:kern w:val="24"/>
          <w:lang w:val="en-US"/>
        </w:rPr>
        <w:t>H</w:t>
      </w:r>
      <w:r w:rsidR="004300A7" w:rsidRPr="00405F18">
        <w:rPr>
          <w:rFonts w:eastAsia="Calibri"/>
          <w:color w:val="000000" w:themeColor="text1"/>
          <w:kern w:val="24"/>
          <w:lang w:val="en-US"/>
        </w:rPr>
        <w:t>) ubiquitin- and SQSTM1-double</w:t>
      </w:r>
      <w:r w:rsidR="002E76AA">
        <w:rPr>
          <w:rFonts w:eastAsia="Calibri"/>
          <w:color w:val="000000" w:themeColor="text1"/>
          <w:kern w:val="24"/>
          <w:lang w:val="en-US"/>
        </w:rPr>
        <w:t>-</w:t>
      </w:r>
      <w:r w:rsidR="004300A7" w:rsidRPr="00405F18">
        <w:rPr>
          <w:rFonts w:eastAsia="Calibri"/>
          <w:color w:val="000000" w:themeColor="text1"/>
          <w:kern w:val="24"/>
          <w:lang w:val="en-US"/>
        </w:rPr>
        <w:t>positive puncta per nucleus calculated with the objects-based method on 30 cells per group. Data are presented as (</w:t>
      </w:r>
      <w:r w:rsidR="004300A7" w:rsidRPr="00405F18">
        <w:rPr>
          <w:rFonts w:eastAsia="Calibri"/>
          <w:b/>
          <w:bCs/>
          <w:color w:val="000000" w:themeColor="text1"/>
          <w:kern w:val="24"/>
          <w:lang w:val="en-US"/>
        </w:rPr>
        <w:t>B</w:t>
      </w:r>
      <w:r w:rsidR="004300A7" w:rsidRPr="00405F18">
        <w:rPr>
          <w:rFonts w:eastAsia="Calibri"/>
          <w:color w:val="000000" w:themeColor="text1"/>
          <w:kern w:val="24"/>
          <w:lang w:val="en-US"/>
        </w:rPr>
        <w:t xml:space="preserve">, </w:t>
      </w:r>
      <w:r w:rsidR="00392187" w:rsidRPr="00405F18">
        <w:rPr>
          <w:rFonts w:eastAsia="Calibri"/>
          <w:b/>
          <w:bCs/>
          <w:color w:val="000000" w:themeColor="text1"/>
          <w:kern w:val="24"/>
          <w:lang w:val="en-US"/>
        </w:rPr>
        <w:t>D</w:t>
      </w:r>
      <w:r w:rsidR="004300A7" w:rsidRPr="00405F18">
        <w:rPr>
          <w:rFonts w:eastAsia="Calibri"/>
          <w:b/>
          <w:bCs/>
          <w:color w:val="000000" w:themeColor="text1"/>
          <w:kern w:val="24"/>
          <w:lang w:val="en-US"/>
        </w:rPr>
        <w:t>,</w:t>
      </w:r>
      <w:r w:rsidR="004300A7" w:rsidRPr="00405F18">
        <w:rPr>
          <w:rFonts w:eastAsia="Calibri"/>
          <w:color w:val="000000" w:themeColor="text1"/>
          <w:kern w:val="24"/>
          <w:lang w:val="en-US"/>
        </w:rPr>
        <w:t xml:space="preserve"> </w:t>
      </w:r>
      <w:r w:rsidR="004300A7" w:rsidRPr="00405F18">
        <w:rPr>
          <w:rFonts w:eastAsia="Calibri"/>
          <w:b/>
          <w:bCs/>
          <w:color w:val="000000" w:themeColor="text1"/>
          <w:kern w:val="24"/>
          <w:lang w:val="en-US"/>
        </w:rPr>
        <w:t>G</w:t>
      </w:r>
      <w:r w:rsidR="004300A7" w:rsidRPr="00405F18">
        <w:rPr>
          <w:rFonts w:eastAsia="Calibri"/>
          <w:color w:val="000000" w:themeColor="text1"/>
          <w:kern w:val="24"/>
          <w:lang w:val="en-US"/>
        </w:rPr>
        <w:t xml:space="preserve">, </w:t>
      </w:r>
      <w:r w:rsidR="004300A7" w:rsidRPr="00405F18">
        <w:rPr>
          <w:rFonts w:eastAsia="Calibri"/>
          <w:b/>
          <w:bCs/>
          <w:color w:val="000000" w:themeColor="text1"/>
          <w:kern w:val="24"/>
          <w:lang w:val="en-US"/>
        </w:rPr>
        <w:t>H</w:t>
      </w:r>
      <w:r w:rsidR="004300A7" w:rsidRPr="00405F18">
        <w:rPr>
          <w:rFonts w:eastAsia="Calibri"/>
          <w:color w:val="000000" w:themeColor="text1"/>
          <w:kern w:val="24"/>
          <w:lang w:val="en-US"/>
        </w:rPr>
        <w:t xml:space="preserve">) means </w:t>
      </w:r>
      <w:r w:rsidR="004300A7" w:rsidRPr="00405F18">
        <w:rPr>
          <w:rFonts w:eastAsiaTheme="minorEastAsia" w:hAnsi="+mn-ea"/>
          <w:color w:val="000000" w:themeColor="text1"/>
          <w:kern w:val="24"/>
          <w:lang w:val="en-US"/>
        </w:rPr>
        <w:t>±</w:t>
      </w:r>
      <w:r w:rsidR="004300A7" w:rsidRPr="00405F18">
        <w:rPr>
          <w:rFonts w:eastAsiaTheme="minorEastAsia" w:hAnsi="+mn-ea"/>
          <w:color w:val="000000" w:themeColor="text1"/>
          <w:kern w:val="24"/>
          <w:lang w:val="en-US"/>
        </w:rPr>
        <w:t xml:space="preserve"> SEM or as</w:t>
      </w:r>
      <w:r w:rsidR="004300A7" w:rsidRPr="00405F18">
        <w:rPr>
          <w:rFonts w:eastAsia="Calibri"/>
          <w:color w:val="000000" w:themeColor="text1"/>
          <w:kern w:val="24"/>
          <w:lang w:val="en-US"/>
        </w:rPr>
        <w:t xml:space="preserve"> (</w:t>
      </w:r>
      <w:r w:rsidR="00392187" w:rsidRPr="00405F18">
        <w:rPr>
          <w:rFonts w:eastAsia="Calibri"/>
          <w:b/>
          <w:bCs/>
          <w:color w:val="000000" w:themeColor="text1"/>
          <w:kern w:val="24"/>
          <w:lang w:val="en-US"/>
        </w:rPr>
        <w:t>E</w:t>
      </w:r>
      <w:r w:rsidR="004300A7" w:rsidRPr="00405F18">
        <w:rPr>
          <w:rFonts w:eastAsia="Calibri"/>
          <w:color w:val="000000" w:themeColor="text1"/>
          <w:kern w:val="24"/>
          <w:lang w:val="en-US"/>
        </w:rPr>
        <w:t>) means and quarters of three or four independent biological experiments as indicated on the charts. Statistical analyses were performed by (</w:t>
      </w:r>
      <w:r w:rsidR="00392187" w:rsidRPr="00405F18">
        <w:rPr>
          <w:rFonts w:eastAsia="Calibri"/>
          <w:b/>
          <w:bCs/>
          <w:color w:val="000000" w:themeColor="text1"/>
          <w:kern w:val="24"/>
          <w:lang w:val="en-US"/>
        </w:rPr>
        <w:t>D</w:t>
      </w:r>
      <w:r w:rsidR="004300A7" w:rsidRPr="00405F18">
        <w:rPr>
          <w:rFonts w:eastAsia="Calibri"/>
          <w:color w:val="000000" w:themeColor="text1"/>
          <w:kern w:val="24"/>
          <w:lang w:val="en-US"/>
        </w:rPr>
        <w:t>) Student’s unpaired t-test, (</w:t>
      </w:r>
      <w:r w:rsidR="004300A7" w:rsidRPr="00405F18">
        <w:rPr>
          <w:rFonts w:eastAsia="Calibri"/>
          <w:b/>
          <w:bCs/>
          <w:color w:val="000000" w:themeColor="text1"/>
          <w:kern w:val="24"/>
          <w:lang w:val="en-US"/>
        </w:rPr>
        <w:t>B</w:t>
      </w:r>
      <w:r w:rsidR="004300A7" w:rsidRPr="00405F18">
        <w:rPr>
          <w:rFonts w:eastAsia="Calibri"/>
          <w:color w:val="000000" w:themeColor="text1"/>
          <w:kern w:val="24"/>
          <w:lang w:val="en-US"/>
        </w:rPr>
        <w:t>,</w:t>
      </w:r>
      <w:r w:rsidR="004300A7" w:rsidRPr="00405F18">
        <w:rPr>
          <w:rFonts w:eastAsia="Calibri"/>
          <w:b/>
          <w:bCs/>
          <w:color w:val="000000" w:themeColor="text1"/>
          <w:kern w:val="24"/>
          <w:lang w:val="en-US"/>
        </w:rPr>
        <w:t xml:space="preserve"> </w:t>
      </w:r>
      <w:r w:rsidR="00392187" w:rsidRPr="00405F18">
        <w:rPr>
          <w:rFonts w:eastAsia="Calibri"/>
          <w:b/>
          <w:bCs/>
          <w:color w:val="000000" w:themeColor="text1"/>
          <w:kern w:val="24"/>
          <w:lang w:val="en-US"/>
        </w:rPr>
        <w:t>E</w:t>
      </w:r>
      <w:r w:rsidR="004300A7" w:rsidRPr="00405F18">
        <w:rPr>
          <w:rFonts w:eastAsia="Calibri"/>
          <w:color w:val="000000" w:themeColor="text1"/>
          <w:kern w:val="24"/>
          <w:lang w:val="en-US"/>
        </w:rPr>
        <w:t>)</w:t>
      </w:r>
      <w:r w:rsidR="004300A7" w:rsidRPr="00405F18">
        <w:rPr>
          <w:rFonts w:eastAsia="Calibri"/>
          <w:b/>
          <w:bCs/>
          <w:color w:val="000000" w:themeColor="text1"/>
          <w:kern w:val="24"/>
          <w:lang w:val="en-US"/>
        </w:rPr>
        <w:t xml:space="preserve"> </w:t>
      </w:r>
      <w:r w:rsidR="004300A7" w:rsidRPr="00405F18">
        <w:rPr>
          <w:rFonts w:eastAsia="Calibri"/>
          <w:color w:val="000000" w:themeColor="text1"/>
          <w:kern w:val="24"/>
          <w:lang w:val="en-US"/>
        </w:rPr>
        <w:t>one-way ANOVA followed by Dunnett’s post-hoc test or (</w:t>
      </w:r>
      <w:r w:rsidR="004300A7" w:rsidRPr="00405F18">
        <w:rPr>
          <w:rFonts w:eastAsia="Calibri"/>
          <w:b/>
          <w:bCs/>
          <w:color w:val="000000" w:themeColor="text1"/>
          <w:kern w:val="24"/>
          <w:lang w:val="en-US"/>
        </w:rPr>
        <w:t>G, H</w:t>
      </w:r>
      <w:r w:rsidR="004300A7" w:rsidRPr="00405F18">
        <w:rPr>
          <w:rFonts w:eastAsia="Calibri"/>
          <w:color w:val="000000" w:themeColor="text1"/>
          <w:kern w:val="24"/>
          <w:lang w:val="en-US"/>
        </w:rPr>
        <w:t>) two-way ANOVA followed by Tukey’s post-hoc test.</w:t>
      </w:r>
      <w:r w:rsidR="0057128A" w:rsidRPr="00405F18">
        <w:rPr>
          <w:rFonts w:eastAsia="Calibri"/>
          <w:color w:val="000000" w:themeColor="text1"/>
          <w:kern w:val="24"/>
          <w:lang w:val="en-US"/>
        </w:rPr>
        <w:t xml:space="preserve"> </w:t>
      </w:r>
      <w:r w:rsidR="004300A7" w:rsidRPr="00405F18">
        <w:rPr>
          <w:rFonts w:eastAsiaTheme="minorEastAsia"/>
          <w:color w:val="000000" w:themeColor="text1"/>
          <w:kern w:val="24"/>
          <w:lang w:val="en-US"/>
        </w:rPr>
        <w:t>*p ≤ 0.05; **p ≤ 0.01; ***p ≤ 0.001; ###p ≤ 0.001 between groups.</w:t>
      </w:r>
      <w:r w:rsidR="004300A7" w:rsidRPr="00405F18">
        <w:rPr>
          <w:rFonts w:eastAsia="Calibri"/>
          <w:color w:val="000000" w:themeColor="text1"/>
          <w:kern w:val="24"/>
          <w:lang w:val="en-US"/>
        </w:rPr>
        <w:t xml:space="preserve"> </w:t>
      </w:r>
    </w:p>
    <w:p w14:paraId="5FB7FAE1" w14:textId="77777777" w:rsidR="007A3DB2" w:rsidRDefault="007A3DB2">
      <w:pPr>
        <w:rPr>
          <w:rFonts w:ascii="Times New Roman" w:eastAsia="Calibri" w:hAnsi="Times New Roman" w:cs="Times New Roman"/>
          <w:color w:val="000000" w:themeColor="text1"/>
          <w:kern w:val="24"/>
          <w:sz w:val="24"/>
          <w:szCs w:val="24"/>
          <w:lang w:val="en-US" w:eastAsia="fr-BE"/>
        </w:rPr>
      </w:pPr>
      <w:r>
        <w:rPr>
          <w:rFonts w:eastAsia="Calibri"/>
          <w:color w:val="000000" w:themeColor="text1"/>
          <w:kern w:val="24"/>
          <w:lang w:val="en-US"/>
        </w:rPr>
        <w:br w:type="page"/>
      </w:r>
    </w:p>
    <w:p w14:paraId="08648F44" w14:textId="674DE2C7" w:rsidR="004300A7" w:rsidRPr="00405F18" w:rsidRDefault="007A3DB2" w:rsidP="00270044">
      <w:pPr>
        <w:pStyle w:val="NormalWeb"/>
        <w:spacing w:before="0" w:beforeAutospacing="0" w:after="160" w:afterAutospacing="0" w:line="480" w:lineRule="auto"/>
        <w:jc w:val="both"/>
        <w:rPr>
          <w:rFonts w:eastAsiaTheme="minorEastAsia"/>
          <w:color w:val="000000" w:themeColor="text1"/>
          <w:kern w:val="24"/>
          <w:lang w:val="en-US"/>
        </w:rPr>
      </w:pPr>
      <w:r>
        <w:rPr>
          <w:rFonts w:eastAsiaTheme="minorEastAsia"/>
          <w:noProof/>
          <w:color w:val="000000" w:themeColor="text1"/>
          <w:kern w:val="24"/>
          <w:lang w:val="en-US"/>
        </w:rPr>
        <w:lastRenderedPageBreak/>
        <w:drawing>
          <wp:inline distT="0" distB="0" distL="0" distR="0" wp14:anchorId="3201DF75" wp14:editId="733F1190">
            <wp:extent cx="5759450" cy="8143875"/>
            <wp:effectExtent l="0" t="0" r="0" b="9525"/>
            <wp:docPr id="1380993546" name="Image 4"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93546" name="Image 4" descr="Une image contenant texte, capture d’écran, diagramme, conception&#10;&#10;Description générée automatiquemen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14:paraId="2DD58FBF" w14:textId="079BF372" w:rsidR="007A3DB2" w:rsidRDefault="00856A3C" w:rsidP="00270044">
      <w:pPr>
        <w:pStyle w:val="NormalWeb"/>
        <w:spacing w:before="0" w:beforeAutospacing="0" w:after="160" w:afterAutospacing="0" w:line="480" w:lineRule="auto"/>
        <w:jc w:val="both"/>
        <w:rPr>
          <w:rFonts w:eastAsiaTheme="minorEastAsia"/>
          <w:color w:val="000000" w:themeColor="text1"/>
          <w:kern w:val="24"/>
          <w:lang w:val="en-US"/>
        </w:rPr>
      </w:pPr>
      <w:r w:rsidRPr="00405F18">
        <w:rPr>
          <w:rFonts w:eastAsia="Calibri"/>
          <w:b/>
          <w:bCs/>
          <w:color w:val="000000" w:themeColor="text1"/>
          <w:kern w:val="24"/>
          <w:lang w:val="en-US"/>
        </w:rPr>
        <w:lastRenderedPageBreak/>
        <w:t xml:space="preserve">Figure 5. </w:t>
      </w:r>
      <w:r w:rsidR="00680480" w:rsidRPr="00405F18">
        <w:rPr>
          <w:rFonts w:eastAsia="Calibri"/>
          <w:color w:val="000000" w:themeColor="text1"/>
          <w:kern w:val="24"/>
          <w:lang w:val="en-US"/>
        </w:rPr>
        <w:t xml:space="preserve">PA does not alter the fusion between autophagosomes and lysosomes in </w:t>
      </w:r>
      <w:proofErr w:type="spellStart"/>
      <w:r w:rsidR="009326CD">
        <w:rPr>
          <w:rFonts w:eastAsia="Calibri"/>
          <w:color w:val="000000" w:themeColor="text1"/>
          <w:kern w:val="24"/>
          <w:lang w:val="en-US"/>
        </w:rPr>
        <w:t>M</w:t>
      </w:r>
      <w:r w:rsidR="00680480" w:rsidRPr="00405F18">
        <w:rPr>
          <w:rFonts w:eastAsia="Calibri"/>
          <w:color w:val="000000" w:themeColor="text1"/>
          <w:kern w:val="24"/>
          <w:lang w:val="en-US"/>
        </w:rPr>
        <w:t>mPTECs</w:t>
      </w:r>
      <w:proofErr w:type="spellEnd"/>
      <w:r w:rsidR="00680480" w:rsidRPr="00405F18">
        <w:rPr>
          <w:rFonts w:eastAsia="Calibri"/>
          <w:color w:val="000000" w:themeColor="text1"/>
          <w:kern w:val="24"/>
          <w:lang w:val="en-US"/>
        </w:rPr>
        <w:t>.</w:t>
      </w:r>
      <w:r w:rsidR="00680480" w:rsidRPr="00405F18">
        <w:rPr>
          <w:rFonts w:eastAsia="Calibri"/>
          <w:b/>
          <w:bCs/>
          <w:color w:val="000000" w:themeColor="text1"/>
          <w:kern w:val="24"/>
          <w:lang w:val="en-US"/>
        </w:rPr>
        <w:t xml:space="preserve"> </w:t>
      </w:r>
      <w:r w:rsidR="00680480" w:rsidRPr="00405F18">
        <w:rPr>
          <w:rFonts w:eastAsia="Calibri"/>
          <w:color w:val="000000" w:themeColor="text1"/>
          <w:kern w:val="24"/>
          <w:lang w:val="en-US"/>
        </w:rPr>
        <w:t>(</w:t>
      </w:r>
      <w:r w:rsidR="00680480" w:rsidRPr="00405F18">
        <w:rPr>
          <w:rFonts w:eastAsia="Calibri"/>
          <w:b/>
          <w:bCs/>
          <w:color w:val="000000" w:themeColor="text1"/>
          <w:kern w:val="24"/>
          <w:lang w:val="en-US"/>
        </w:rPr>
        <w:t>A</w:t>
      </w:r>
      <w:r w:rsidR="00680480" w:rsidRPr="00405F18">
        <w:rPr>
          <w:rFonts w:eastAsia="Calibri"/>
          <w:color w:val="000000" w:themeColor="text1"/>
          <w:kern w:val="24"/>
          <w:lang w:val="en-US"/>
        </w:rPr>
        <w:t>)</w:t>
      </w:r>
      <w:r w:rsidR="00680480" w:rsidRPr="00405F18">
        <w:rPr>
          <w:rFonts w:eastAsia="Calibri"/>
          <w:b/>
          <w:bCs/>
          <w:color w:val="000000" w:themeColor="text1"/>
          <w:kern w:val="24"/>
          <w:lang w:val="en-US"/>
        </w:rPr>
        <w:t xml:space="preserve"> </w:t>
      </w:r>
      <w:r w:rsidR="00680480" w:rsidRPr="00405F18">
        <w:rPr>
          <w:rFonts w:eastAsia="Calibri"/>
          <w:color w:val="000000" w:themeColor="text1"/>
          <w:kern w:val="24"/>
          <w:lang w:val="en-US"/>
        </w:rPr>
        <w:t xml:space="preserve">Representative micrographs of </w:t>
      </w:r>
      <w:proofErr w:type="spellStart"/>
      <w:r w:rsidR="009326CD">
        <w:rPr>
          <w:rFonts w:eastAsia="Calibri"/>
          <w:color w:val="000000" w:themeColor="text1"/>
          <w:kern w:val="24"/>
          <w:lang w:val="en-US"/>
        </w:rPr>
        <w:t>M</w:t>
      </w:r>
      <w:r w:rsidR="00680480" w:rsidRPr="00405F18">
        <w:rPr>
          <w:rFonts w:eastAsia="Calibri"/>
          <w:color w:val="000000" w:themeColor="text1"/>
          <w:kern w:val="24"/>
          <w:lang w:val="en-US"/>
        </w:rPr>
        <w:t>mPTECs</w:t>
      </w:r>
      <w:proofErr w:type="spellEnd"/>
      <w:r w:rsidR="00680480" w:rsidRPr="00405F18">
        <w:rPr>
          <w:rFonts w:eastAsia="Calibri"/>
          <w:color w:val="000000" w:themeColor="text1"/>
          <w:kern w:val="24"/>
          <w:lang w:val="en-US"/>
        </w:rPr>
        <w:t xml:space="preserve"> treated for 6 or 24 h (only 24 h is represented) with 300 µM PA or 0.4% BSA with and without 2 </w:t>
      </w:r>
      <w:proofErr w:type="spellStart"/>
      <w:r w:rsidR="00680480" w:rsidRPr="00405F18">
        <w:rPr>
          <w:rFonts w:eastAsia="Calibri"/>
          <w:color w:val="000000" w:themeColor="text1"/>
          <w:kern w:val="24"/>
          <w:lang w:val="en-US"/>
        </w:rPr>
        <w:t>nM</w:t>
      </w:r>
      <w:proofErr w:type="spellEnd"/>
      <w:r w:rsidR="00680480" w:rsidRPr="00405F18">
        <w:rPr>
          <w:rFonts w:eastAsia="Calibri"/>
          <w:color w:val="000000" w:themeColor="text1"/>
          <w:kern w:val="24"/>
          <w:lang w:val="en-US"/>
        </w:rPr>
        <w:t xml:space="preserve"> bafilomycin A</w:t>
      </w:r>
      <w:r w:rsidR="00680480" w:rsidRPr="007110A4">
        <w:rPr>
          <w:rFonts w:eastAsia="Calibri"/>
          <w:color w:val="000000" w:themeColor="text1"/>
          <w:kern w:val="24"/>
          <w:vertAlign w:val="subscript"/>
          <w:lang w:val="en-US"/>
        </w:rPr>
        <w:t>1</w:t>
      </w:r>
      <w:r w:rsidR="00680480" w:rsidRPr="00405F18">
        <w:rPr>
          <w:rFonts w:eastAsia="Calibri"/>
          <w:color w:val="000000" w:themeColor="text1"/>
          <w:kern w:val="24"/>
          <w:lang w:val="en-US"/>
        </w:rPr>
        <w:t xml:space="preserve"> for last 6 h, fixed and immuno-stained for LAMP2 (red) and LC3 (green). (</w:t>
      </w:r>
      <w:r w:rsidR="00680480" w:rsidRPr="00405F18">
        <w:rPr>
          <w:rFonts w:eastAsia="Calibri"/>
          <w:b/>
          <w:bCs/>
          <w:color w:val="000000" w:themeColor="text1"/>
          <w:kern w:val="24"/>
          <w:lang w:val="en-US"/>
        </w:rPr>
        <w:t>B</w:t>
      </w:r>
      <w:r w:rsidR="00680480" w:rsidRPr="00405F18">
        <w:rPr>
          <w:rFonts w:eastAsia="Calibri"/>
          <w:color w:val="000000" w:themeColor="text1"/>
          <w:kern w:val="24"/>
          <w:lang w:val="en-US"/>
        </w:rPr>
        <w:t>)</w:t>
      </w:r>
      <w:r w:rsidR="00680480" w:rsidRPr="00405F18">
        <w:rPr>
          <w:rFonts w:eastAsia="Calibri"/>
          <w:b/>
          <w:bCs/>
          <w:color w:val="000000" w:themeColor="text1"/>
          <w:kern w:val="24"/>
          <w:lang w:val="en-US"/>
        </w:rPr>
        <w:t xml:space="preserve"> </w:t>
      </w:r>
      <w:r w:rsidR="00680480" w:rsidRPr="00405F18">
        <w:rPr>
          <w:rFonts w:eastAsia="Calibri"/>
          <w:color w:val="000000" w:themeColor="text1"/>
          <w:kern w:val="24"/>
          <w:lang w:val="en-US"/>
        </w:rPr>
        <w:t>Quantification of the colocalization percentages of LC3 with LAMP2 calculated by Mander's correlation coefficients on 30 cells per group. (</w:t>
      </w:r>
      <w:r w:rsidR="00680480" w:rsidRPr="00405F18">
        <w:rPr>
          <w:rFonts w:eastAsia="Calibri"/>
          <w:b/>
          <w:bCs/>
          <w:color w:val="000000" w:themeColor="text1"/>
          <w:kern w:val="24"/>
          <w:lang w:val="en-US"/>
        </w:rPr>
        <w:t>C</w:t>
      </w:r>
      <w:r w:rsidR="00680480" w:rsidRPr="00405F18">
        <w:rPr>
          <w:rFonts w:eastAsia="Calibri"/>
          <w:color w:val="000000" w:themeColor="text1"/>
          <w:kern w:val="24"/>
          <w:lang w:val="en-US"/>
        </w:rPr>
        <w:t>)</w:t>
      </w:r>
      <w:r w:rsidR="00680480" w:rsidRPr="00405F18">
        <w:rPr>
          <w:rFonts w:eastAsia="Calibri"/>
          <w:b/>
          <w:bCs/>
          <w:color w:val="000000" w:themeColor="text1"/>
          <w:kern w:val="24"/>
          <w:lang w:val="en-US"/>
        </w:rPr>
        <w:t xml:space="preserve"> </w:t>
      </w:r>
      <w:r w:rsidR="00680480" w:rsidRPr="00405F18">
        <w:rPr>
          <w:rFonts w:eastAsia="Calibri"/>
          <w:color w:val="000000" w:themeColor="text1"/>
          <w:kern w:val="24"/>
          <w:lang w:val="en-US"/>
        </w:rPr>
        <w:t xml:space="preserve">Representative micrographs of </w:t>
      </w:r>
      <w:proofErr w:type="spellStart"/>
      <w:r w:rsidR="009326CD">
        <w:rPr>
          <w:rFonts w:eastAsia="Calibri"/>
          <w:color w:val="000000" w:themeColor="text1"/>
          <w:kern w:val="24"/>
          <w:lang w:val="en-US"/>
        </w:rPr>
        <w:t>M</w:t>
      </w:r>
      <w:r w:rsidR="00680480" w:rsidRPr="00405F18">
        <w:rPr>
          <w:rFonts w:eastAsia="Calibri"/>
          <w:color w:val="000000" w:themeColor="text1"/>
          <w:kern w:val="24"/>
          <w:lang w:val="en-US"/>
        </w:rPr>
        <w:t>mPTECs</w:t>
      </w:r>
      <w:proofErr w:type="spellEnd"/>
      <w:r w:rsidR="00680480" w:rsidRPr="00405F18">
        <w:rPr>
          <w:rFonts w:eastAsia="Calibri"/>
          <w:color w:val="000000" w:themeColor="text1"/>
          <w:kern w:val="24"/>
          <w:lang w:val="en-US"/>
        </w:rPr>
        <w:t xml:space="preserve"> treated for 24 h with 300 µM PA or 0.4%</w:t>
      </w:r>
      <w:r w:rsidR="009D33F5">
        <w:rPr>
          <w:rFonts w:eastAsia="Calibri"/>
          <w:color w:val="000000" w:themeColor="text1"/>
          <w:kern w:val="24"/>
          <w:lang w:val="en-US"/>
        </w:rPr>
        <w:t xml:space="preserve"> </w:t>
      </w:r>
      <w:r w:rsidR="00680480" w:rsidRPr="00405F18">
        <w:rPr>
          <w:rFonts w:eastAsia="Calibri"/>
          <w:color w:val="000000" w:themeColor="text1"/>
          <w:kern w:val="24"/>
          <w:lang w:val="en-US"/>
        </w:rPr>
        <w:t xml:space="preserve">BSA, fixed and immuno-stained for ubiquitin (red) and LAMP1 (green). </w:t>
      </w:r>
      <w:r w:rsidR="00680480" w:rsidRPr="00405F18">
        <w:rPr>
          <w:rFonts w:eastAsia="Aptos"/>
          <w:color w:val="000000" w:themeColor="text1"/>
          <w:kern w:val="2"/>
          <w:lang w:val="en-US"/>
        </w:rPr>
        <w:t>(</w:t>
      </w:r>
      <w:r w:rsidR="00680480" w:rsidRPr="00405F18">
        <w:rPr>
          <w:rFonts w:eastAsia="Aptos"/>
          <w:b/>
          <w:bCs/>
          <w:color w:val="000000" w:themeColor="text1"/>
          <w:kern w:val="2"/>
          <w:lang w:val="en-US"/>
        </w:rPr>
        <w:t>D</w:t>
      </w:r>
      <w:r w:rsidR="00680480" w:rsidRPr="00405F18">
        <w:rPr>
          <w:rFonts w:eastAsia="Aptos"/>
          <w:color w:val="000000" w:themeColor="text1"/>
          <w:kern w:val="2"/>
          <w:lang w:val="en-US"/>
        </w:rPr>
        <w:t xml:space="preserve">) Quantification of the number of </w:t>
      </w:r>
      <w:proofErr w:type="spellStart"/>
      <w:r w:rsidR="00680480" w:rsidRPr="00405F18">
        <w:rPr>
          <w:rFonts w:eastAsia="Aptos"/>
          <w:color w:val="000000" w:themeColor="text1"/>
          <w:kern w:val="2"/>
          <w:lang w:val="en-US"/>
        </w:rPr>
        <w:t>Ub</w:t>
      </w:r>
      <w:proofErr w:type="spellEnd"/>
      <w:r w:rsidR="00680480" w:rsidRPr="00405F18">
        <w:rPr>
          <w:rFonts w:eastAsia="Aptos"/>
          <w:color w:val="000000" w:themeColor="text1"/>
          <w:kern w:val="2"/>
          <w:lang w:val="en-US"/>
        </w:rPr>
        <w:t xml:space="preserve"> puncta surrounded by LAMP1 staining on 30 cells per group.</w:t>
      </w:r>
      <w:r w:rsidR="00680480" w:rsidRPr="00405F18">
        <w:rPr>
          <w:rFonts w:eastAsia="Calibri"/>
          <w:color w:val="000000" w:themeColor="text1"/>
          <w:kern w:val="24"/>
          <w:lang w:val="en-US"/>
        </w:rPr>
        <w:t xml:space="preserve"> </w:t>
      </w:r>
      <w:r w:rsidR="00680480" w:rsidRPr="00405F18">
        <w:rPr>
          <w:rFonts w:eastAsia="Aptos"/>
          <w:color w:val="000000" w:themeColor="text1"/>
          <w:kern w:val="2"/>
          <w:lang w:val="en-US"/>
        </w:rPr>
        <w:t>Data are presented as</w:t>
      </w:r>
      <w:r w:rsidR="00680480" w:rsidRPr="00405F18">
        <w:rPr>
          <w:rFonts w:eastAsia="Calibri"/>
          <w:color w:val="000000" w:themeColor="text1"/>
          <w:kern w:val="24"/>
          <w:lang w:val="en-US"/>
        </w:rPr>
        <w:t xml:space="preserve"> (</w:t>
      </w:r>
      <w:r w:rsidR="00680480" w:rsidRPr="00405F18">
        <w:rPr>
          <w:rFonts w:eastAsia="Calibri"/>
          <w:b/>
          <w:bCs/>
          <w:color w:val="000000" w:themeColor="text1"/>
          <w:kern w:val="24"/>
          <w:lang w:val="en-US"/>
        </w:rPr>
        <w:t>B</w:t>
      </w:r>
      <w:r w:rsidR="00680480" w:rsidRPr="00405F18">
        <w:rPr>
          <w:rFonts w:eastAsia="Calibri"/>
          <w:color w:val="000000" w:themeColor="text1"/>
          <w:kern w:val="24"/>
          <w:lang w:val="en-US"/>
        </w:rPr>
        <w:t>) means and quarters or as (</w:t>
      </w:r>
      <w:r w:rsidR="00680480" w:rsidRPr="00405F18">
        <w:rPr>
          <w:rFonts w:eastAsia="Calibri"/>
          <w:b/>
          <w:bCs/>
          <w:color w:val="000000" w:themeColor="text1"/>
          <w:kern w:val="24"/>
          <w:lang w:val="en-US"/>
        </w:rPr>
        <w:t>D</w:t>
      </w:r>
      <w:r w:rsidR="00680480" w:rsidRPr="00405F18">
        <w:rPr>
          <w:rFonts w:eastAsia="Calibri"/>
          <w:color w:val="000000" w:themeColor="text1"/>
          <w:kern w:val="24"/>
          <w:lang w:val="en-US"/>
        </w:rPr>
        <w:t>)</w:t>
      </w:r>
      <w:r w:rsidR="00680480" w:rsidRPr="00405F18">
        <w:rPr>
          <w:rFonts w:eastAsia="Aptos"/>
          <w:color w:val="000000" w:themeColor="text1"/>
          <w:kern w:val="2"/>
          <w:lang w:val="en-US"/>
        </w:rPr>
        <w:t xml:space="preserve"> means ± SEM of three independent biological experiments.</w:t>
      </w:r>
      <w:r w:rsidR="00680480" w:rsidRPr="00405F18">
        <w:rPr>
          <w:rFonts w:eastAsia="Calibri"/>
          <w:color w:val="000000" w:themeColor="text1"/>
          <w:kern w:val="2"/>
          <w:lang w:val="en-US"/>
        </w:rPr>
        <w:t xml:space="preserve"> </w:t>
      </w:r>
      <w:r w:rsidR="00680480" w:rsidRPr="00405F18">
        <w:rPr>
          <w:rFonts w:eastAsiaTheme="minorEastAsia"/>
          <w:color w:val="000000" w:themeColor="text1"/>
          <w:kern w:val="24"/>
          <w:lang w:val="en-US"/>
        </w:rPr>
        <w:t>Statistical analyses were performed by</w:t>
      </w:r>
      <w:r w:rsidR="00680480" w:rsidRPr="00405F18">
        <w:rPr>
          <w:rFonts w:eastAsia="Calibri"/>
          <w:color w:val="000000" w:themeColor="text1"/>
          <w:kern w:val="24"/>
          <w:lang w:val="en-US"/>
        </w:rPr>
        <w:t xml:space="preserve"> (</w:t>
      </w:r>
      <w:r w:rsidR="00680480" w:rsidRPr="00405F18">
        <w:rPr>
          <w:rFonts w:eastAsia="Calibri"/>
          <w:b/>
          <w:bCs/>
          <w:color w:val="000000" w:themeColor="text1"/>
          <w:kern w:val="24"/>
          <w:lang w:val="en-US"/>
        </w:rPr>
        <w:t>D</w:t>
      </w:r>
      <w:r w:rsidR="00680480" w:rsidRPr="00405F18">
        <w:rPr>
          <w:rFonts w:eastAsia="Calibri"/>
          <w:color w:val="000000" w:themeColor="text1"/>
          <w:kern w:val="24"/>
          <w:lang w:val="en-US"/>
        </w:rPr>
        <w:t>) Student’s unpaired t-test</w:t>
      </w:r>
      <w:r w:rsidR="00680480" w:rsidRPr="00405F18">
        <w:rPr>
          <w:rFonts w:eastAsiaTheme="minorEastAsia"/>
          <w:color w:val="000000" w:themeColor="text1"/>
          <w:kern w:val="24"/>
          <w:lang w:val="en-US"/>
        </w:rPr>
        <w:t xml:space="preserve"> or by (</w:t>
      </w:r>
      <w:r w:rsidR="00680480" w:rsidRPr="00405F18">
        <w:rPr>
          <w:rFonts w:eastAsiaTheme="minorEastAsia"/>
          <w:b/>
          <w:bCs/>
          <w:color w:val="000000" w:themeColor="text1"/>
          <w:kern w:val="24"/>
          <w:lang w:val="en-US"/>
        </w:rPr>
        <w:t>B</w:t>
      </w:r>
      <w:r w:rsidR="00680480" w:rsidRPr="00405F18">
        <w:rPr>
          <w:rFonts w:eastAsiaTheme="minorEastAsia"/>
          <w:color w:val="000000" w:themeColor="text1"/>
          <w:kern w:val="24"/>
          <w:lang w:val="en-US"/>
        </w:rPr>
        <w:t>) two-way ANOVA followed by Dunnett’s post-hoc test. **p ≤ 0.01; ***p ≤ 0.001 between groups.</w:t>
      </w:r>
    </w:p>
    <w:p w14:paraId="04D7166A" w14:textId="77777777" w:rsidR="007A3DB2" w:rsidRDefault="007A3DB2">
      <w:pPr>
        <w:rPr>
          <w:rFonts w:ascii="Times New Roman" w:eastAsiaTheme="minorEastAsia" w:hAnsi="Times New Roman" w:cs="Times New Roman"/>
          <w:color w:val="000000" w:themeColor="text1"/>
          <w:kern w:val="24"/>
          <w:sz w:val="24"/>
          <w:szCs w:val="24"/>
          <w:lang w:val="en-US" w:eastAsia="fr-BE"/>
        </w:rPr>
      </w:pPr>
      <w:r>
        <w:rPr>
          <w:rFonts w:eastAsiaTheme="minorEastAsia"/>
          <w:color w:val="000000" w:themeColor="text1"/>
          <w:kern w:val="24"/>
          <w:lang w:val="en-US"/>
        </w:rPr>
        <w:br w:type="page"/>
      </w:r>
    </w:p>
    <w:p w14:paraId="4883E95A" w14:textId="32755761" w:rsidR="00680480" w:rsidRPr="00405F18" w:rsidRDefault="007A3DB2" w:rsidP="00270044">
      <w:pPr>
        <w:pStyle w:val="NormalWeb"/>
        <w:spacing w:before="0" w:beforeAutospacing="0" w:after="160" w:afterAutospacing="0" w:line="480" w:lineRule="auto"/>
        <w:jc w:val="both"/>
        <w:rPr>
          <w:rFonts w:eastAsia="Calibri"/>
          <w:color w:val="000000" w:themeColor="text1"/>
          <w:kern w:val="24"/>
          <w:lang w:val="en-US"/>
        </w:rPr>
      </w:pPr>
      <w:r>
        <w:rPr>
          <w:rFonts w:eastAsia="Calibri"/>
          <w:noProof/>
          <w:color w:val="000000" w:themeColor="text1"/>
          <w:kern w:val="24"/>
          <w:lang w:val="en-US"/>
        </w:rPr>
        <w:lastRenderedPageBreak/>
        <w:drawing>
          <wp:inline distT="0" distB="0" distL="0" distR="0" wp14:anchorId="5AA5ECB1" wp14:editId="61B18B6F">
            <wp:extent cx="5759450" cy="8143875"/>
            <wp:effectExtent l="0" t="0" r="0" b="9525"/>
            <wp:docPr id="1818923730" name="Image 5"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923730" name="Image 5" descr="Une image contenant texte, capture d’écran, diagramme&#10;&#10;Description générée automatiquemen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14:paraId="34787ABC" w14:textId="3C3CD39E" w:rsidR="007A3DB2" w:rsidRDefault="00415965" w:rsidP="00270044">
      <w:pPr>
        <w:pStyle w:val="NormalWeb"/>
        <w:spacing w:before="0" w:beforeAutospacing="0" w:after="160" w:afterAutospacing="0" w:line="480" w:lineRule="auto"/>
        <w:jc w:val="both"/>
        <w:rPr>
          <w:rFonts w:eastAsiaTheme="minorEastAsia"/>
          <w:color w:val="000000" w:themeColor="text1"/>
          <w:kern w:val="24"/>
          <w:lang w:val="en-US"/>
        </w:rPr>
      </w:pPr>
      <w:r w:rsidRPr="00405F18">
        <w:rPr>
          <w:rFonts w:eastAsia="Calibri"/>
          <w:b/>
          <w:bCs/>
          <w:color w:val="000000" w:themeColor="text1"/>
          <w:kern w:val="24"/>
          <w:lang w:val="en-US"/>
        </w:rPr>
        <w:lastRenderedPageBreak/>
        <w:t xml:space="preserve">Figure 6. </w:t>
      </w:r>
      <w:r w:rsidR="003834B5" w:rsidRPr="00405F18">
        <w:rPr>
          <w:rFonts w:eastAsia="Calibri"/>
          <w:color w:val="000000" w:themeColor="text1"/>
          <w:kern w:val="24"/>
          <w:lang w:val="en-US"/>
        </w:rPr>
        <w:t xml:space="preserve">PA impairs lysosomal acidification in </w:t>
      </w:r>
      <w:proofErr w:type="spellStart"/>
      <w:r w:rsidR="009326CD">
        <w:rPr>
          <w:rFonts w:eastAsia="Calibri"/>
          <w:color w:val="000000" w:themeColor="text1"/>
          <w:kern w:val="24"/>
          <w:lang w:val="en-US"/>
        </w:rPr>
        <w:t>M</w:t>
      </w:r>
      <w:r w:rsidR="003834B5" w:rsidRPr="00405F18">
        <w:rPr>
          <w:rFonts w:eastAsia="Calibri"/>
          <w:color w:val="000000" w:themeColor="text1"/>
          <w:kern w:val="24"/>
          <w:lang w:val="en-US"/>
        </w:rPr>
        <w:t>mPTEC</w:t>
      </w:r>
      <w:r w:rsidR="00F86D50" w:rsidRPr="00405F18">
        <w:rPr>
          <w:rFonts w:eastAsia="Calibri"/>
          <w:color w:val="000000" w:themeColor="text1"/>
          <w:kern w:val="24"/>
          <w:lang w:val="en-US"/>
        </w:rPr>
        <w:t>s</w:t>
      </w:r>
      <w:proofErr w:type="spellEnd"/>
      <w:r w:rsidR="003834B5" w:rsidRPr="00405F18">
        <w:rPr>
          <w:rFonts w:eastAsia="Calibri"/>
          <w:color w:val="000000" w:themeColor="text1"/>
          <w:kern w:val="24"/>
          <w:lang w:val="en-US"/>
        </w:rPr>
        <w:t xml:space="preserve"> which is prevented by AMPK activation. (</w:t>
      </w:r>
      <w:r w:rsidR="003834B5" w:rsidRPr="00405F18">
        <w:rPr>
          <w:rFonts w:eastAsia="Calibri"/>
          <w:b/>
          <w:bCs/>
          <w:color w:val="000000" w:themeColor="text1"/>
          <w:kern w:val="24"/>
          <w:lang w:val="en-US"/>
        </w:rPr>
        <w:t>A</w:t>
      </w:r>
      <w:r w:rsidR="003834B5" w:rsidRPr="00405F18">
        <w:rPr>
          <w:rFonts w:eastAsia="Calibri"/>
          <w:color w:val="000000" w:themeColor="text1"/>
          <w:kern w:val="24"/>
          <w:lang w:val="en-US"/>
        </w:rPr>
        <w:t>)</w:t>
      </w:r>
      <w:r w:rsidR="003834B5" w:rsidRPr="00405F18">
        <w:rPr>
          <w:rFonts w:eastAsia="Calibri"/>
          <w:b/>
          <w:bCs/>
          <w:color w:val="000000" w:themeColor="text1"/>
          <w:kern w:val="24"/>
          <w:lang w:val="en-US"/>
        </w:rPr>
        <w:t xml:space="preserve"> </w:t>
      </w:r>
      <w:r w:rsidR="00F17422" w:rsidRPr="00405F18">
        <w:rPr>
          <w:rFonts w:eastAsia="Calibri"/>
          <w:color w:val="000000" w:themeColor="text1"/>
          <w:kern w:val="24"/>
          <w:lang w:val="en-US"/>
        </w:rPr>
        <w:t>Blue (neutral pH)</w:t>
      </w:r>
      <w:r w:rsidR="00A42271" w:rsidRPr="00405F18">
        <w:rPr>
          <w:rFonts w:eastAsia="Calibri"/>
          <w:color w:val="000000" w:themeColor="text1"/>
          <w:kern w:val="24"/>
          <w:lang w:val="en-US"/>
        </w:rPr>
        <w:t xml:space="preserve">:yellow (acidic pH) fluorescence ratios from </w:t>
      </w:r>
      <w:proofErr w:type="spellStart"/>
      <w:r w:rsidR="009326CD">
        <w:rPr>
          <w:rFonts w:eastAsia="Calibri"/>
          <w:color w:val="000000" w:themeColor="text1"/>
          <w:kern w:val="24"/>
          <w:lang w:val="en-US"/>
        </w:rPr>
        <w:t>M</w:t>
      </w:r>
      <w:r w:rsidR="006C378C" w:rsidRPr="00405F18">
        <w:rPr>
          <w:rFonts w:eastAsia="Calibri"/>
          <w:color w:val="000000" w:themeColor="text1"/>
          <w:kern w:val="24"/>
          <w:lang w:val="en-US"/>
        </w:rPr>
        <w:t>mPTECs</w:t>
      </w:r>
      <w:proofErr w:type="spellEnd"/>
      <w:r w:rsidR="006C378C" w:rsidRPr="00405F18">
        <w:rPr>
          <w:rFonts w:eastAsia="Calibri"/>
          <w:color w:val="000000" w:themeColor="text1"/>
          <w:kern w:val="24"/>
          <w:lang w:val="en-US"/>
        </w:rPr>
        <w:t xml:space="preserve"> </w:t>
      </w:r>
      <w:r w:rsidR="003834B5" w:rsidRPr="00405F18">
        <w:rPr>
          <w:rFonts w:eastAsia="Calibri"/>
          <w:color w:val="000000" w:themeColor="text1"/>
          <w:kern w:val="24"/>
          <w:lang w:val="en-US"/>
        </w:rPr>
        <w:t>treated for 6 or 24 h with 300 µM PA or 0.</w:t>
      </w:r>
      <w:r w:rsidR="009D33F5">
        <w:rPr>
          <w:rFonts w:eastAsia="Calibri"/>
          <w:color w:val="000000" w:themeColor="text1"/>
          <w:kern w:val="24"/>
          <w:lang w:val="en-US"/>
        </w:rPr>
        <w:t>4</w:t>
      </w:r>
      <w:r w:rsidR="003834B5" w:rsidRPr="00405F18">
        <w:rPr>
          <w:rFonts w:eastAsia="Calibri"/>
          <w:color w:val="000000" w:themeColor="text1"/>
          <w:kern w:val="24"/>
          <w:lang w:val="en-US"/>
        </w:rPr>
        <w:t xml:space="preserve">% BSA with or without 2 </w:t>
      </w:r>
      <w:proofErr w:type="spellStart"/>
      <w:r w:rsidR="003834B5" w:rsidRPr="00405F18">
        <w:rPr>
          <w:rFonts w:eastAsia="Calibri"/>
          <w:color w:val="000000" w:themeColor="text1"/>
          <w:kern w:val="24"/>
          <w:lang w:val="en-US"/>
        </w:rPr>
        <w:t>nM</w:t>
      </w:r>
      <w:proofErr w:type="spellEnd"/>
      <w:r w:rsidR="003834B5" w:rsidRPr="00405F18">
        <w:rPr>
          <w:rFonts w:eastAsia="Calibri"/>
          <w:color w:val="000000" w:themeColor="text1"/>
          <w:kern w:val="24"/>
          <w:lang w:val="en-US"/>
        </w:rPr>
        <w:t xml:space="preserve"> bafilomycin A</w:t>
      </w:r>
      <w:r w:rsidR="003834B5" w:rsidRPr="007110A4">
        <w:rPr>
          <w:rFonts w:eastAsia="Calibri"/>
          <w:color w:val="000000" w:themeColor="text1"/>
          <w:kern w:val="24"/>
          <w:vertAlign w:val="subscript"/>
          <w:lang w:val="en-US"/>
        </w:rPr>
        <w:t>1</w:t>
      </w:r>
      <w:r w:rsidR="003834B5" w:rsidRPr="00405F18">
        <w:rPr>
          <w:rFonts w:eastAsia="Calibri"/>
          <w:color w:val="000000" w:themeColor="text1"/>
          <w:kern w:val="24"/>
          <w:lang w:val="en-US"/>
        </w:rPr>
        <w:t xml:space="preserve"> for last 6 h and incubated with 5 µM </w:t>
      </w:r>
      <w:proofErr w:type="spellStart"/>
      <w:r w:rsidR="003834B5" w:rsidRPr="00405F18">
        <w:rPr>
          <w:rFonts w:eastAsia="Calibri"/>
          <w:color w:val="000000" w:themeColor="text1"/>
          <w:kern w:val="24"/>
          <w:lang w:val="en-US"/>
        </w:rPr>
        <w:t>LysoSenso</w:t>
      </w:r>
      <w:r w:rsidR="00226661">
        <w:rPr>
          <w:rFonts w:eastAsia="Calibri"/>
          <w:color w:val="000000" w:themeColor="text1"/>
          <w:kern w:val="24"/>
          <w:lang w:val="en-US"/>
        </w:rPr>
        <w:t>r</w:t>
      </w:r>
      <w:r w:rsidR="00226661" w:rsidRPr="00226661">
        <w:rPr>
          <w:rFonts w:eastAsia="Calibri"/>
          <w:color w:val="000000" w:themeColor="text1"/>
          <w:kern w:val="24"/>
          <w:vertAlign w:val="superscript"/>
          <w:lang w:val="en-US"/>
        </w:rPr>
        <w:t>TM</w:t>
      </w:r>
      <w:proofErr w:type="spellEnd"/>
      <w:r w:rsidR="003834B5" w:rsidRPr="00405F18">
        <w:rPr>
          <w:rFonts w:eastAsia="Calibri"/>
          <w:color w:val="000000" w:themeColor="text1"/>
          <w:kern w:val="24"/>
          <w:lang w:val="en-US"/>
        </w:rPr>
        <w:t xml:space="preserve"> Yellow/Blue DND-160 for 3 min. (</w:t>
      </w:r>
      <w:r w:rsidR="003834B5" w:rsidRPr="00405F18">
        <w:rPr>
          <w:rFonts w:eastAsia="Calibri"/>
          <w:b/>
          <w:bCs/>
          <w:color w:val="000000" w:themeColor="text1"/>
          <w:kern w:val="24"/>
          <w:lang w:val="en-US"/>
        </w:rPr>
        <w:t>B</w:t>
      </w:r>
      <w:r w:rsidR="003834B5" w:rsidRPr="00405F18">
        <w:rPr>
          <w:rFonts w:eastAsia="Calibri"/>
          <w:color w:val="000000" w:themeColor="text1"/>
          <w:kern w:val="24"/>
          <w:lang w:val="en-US"/>
        </w:rPr>
        <w:t>)</w:t>
      </w:r>
      <w:r w:rsidR="003834B5" w:rsidRPr="00405F18">
        <w:rPr>
          <w:rFonts w:eastAsia="Calibri"/>
          <w:b/>
          <w:bCs/>
          <w:color w:val="000000" w:themeColor="text1"/>
          <w:kern w:val="24"/>
          <w:lang w:val="en-US"/>
        </w:rPr>
        <w:t xml:space="preserve"> </w:t>
      </w:r>
      <w:r w:rsidR="003834B5" w:rsidRPr="00405F18">
        <w:rPr>
          <w:rFonts w:eastAsia="Calibri"/>
          <w:color w:val="000000" w:themeColor="text1"/>
          <w:kern w:val="24"/>
          <w:lang w:val="en-US"/>
        </w:rPr>
        <w:t xml:space="preserve">Representative micrographs of </w:t>
      </w:r>
      <w:proofErr w:type="spellStart"/>
      <w:r w:rsidR="009326CD">
        <w:rPr>
          <w:rFonts w:eastAsia="Calibri"/>
          <w:color w:val="000000" w:themeColor="text1"/>
          <w:kern w:val="24"/>
          <w:lang w:val="en-US"/>
        </w:rPr>
        <w:t>M</w:t>
      </w:r>
      <w:r w:rsidR="003834B5" w:rsidRPr="00405F18">
        <w:rPr>
          <w:rFonts w:eastAsia="Calibri"/>
          <w:color w:val="000000" w:themeColor="text1"/>
          <w:kern w:val="24"/>
          <w:lang w:val="en-US"/>
        </w:rPr>
        <w:t>mPTECs</w:t>
      </w:r>
      <w:proofErr w:type="spellEnd"/>
      <w:r w:rsidR="003834B5" w:rsidRPr="00405F18">
        <w:rPr>
          <w:rFonts w:eastAsia="Calibri"/>
          <w:color w:val="000000" w:themeColor="text1"/>
          <w:kern w:val="24"/>
          <w:lang w:val="en-US"/>
        </w:rPr>
        <w:t xml:space="preserve"> treated for 6 h with 300 µM PA or 0.4% BSA and incubated with 2.5 µM Acridine Orange for 15 min. </w:t>
      </w:r>
      <w:r w:rsidR="003834B5" w:rsidRPr="00405F18">
        <w:rPr>
          <w:rFonts w:eastAsia="Aptos"/>
          <w:color w:val="000000" w:themeColor="text1"/>
          <w:kern w:val="2"/>
          <w:lang w:val="en-US"/>
        </w:rPr>
        <w:t>(</w:t>
      </w:r>
      <w:r w:rsidR="003834B5" w:rsidRPr="00405F18">
        <w:rPr>
          <w:rFonts w:eastAsia="Aptos"/>
          <w:b/>
          <w:bCs/>
          <w:color w:val="000000" w:themeColor="text1"/>
          <w:kern w:val="2"/>
          <w:lang w:val="en-US"/>
        </w:rPr>
        <w:t>C</w:t>
      </w:r>
      <w:r w:rsidR="003834B5" w:rsidRPr="00405F18">
        <w:rPr>
          <w:rFonts w:eastAsia="Aptos"/>
          <w:color w:val="000000" w:themeColor="text1"/>
          <w:kern w:val="2"/>
          <w:lang w:val="en-US"/>
        </w:rPr>
        <w:t xml:space="preserve">) Quantification of the </w:t>
      </w:r>
      <w:proofErr w:type="spellStart"/>
      <w:r w:rsidR="003834B5" w:rsidRPr="00405F18">
        <w:rPr>
          <w:rFonts w:eastAsia="Aptos"/>
          <w:color w:val="000000" w:themeColor="text1"/>
          <w:kern w:val="2"/>
          <w:lang w:val="en-US"/>
        </w:rPr>
        <w:t>red:green</w:t>
      </w:r>
      <w:proofErr w:type="spellEnd"/>
      <w:r w:rsidR="003834B5" w:rsidRPr="00405F18">
        <w:rPr>
          <w:rFonts w:eastAsia="Aptos"/>
          <w:color w:val="000000" w:themeColor="text1"/>
          <w:kern w:val="2"/>
          <w:lang w:val="en-US"/>
        </w:rPr>
        <w:t xml:space="preserve"> fluorescence ratios on 30 cells per group.</w:t>
      </w:r>
      <w:r w:rsidR="003834B5" w:rsidRPr="00405F18">
        <w:rPr>
          <w:rFonts w:eastAsia="Calibri"/>
          <w:color w:val="000000" w:themeColor="text1"/>
          <w:kern w:val="24"/>
          <w:lang w:val="en-US"/>
        </w:rPr>
        <w:t xml:space="preserve"> </w:t>
      </w:r>
      <w:r w:rsidR="003834B5" w:rsidRPr="00405F18">
        <w:rPr>
          <w:rFonts w:eastAsiaTheme="minorEastAsia"/>
          <w:color w:val="000000" w:themeColor="text1"/>
          <w:kern w:val="24"/>
          <w:lang w:val="en-US"/>
        </w:rPr>
        <w:t>(</w:t>
      </w:r>
      <w:r w:rsidR="003834B5" w:rsidRPr="00405F18">
        <w:rPr>
          <w:rFonts w:eastAsiaTheme="minorEastAsia"/>
          <w:b/>
          <w:bCs/>
          <w:color w:val="000000" w:themeColor="text1"/>
          <w:kern w:val="24"/>
          <w:lang w:val="en-US"/>
        </w:rPr>
        <w:t>D</w:t>
      </w:r>
      <w:r w:rsidR="003834B5" w:rsidRPr="00405F18">
        <w:rPr>
          <w:rFonts w:eastAsiaTheme="minorEastAsia"/>
          <w:color w:val="000000" w:themeColor="text1"/>
          <w:kern w:val="24"/>
          <w:lang w:val="en-US"/>
        </w:rPr>
        <w:t xml:space="preserve">, </w:t>
      </w:r>
      <w:r w:rsidR="003834B5" w:rsidRPr="00405F18">
        <w:rPr>
          <w:rFonts w:eastAsiaTheme="minorEastAsia"/>
          <w:b/>
          <w:bCs/>
          <w:color w:val="000000" w:themeColor="text1"/>
          <w:kern w:val="24"/>
          <w:lang w:val="en-US"/>
        </w:rPr>
        <w:t>E</w:t>
      </w:r>
      <w:r w:rsidR="003834B5" w:rsidRPr="00405F18">
        <w:rPr>
          <w:rFonts w:eastAsiaTheme="minorEastAsia"/>
          <w:color w:val="000000" w:themeColor="text1"/>
          <w:kern w:val="24"/>
          <w:lang w:val="en-US"/>
        </w:rPr>
        <w:t xml:space="preserve">) </w:t>
      </w:r>
      <w:r w:rsidR="006C378C" w:rsidRPr="00405F18">
        <w:rPr>
          <w:rFonts w:eastAsia="Calibri"/>
          <w:color w:val="000000" w:themeColor="text1"/>
          <w:kern w:val="24"/>
          <w:lang w:val="en-US"/>
        </w:rPr>
        <w:t>Blue (neutral pH</w:t>
      </w:r>
      <w:proofErr w:type="gramStart"/>
      <w:r w:rsidR="006C378C" w:rsidRPr="00405F18">
        <w:rPr>
          <w:rFonts w:eastAsia="Calibri"/>
          <w:color w:val="000000" w:themeColor="text1"/>
          <w:kern w:val="24"/>
          <w:lang w:val="en-US"/>
        </w:rPr>
        <w:t>):yellow</w:t>
      </w:r>
      <w:proofErr w:type="gramEnd"/>
      <w:r w:rsidR="006C378C" w:rsidRPr="00405F18">
        <w:rPr>
          <w:rFonts w:eastAsia="Calibri"/>
          <w:color w:val="000000" w:themeColor="text1"/>
          <w:kern w:val="24"/>
          <w:lang w:val="en-US"/>
        </w:rPr>
        <w:t xml:space="preserve"> (acidic pH) fluorescence ratios from </w:t>
      </w:r>
      <w:proofErr w:type="spellStart"/>
      <w:r w:rsidR="009326CD">
        <w:rPr>
          <w:rFonts w:eastAsia="Calibri"/>
          <w:color w:val="000000" w:themeColor="text1"/>
          <w:kern w:val="24"/>
          <w:lang w:val="en-US"/>
        </w:rPr>
        <w:t>M</w:t>
      </w:r>
      <w:r w:rsidR="006C378C" w:rsidRPr="00405F18">
        <w:rPr>
          <w:rFonts w:eastAsia="Calibri"/>
          <w:color w:val="000000" w:themeColor="text1"/>
          <w:kern w:val="24"/>
          <w:lang w:val="en-US"/>
        </w:rPr>
        <w:t>mPTECs</w:t>
      </w:r>
      <w:proofErr w:type="spellEnd"/>
      <w:r w:rsidR="006C378C" w:rsidRPr="00405F18">
        <w:rPr>
          <w:rFonts w:eastAsia="Calibri"/>
          <w:color w:val="000000" w:themeColor="text1"/>
          <w:kern w:val="24"/>
          <w:lang w:val="en-US"/>
        </w:rPr>
        <w:t xml:space="preserve"> treated </w:t>
      </w:r>
      <w:r w:rsidR="003834B5" w:rsidRPr="00405F18">
        <w:rPr>
          <w:rFonts w:eastAsiaTheme="minorEastAsia"/>
          <w:color w:val="000000" w:themeColor="text1"/>
          <w:kern w:val="24"/>
          <w:lang w:val="en-US"/>
        </w:rPr>
        <w:t>for (</w:t>
      </w:r>
      <w:r w:rsidR="003834B5" w:rsidRPr="00405F18">
        <w:rPr>
          <w:rFonts w:eastAsiaTheme="minorEastAsia"/>
          <w:b/>
          <w:bCs/>
          <w:color w:val="000000" w:themeColor="text1"/>
          <w:kern w:val="24"/>
          <w:lang w:val="en-US"/>
        </w:rPr>
        <w:t>D</w:t>
      </w:r>
      <w:r w:rsidR="003834B5" w:rsidRPr="00405F18">
        <w:rPr>
          <w:rFonts w:eastAsiaTheme="minorEastAsia"/>
          <w:color w:val="000000" w:themeColor="text1"/>
          <w:kern w:val="24"/>
          <w:lang w:val="en-US"/>
        </w:rPr>
        <w:t>)</w:t>
      </w:r>
      <w:r w:rsidR="003834B5" w:rsidRPr="00405F18">
        <w:rPr>
          <w:rFonts w:eastAsiaTheme="minorEastAsia"/>
          <w:b/>
          <w:bCs/>
          <w:color w:val="000000" w:themeColor="text1"/>
          <w:kern w:val="24"/>
          <w:lang w:val="en-US"/>
        </w:rPr>
        <w:t xml:space="preserve"> </w:t>
      </w:r>
      <w:r w:rsidR="003834B5" w:rsidRPr="00405F18">
        <w:rPr>
          <w:rFonts w:eastAsiaTheme="minorEastAsia"/>
          <w:color w:val="000000" w:themeColor="text1"/>
          <w:kern w:val="24"/>
          <w:lang w:val="en-US"/>
        </w:rPr>
        <w:t>6 or (</w:t>
      </w:r>
      <w:r w:rsidR="003834B5" w:rsidRPr="00405F18">
        <w:rPr>
          <w:rFonts w:eastAsiaTheme="minorEastAsia"/>
          <w:b/>
          <w:bCs/>
          <w:color w:val="000000" w:themeColor="text1"/>
          <w:kern w:val="24"/>
          <w:lang w:val="en-US"/>
        </w:rPr>
        <w:t>E</w:t>
      </w:r>
      <w:r w:rsidR="003834B5" w:rsidRPr="00405F18">
        <w:rPr>
          <w:rFonts w:eastAsiaTheme="minorEastAsia"/>
          <w:color w:val="000000" w:themeColor="text1"/>
          <w:kern w:val="24"/>
          <w:lang w:val="en-US"/>
        </w:rPr>
        <w:t>) 2</w:t>
      </w:r>
      <w:r w:rsidR="003834B5" w:rsidRPr="00405F18">
        <w:rPr>
          <w:rFonts w:eastAsia="Calibri"/>
          <w:color w:val="000000" w:themeColor="text1"/>
          <w:kern w:val="24"/>
          <w:lang w:val="en-US"/>
        </w:rPr>
        <w:t xml:space="preserve">4 h with 300 µM PA or 0.4% BSA in the presence of 100 µM A769662 or 2 mM AICAR with or without 2 </w:t>
      </w:r>
      <w:proofErr w:type="spellStart"/>
      <w:r w:rsidR="003834B5" w:rsidRPr="00405F18">
        <w:rPr>
          <w:rFonts w:eastAsia="Calibri"/>
          <w:color w:val="000000" w:themeColor="text1"/>
          <w:kern w:val="24"/>
          <w:lang w:val="en-US"/>
        </w:rPr>
        <w:t>nM</w:t>
      </w:r>
      <w:proofErr w:type="spellEnd"/>
      <w:r w:rsidR="003834B5" w:rsidRPr="00405F18">
        <w:rPr>
          <w:rFonts w:eastAsia="Calibri"/>
          <w:color w:val="000000" w:themeColor="text1"/>
          <w:kern w:val="24"/>
          <w:lang w:val="en-US"/>
        </w:rPr>
        <w:t xml:space="preserve"> bafilomycin A</w:t>
      </w:r>
      <w:r w:rsidR="003834B5" w:rsidRPr="007110A4">
        <w:rPr>
          <w:rFonts w:eastAsia="Calibri"/>
          <w:color w:val="000000" w:themeColor="text1"/>
          <w:kern w:val="24"/>
          <w:vertAlign w:val="subscript"/>
          <w:lang w:val="en-US"/>
        </w:rPr>
        <w:t>1</w:t>
      </w:r>
      <w:r w:rsidR="003834B5" w:rsidRPr="00405F18">
        <w:rPr>
          <w:rFonts w:eastAsia="Calibri"/>
          <w:color w:val="000000" w:themeColor="text1"/>
          <w:kern w:val="24"/>
          <w:lang w:val="en-US"/>
        </w:rPr>
        <w:t xml:space="preserve"> for last 6 h and stained with </w:t>
      </w:r>
      <w:proofErr w:type="spellStart"/>
      <w:r w:rsidR="003834B5" w:rsidRPr="00405F18">
        <w:rPr>
          <w:rFonts w:eastAsia="Calibri"/>
          <w:color w:val="000000" w:themeColor="text1"/>
          <w:kern w:val="24"/>
          <w:lang w:val="en-US"/>
        </w:rPr>
        <w:t>LysoSenso</w:t>
      </w:r>
      <w:r w:rsidR="00226661">
        <w:rPr>
          <w:rFonts w:eastAsia="Calibri"/>
          <w:color w:val="000000" w:themeColor="text1"/>
          <w:kern w:val="24"/>
          <w:lang w:val="en-US"/>
        </w:rPr>
        <w:t>r</w:t>
      </w:r>
      <w:r w:rsidR="00226661" w:rsidRPr="00226661">
        <w:rPr>
          <w:rFonts w:eastAsia="Calibri"/>
          <w:color w:val="000000" w:themeColor="text1"/>
          <w:kern w:val="24"/>
          <w:vertAlign w:val="superscript"/>
          <w:lang w:val="en-US"/>
        </w:rPr>
        <w:t>TM</w:t>
      </w:r>
      <w:proofErr w:type="spellEnd"/>
      <w:r w:rsidR="00226661">
        <w:rPr>
          <w:rFonts w:eastAsia="Calibri"/>
          <w:color w:val="000000" w:themeColor="text1"/>
          <w:kern w:val="24"/>
          <w:lang w:val="en-US"/>
        </w:rPr>
        <w:t xml:space="preserve"> </w:t>
      </w:r>
      <w:r w:rsidR="003834B5" w:rsidRPr="00405F18">
        <w:rPr>
          <w:rFonts w:eastAsia="Calibri"/>
          <w:color w:val="000000" w:themeColor="text1"/>
          <w:kern w:val="24"/>
          <w:lang w:val="en-US"/>
        </w:rPr>
        <w:t xml:space="preserve">Yellow/Blue DND-160. </w:t>
      </w:r>
      <w:r w:rsidR="003834B5" w:rsidRPr="00405F18">
        <w:rPr>
          <w:rFonts w:eastAsiaTheme="minorEastAsia"/>
          <w:color w:val="000000" w:themeColor="text1"/>
          <w:kern w:val="24"/>
          <w:lang w:val="en-US"/>
        </w:rPr>
        <w:t xml:space="preserve">Data are presented as means ± SEM of three independent biological experiments. Statistical analyses were performed by </w:t>
      </w:r>
      <w:r w:rsidR="003834B5" w:rsidRPr="00405F18">
        <w:rPr>
          <w:rFonts w:eastAsia="Calibri"/>
          <w:color w:val="000000" w:themeColor="text1"/>
          <w:kern w:val="24"/>
          <w:lang w:val="en-US"/>
        </w:rPr>
        <w:t>(</w:t>
      </w:r>
      <w:r w:rsidR="003834B5" w:rsidRPr="00405F18">
        <w:rPr>
          <w:rFonts w:eastAsia="Calibri"/>
          <w:b/>
          <w:bCs/>
          <w:color w:val="000000" w:themeColor="text1"/>
          <w:kern w:val="24"/>
          <w:lang w:val="en-US"/>
        </w:rPr>
        <w:t>C</w:t>
      </w:r>
      <w:r w:rsidR="003834B5" w:rsidRPr="00405F18">
        <w:rPr>
          <w:rFonts w:eastAsia="Calibri"/>
          <w:color w:val="000000" w:themeColor="text1"/>
          <w:kern w:val="24"/>
          <w:lang w:val="en-US"/>
        </w:rPr>
        <w:t>) Student’s unpaired t-test</w:t>
      </w:r>
      <w:r w:rsidR="003834B5" w:rsidRPr="00405F18">
        <w:rPr>
          <w:rFonts w:eastAsiaTheme="minorEastAsia"/>
          <w:color w:val="000000" w:themeColor="text1"/>
          <w:kern w:val="24"/>
          <w:lang w:val="en-US"/>
        </w:rPr>
        <w:t xml:space="preserve"> or by (</w:t>
      </w:r>
      <w:r w:rsidR="003834B5" w:rsidRPr="00405F18">
        <w:rPr>
          <w:rFonts w:eastAsiaTheme="minorEastAsia"/>
          <w:b/>
          <w:bCs/>
          <w:color w:val="000000" w:themeColor="text1"/>
          <w:kern w:val="24"/>
          <w:lang w:val="en-US"/>
        </w:rPr>
        <w:t>A</w:t>
      </w:r>
      <w:r w:rsidR="003834B5" w:rsidRPr="00405F18">
        <w:rPr>
          <w:rFonts w:eastAsiaTheme="minorEastAsia"/>
          <w:color w:val="000000" w:themeColor="text1"/>
          <w:kern w:val="24"/>
          <w:lang w:val="en-US"/>
        </w:rPr>
        <w:t xml:space="preserve">, </w:t>
      </w:r>
      <w:r w:rsidR="003834B5" w:rsidRPr="00405F18">
        <w:rPr>
          <w:rFonts w:eastAsiaTheme="minorEastAsia"/>
          <w:b/>
          <w:bCs/>
          <w:color w:val="000000" w:themeColor="text1"/>
          <w:kern w:val="24"/>
          <w:lang w:val="en-US"/>
        </w:rPr>
        <w:t>D</w:t>
      </w:r>
      <w:r w:rsidR="003834B5" w:rsidRPr="00405F18">
        <w:rPr>
          <w:rFonts w:eastAsiaTheme="minorEastAsia"/>
          <w:color w:val="000000" w:themeColor="text1"/>
          <w:kern w:val="24"/>
          <w:lang w:val="en-US"/>
        </w:rPr>
        <w:t xml:space="preserve">, </w:t>
      </w:r>
      <w:r w:rsidR="003834B5" w:rsidRPr="00405F18">
        <w:rPr>
          <w:rFonts w:eastAsiaTheme="minorEastAsia"/>
          <w:b/>
          <w:bCs/>
          <w:color w:val="000000" w:themeColor="text1"/>
          <w:kern w:val="24"/>
          <w:lang w:val="en-US"/>
        </w:rPr>
        <w:t>E</w:t>
      </w:r>
      <w:r w:rsidR="003834B5" w:rsidRPr="00405F18">
        <w:rPr>
          <w:rFonts w:eastAsiaTheme="minorEastAsia"/>
          <w:color w:val="000000" w:themeColor="text1"/>
          <w:kern w:val="24"/>
          <w:lang w:val="en-US"/>
        </w:rPr>
        <w:t>) two-way ANOVA followed by (</w:t>
      </w:r>
      <w:r w:rsidR="003834B5" w:rsidRPr="00405F18">
        <w:rPr>
          <w:rFonts w:eastAsiaTheme="minorEastAsia"/>
          <w:b/>
          <w:bCs/>
          <w:color w:val="000000" w:themeColor="text1"/>
          <w:kern w:val="24"/>
          <w:lang w:val="en-US"/>
        </w:rPr>
        <w:t>A</w:t>
      </w:r>
      <w:r w:rsidR="003834B5" w:rsidRPr="00405F18">
        <w:rPr>
          <w:rFonts w:eastAsiaTheme="minorEastAsia"/>
          <w:color w:val="000000" w:themeColor="text1"/>
          <w:kern w:val="24"/>
          <w:lang w:val="en-US"/>
        </w:rPr>
        <w:t>) Dunnett’s or (</w:t>
      </w:r>
      <w:r w:rsidR="003834B5" w:rsidRPr="00405F18">
        <w:rPr>
          <w:rFonts w:eastAsiaTheme="minorEastAsia"/>
          <w:b/>
          <w:bCs/>
          <w:color w:val="000000" w:themeColor="text1"/>
          <w:kern w:val="24"/>
          <w:lang w:val="en-US"/>
        </w:rPr>
        <w:t>D</w:t>
      </w:r>
      <w:r w:rsidR="003834B5" w:rsidRPr="00405F18">
        <w:rPr>
          <w:rFonts w:eastAsiaTheme="minorEastAsia"/>
          <w:color w:val="000000" w:themeColor="text1"/>
          <w:kern w:val="24"/>
          <w:lang w:val="en-US"/>
        </w:rPr>
        <w:t>,</w:t>
      </w:r>
      <w:r w:rsidR="003834B5" w:rsidRPr="00405F18">
        <w:rPr>
          <w:rFonts w:eastAsiaTheme="minorEastAsia"/>
          <w:b/>
          <w:bCs/>
          <w:color w:val="000000" w:themeColor="text1"/>
          <w:kern w:val="24"/>
          <w:lang w:val="en-US"/>
        </w:rPr>
        <w:t xml:space="preserve"> E</w:t>
      </w:r>
      <w:r w:rsidR="003834B5" w:rsidRPr="00405F18">
        <w:rPr>
          <w:rFonts w:eastAsiaTheme="minorEastAsia"/>
          <w:color w:val="000000" w:themeColor="text1"/>
          <w:kern w:val="24"/>
          <w:lang w:val="en-US"/>
        </w:rPr>
        <w:t>) Tukey’s post-hoc test. *p ≤ 0.05; **p ≤ 0.01; ***p ≤ 0.001; #p ≤ 0.05; ##p ≤ 0.01; ###p ≤ 0.001 between groups.</w:t>
      </w:r>
    </w:p>
    <w:p w14:paraId="048F16B7" w14:textId="77777777" w:rsidR="007A3DB2" w:rsidRDefault="007A3DB2">
      <w:pPr>
        <w:rPr>
          <w:rFonts w:ascii="Times New Roman" w:eastAsiaTheme="minorEastAsia" w:hAnsi="Times New Roman" w:cs="Times New Roman"/>
          <w:color w:val="000000" w:themeColor="text1"/>
          <w:kern w:val="24"/>
          <w:sz w:val="24"/>
          <w:szCs w:val="24"/>
          <w:lang w:val="en-US" w:eastAsia="fr-BE"/>
        </w:rPr>
      </w:pPr>
      <w:r>
        <w:rPr>
          <w:rFonts w:eastAsiaTheme="minorEastAsia"/>
          <w:color w:val="000000" w:themeColor="text1"/>
          <w:kern w:val="24"/>
          <w:lang w:val="en-US"/>
        </w:rPr>
        <w:br w:type="page"/>
      </w:r>
    </w:p>
    <w:p w14:paraId="6EB1F625" w14:textId="0D88021B" w:rsidR="003834B5" w:rsidRPr="00405F18" w:rsidRDefault="007A3DB2" w:rsidP="00270044">
      <w:pPr>
        <w:pStyle w:val="NormalWeb"/>
        <w:spacing w:before="0" w:beforeAutospacing="0" w:after="160" w:afterAutospacing="0" w:line="480" w:lineRule="auto"/>
        <w:jc w:val="both"/>
        <w:rPr>
          <w:rFonts w:eastAsiaTheme="minorEastAsia"/>
          <w:color w:val="000000" w:themeColor="text1"/>
          <w:kern w:val="24"/>
          <w:lang w:val="en-US"/>
        </w:rPr>
      </w:pPr>
      <w:r>
        <w:rPr>
          <w:rFonts w:eastAsiaTheme="minorEastAsia"/>
          <w:noProof/>
          <w:color w:val="000000" w:themeColor="text1"/>
          <w:kern w:val="24"/>
          <w:lang w:val="en-US"/>
        </w:rPr>
        <w:lastRenderedPageBreak/>
        <w:drawing>
          <wp:inline distT="0" distB="0" distL="0" distR="0" wp14:anchorId="35C56B20" wp14:editId="325E2B58">
            <wp:extent cx="5759450" cy="8143875"/>
            <wp:effectExtent l="0" t="0" r="0" b="9525"/>
            <wp:docPr id="2114388412" name="Image 6" descr="Une image contenant texte, diagramme, capture d’écran,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88412" name="Image 6" descr="Une image contenant texte, diagramme, capture d’écran, Plan&#10;&#10;Description générée automatiquemen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14:paraId="00FF4B3A" w14:textId="2019F773" w:rsidR="007A3DB2" w:rsidRDefault="00415965" w:rsidP="00270044">
      <w:pPr>
        <w:pStyle w:val="NormalWeb"/>
        <w:spacing w:before="0" w:beforeAutospacing="0" w:after="160" w:afterAutospacing="0" w:line="480" w:lineRule="auto"/>
        <w:jc w:val="both"/>
        <w:rPr>
          <w:rFonts w:eastAsiaTheme="minorEastAsia"/>
          <w:color w:val="000000" w:themeColor="text1"/>
          <w:kern w:val="24"/>
          <w:lang w:val="en-US"/>
        </w:rPr>
      </w:pPr>
      <w:r w:rsidRPr="00405F18">
        <w:rPr>
          <w:rFonts w:eastAsia="Calibri"/>
          <w:b/>
          <w:bCs/>
          <w:color w:val="000000" w:themeColor="text1"/>
          <w:kern w:val="24"/>
          <w:lang w:val="en-US"/>
        </w:rPr>
        <w:lastRenderedPageBreak/>
        <w:t xml:space="preserve">Figure 7. </w:t>
      </w:r>
      <w:r w:rsidR="006A0431" w:rsidRPr="00405F18">
        <w:rPr>
          <w:rFonts w:eastAsia="Calibri"/>
          <w:color w:val="000000" w:themeColor="text1"/>
          <w:kern w:val="24"/>
          <w:lang w:val="en-US"/>
        </w:rPr>
        <w:t xml:space="preserve">PA alters lysosomal membrane permeability in </w:t>
      </w:r>
      <w:proofErr w:type="spellStart"/>
      <w:r w:rsidR="009326CD">
        <w:rPr>
          <w:rFonts w:eastAsia="Calibri"/>
          <w:color w:val="000000" w:themeColor="text1"/>
          <w:kern w:val="24"/>
          <w:lang w:val="en-US"/>
        </w:rPr>
        <w:t>M</w:t>
      </w:r>
      <w:r w:rsidR="006A0431" w:rsidRPr="00405F18">
        <w:rPr>
          <w:rFonts w:eastAsia="Calibri"/>
          <w:color w:val="000000" w:themeColor="text1"/>
          <w:kern w:val="24"/>
          <w:lang w:val="en-US"/>
        </w:rPr>
        <w:t>mPTECs</w:t>
      </w:r>
      <w:proofErr w:type="spellEnd"/>
      <w:r w:rsidR="006A0431" w:rsidRPr="00405F18">
        <w:rPr>
          <w:rFonts w:eastAsia="Calibri"/>
          <w:color w:val="000000" w:themeColor="text1"/>
          <w:kern w:val="24"/>
          <w:lang w:val="en-US"/>
        </w:rPr>
        <w:t xml:space="preserve"> while pharmacological AMPK activation is protective. (</w:t>
      </w:r>
      <w:r w:rsidR="006A0431" w:rsidRPr="00405F18">
        <w:rPr>
          <w:rFonts w:eastAsia="Calibri"/>
          <w:b/>
          <w:bCs/>
          <w:color w:val="000000" w:themeColor="text1"/>
          <w:kern w:val="24"/>
          <w:lang w:val="en-US"/>
        </w:rPr>
        <w:t>A</w:t>
      </w:r>
      <w:r w:rsidR="006A0431" w:rsidRPr="00405F18">
        <w:rPr>
          <w:rFonts w:eastAsia="Calibri"/>
          <w:color w:val="000000" w:themeColor="text1"/>
          <w:kern w:val="24"/>
          <w:lang w:val="en-US"/>
        </w:rPr>
        <w:t>)</w:t>
      </w:r>
      <w:r w:rsidR="006A0431" w:rsidRPr="00405F18">
        <w:rPr>
          <w:rFonts w:eastAsia="Calibri"/>
          <w:b/>
          <w:bCs/>
          <w:color w:val="000000" w:themeColor="text1"/>
          <w:kern w:val="24"/>
          <w:lang w:val="en-US"/>
        </w:rPr>
        <w:t xml:space="preserve"> </w:t>
      </w:r>
      <w:r w:rsidR="006A0431" w:rsidRPr="00405F18">
        <w:rPr>
          <w:rFonts w:eastAsia="Calibri"/>
          <w:color w:val="000000" w:themeColor="text1"/>
          <w:kern w:val="24"/>
          <w:lang w:val="en-US"/>
        </w:rPr>
        <w:t xml:space="preserve">Representative micrographs of cells treated for 6 or 24 h with 300 µM PA, 0.4% BSA or with 1 mM </w:t>
      </w:r>
      <w:proofErr w:type="spellStart"/>
      <w:r w:rsidR="006A0431" w:rsidRPr="00405F18">
        <w:rPr>
          <w:rFonts w:eastAsiaTheme="minorEastAsia"/>
          <w:color w:val="000000" w:themeColor="text1"/>
          <w:kern w:val="24"/>
          <w:lang w:val="en-US"/>
        </w:rPr>
        <w:t>LLOMe</w:t>
      </w:r>
      <w:proofErr w:type="spellEnd"/>
      <w:r w:rsidR="006A0431" w:rsidRPr="00405F18">
        <w:rPr>
          <w:rFonts w:eastAsiaTheme="minorEastAsia"/>
          <w:color w:val="000000" w:themeColor="text1"/>
          <w:kern w:val="24"/>
          <w:lang w:val="en-US"/>
        </w:rPr>
        <w:t xml:space="preserve"> for 1 h (positive control)</w:t>
      </w:r>
      <w:r w:rsidR="006A0431" w:rsidRPr="00405F18">
        <w:rPr>
          <w:rFonts w:eastAsia="Calibri"/>
          <w:color w:val="000000" w:themeColor="text1"/>
          <w:kern w:val="24"/>
          <w:lang w:val="en-US"/>
        </w:rPr>
        <w:t xml:space="preserve">, fixed and immuno-stained for </w:t>
      </w:r>
      <w:r w:rsidR="00946F1F">
        <w:rPr>
          <w:lang w:val="en-US"/>
        </w:rPr>
        <w:t>LGALS3</w:t>
      </w:r>
      <w:r w:rsidR="006A0431" w:rsidRPr="00405F18">
        <w:rPr>
          <w:rFonts w:eastAsia="Calibri"/>
          <w:color w:val="000000" w:themeColor="text1"/>
          <w:kern w:val="24"/>
          <w:lang w:val="en-US"/>
        </w:rPr>
        <w:t xml:space="preserve"> (red) and LC3 (green). (</w:t>
      </w:r>
      <w:r w:rsidR="006A0431" w:rsidRPr="00405F18">
        <w:rPr>
          <w:rFonts w:eastAsia="Calibri"/>
          <w:b/>
          <w:bCs/>
          <w:color w:val="000000" w:themeColor="text1"/>
          <w:kern w:val="24"/>
          <w:lang w:val="en-US"/>
        </w:rPr>
        <w:t>B</w:t>
      </w:r>
      <w:r w:rsidR="006A0431" w:rsidRPr="00405F18">
        <w:rPr>
          <w:rFonts w:eastAsia="Calibri"/>
          <w:color w:val="000000" w:themeColor="text1"/>
          <w:kern w:val="24"/>
          <w:lang w:val="en-US"/>
        </w:rPr>
        <w:t xml:space="preserve">, </w:t>
      </w:r>
      <w:r w:rsidR="006A0431" w:rsidRPr="00405F18">
        <w:rPr>
          <w:rFonts w:eastAsia="Calibri"/>
          <w:b/>
          <w:bCs/>
          <w:color w:val="000000" w:themeColor="text1"/>
          <w:kern w:val="24"/>
          <w:lang w:val="en-US"/>
        </w:rPr>
        <w:t>C</w:t>
      </w:r>
      <w:r w:rsidR="006A0431" w:rsidRPr="00405F18">
        <w:rPr>
          <w:rFonts w:eastAsia="Calibri"/>
          <w:color w:val="000000" w:themeColor="text1"/>
          <w:kern w:val="24"/>
          <w:lang w:val="en-US"/>
        </w:rPr>
        <w:t>) Quantifications of (</w:t>
      </w:r>
      <w:r w:rsidR="006A0431" w:rsidRPr="00405F18">
        <w:rPr>
          <w:rFonts w:eastAsia="Calibri"/>
          <w:b/>
          <w:bCs/>
          <w:color w:val="000000" w:themeColor="text1"/>
          <w:kern w:val="24"/>
          <w:lang w:val="en-US"/>
        </w:rPr>
        <w:t>B</w:t>
      </w:r>
      <w:r w:rsidR="006A0431" w:rsidRPr="00405F18">
        <w:rPr>
          <w:rFonts w:eastAsia="Calibri"/>
          <w:color w:val="000000" w:themeColor="text1"/>
          <w:kern w:val="24"/>
          <w:lang w:val="en-US"/>
        </w:rPr>
        <w:t xml:space="preserve">) the number of </w:t>
      </w:r>
      <w:r w:rsidR="00946F1F">
        <w:rPr>
          <w:lang w:val="en-US"/>
        </w:rPr>
        <w:t>LGALS3</w:t>
      </w:r>
      <w:r w:rsidR="006A0431" w:rsidRPr="00405F18">
        <w:rPr>
          <w:rFonts w:eastAsia="Calibri"/>
          <w:color w:val="000000" w:themeColor="text1"/>
          <w:kern w:val="24"/>
          <w:lang w:val="en-US"/>
        </w:rPr>
        <w:t xml:space="preserve"> puncta per nucleus and (C) their percentages</w:t>
      </w:r>
      <w:r w:rsidR="006709F8" w:rsidRPr="00405F18">
        <w:rPr>
          <w:rFonts w:eastAsia="Calibri"/>
          <w:color w:val="000000" w:themeColor="text1"/>
          <w:kern w:val="24"/>
          <w:lang w:val="en-US"/>
        </w:rPr>
        <w:t xml:space="preserve"> of colocalization</w:t>
      </w:r>
      <w:r w:rsidR="006A0431" w:rsidRPr="00405F18">
        <w:rPr>
          <w:rFonts w:eastAsia="Calibri"/>
          <w:color w:val="000000" w:themeColor="text1"/>
          <w:kern w:val="24"/>
          <w:lang w:val="en-US"/>
        </w:rPr>
        <w:t xml:space="preserve"> with LC3 on 30 cells per group. (</w:t>
      </w:r>
      <w:r w:rsidR="006A0431" w:rsidRPr="00405F18">
        <w:rPr>
          <w:rFonts w:eastAsia="Calibri"/>
          <w:b/>
          <w:bCs/>
          <w:color w:val="000000" w:themeColor="text1"/>
          <w:kern w:val="24"/>
          <w:lang w:val="en-US"/>
        </w:rPr>
        <w:t>D</w:t>
      </w:r>
      <w:r w:rsidR="006A0431" w:rsidRPr="00405F18">
        <w:rPr>
          <w:rFonts w:eastAsia="Calibri"/>
          <w:color w:val="000000" w:themeColor="text1"/>
          <w:kern w:val="24"/>
          <w:lang w:val="en-US"/>
        </w:rPr>
        <w:t xml:space="preserve">) </w:t>
      </w:r>
      <w:r w:rsidR="00127390" w:rsidRPr="00405F18">
        <w:rPr>
          <w:rFonts w:eastAsia="Calibri"/>
          <w:color w:val="000000" w:themeColor="text1"/>
          <w:kern w:val="24"/>
          <w:lang w:val="en-US"/>
        </w:rPr>
        <w:t>F</w:t>
      </w:r>
      <w:r w:rsidR="006A0431" w:rsidRPr="00405F18">
        <w:rPr>
          <w:rFonts w:eastAsia="Calibri"/>
          <w:color w:val="000000" w:themeColor="text1"/>
          <w:kern w:val="24"/>
          <w:lang w:val="en-US"/>
        </w:rPr>
        <w:t>ree enzymatic activities</w:t>
      </w:r>
      <w:r w:rsidR="00127390" w:rsidRPr="00405F18">
        <w:rPr>
          <w:rFonts w:eastAsia="Calibri"/>
          <w:color w:val="000000" w:themeColor="text1"/>
          <w:kern w:val="24"/>
          <w:lang w:val="en-US"/>
        </w:rPr>
        <w:t xml:space="preserve"> </w:t>
      </w:r>
      <w:r w:rsidR="006A0431" w:rsidRPr="00405F18">
        <w:rPr>
          <w:rFonts w:eastAsia="Calibri"/>
          <w:color w:val="000000" w:themeColor="text1"/>
          <w:kern w:val="24"/>
          <w:lang w:val="en-US"/>
        </w:rPr>
        <w:t xml:space="preserve">of </w:t>
      </w:r>
      <w:r w:rsidR="006B2C44" w:rsidRPr="006B2C44">
        <w:rPr>
          <w:rFonts w:eastAsia="Calibri"/>
          <w:color w:val="000000" w:themeColor="text1"/>
          <w:kern w:val="24"/>
          <w:lang w:val="en-US"/>
        </w:rPr>
        <w:t>CTS</w:t>
      </w:r>
      <w:r w:rsidR="006B2C44">
        <w:rPr>
          <w:rFonts w:eastAsia="Calibri"/>
          <w:color w:val="000000" w:themeColor="text1"/>
          <w:kern w:val="24"/>
          <w:lang w:val="en-US"/>
        </w:rPr>
        <w:t>B</w:t>
      </w:r>
      <w:r w:rsidR="006A0431" w:rsidRPr="006B2C44">
        <w:rPr>
          <w:rFonts w:eastAsia="Calibri"/>
          <w:color w:val="000000" w:themeColor="text1"/>
          <w:kern w:val="24"/>
          <w:lang w:val="en-US"/>
        </w:rPr>
        <w:t xml:space="preserve">, </w:t>
      </w:r>
      <w:r w:rsidR="006B2C44" w:rsidRPr="006B2C44">
        <w:rPr>
          <w:rFonts w:eastAsia="Calibri"/>
          <w:color w:val="000000" w:themeColor="text1"/>
          <w:kern w:val="24"/>
          <w:lang w:val="en-US"/>
        </w:rPr>
        <w:t>GUSB</w:t>
      </w:r>
      <w:r w:rsidR="006A0431" w:rsidRPr="006B2C44">
        <w:rPr>
          <w:rFonts w:eastAsia="Calibri"/>
          <w:color w:val="000000" w:themeColor="text1"/>
          <w:kern w:val="24"/>
          <w:lang w:val="en-US"/>
        </w:rPr>
        <w:t xml:space="preserve"> and </w:t>
      </w:r>
      <w:r w:rsidR="006B2C44" w:rsidRPr="006B2C44">
        <w:rPr>
          <w:rFonts w:eastAsia="Calibri"/>
          <w:color w:val="000000" w:themeColor="text1"/>
          <w:kern w:val="24"/>
          <w:lang w:val="en-US"/>
        </w:rPr>
        <w:t>HEXB</w:t>
      </w:r>
      <w:r w:rsidR="00127390" w:rsidRPr="00405F18">
        <w:rPr>
          <w:rFonts w:eastAsia="Calibri"/>
          <w:color w:val="000000" w:themeColor="text1"/>
          <w:kern w:val="24"/>
          <w:lang w:val="en-US"/>
        </w:rPr>
        <w:t xml:space="preserve"> (expressed as percentages of total </w:t>
      </w:r>
      <w:r w:rsidR="00BF33F4" w:rsidRPr="00405F18">
        <w:rPr>
          <w:rFonts w:eastAsia="Calibri"/>
          <w:color w:val="000000" w:themeColor="text1"/>
          <w:kern w:val="24"/>
          <w:lang w:val="en-US"/>
        </w:rPr>
        <w:t>activities) in</w:t>
      </w:r>
      <w:r w:rsidR="006A0431" w:rsidRPr="00405F18">
        <w:rPr>
          <w:rFonts w:eastAsia="Calibri"/>
          <w:color w:val="000000" w:themeColor="text1"/>
          <w:kern w:val="24"/>
          <w:lang w:val="en-US"/>
        </w:rPr>
        <w:t xml:space="preserve"> </w:t>
      </w:r>
      <w:proofErr w:type="spellStart"/>
      <w:r w:rsidR="009326CD">
        <w:rPr>
          <w:rFonts w:eastAsia="Calibri"/>
          <w:color w:val="000000" w:themeColor="text1"/>
          <w:kern w:val="24"/>
          <w:lang w:val="en-US"/>
        </w:rPr>
        <w:t>M</w:t>
      </w:r>
      <w:r w:rsidR="006A0431" w:rsidRPr="00405F18">
        <w:rPr>
          <w:rFonts w:eastAsia="Calibri"/>
          <w:color w:val="000000" w:themeColor="text1"/>
          <w:kern w:val="24"/>
          <w:lang w:val="en-US"/>
        </w:rPr>
        <w:t>mPTECs</w:t>
      </w:r>
      <w:proofErr w:type="spellEnd"/>
      <w:r w:rsidR="006A0431" w:rsidRPr="00405F18">
        <w:rPr>
          <w:rFonts w:eastAsia="Calibri"/>
          <w:color w:val="000000" w:themeColor="text1"/>
          <w:kern w:val="24"/>
          <w:lang w:val="en-US"/>
        </w:rPr>
        <w:t xml:space="preserve"> treated for 24 h with 300 µM PA, 0.4% BSA or with 1 mM </w:t>
      </w:r>
      <w:proofErr w:type="spellStart"/>
      <w:r w:rsidR="006A0431" w:rsidRPr="00405F18">
        <w:rPr>
          <w:rFonts w:eastAsiaTheme="minorEastAsia"/>
          <w:color w:val="000000" w:themeColor="text1"/>
          <w:kern w:val="24"/>
          <w:lang w:val="en-US"/>
        </w:rPr>
        <w:t>LLOMe</w:t>
      </w:r>
      <w:proofErr w:type="spellEnd"/>
      <w:r w:rsidR="006A0431" w:rsidRPr="00405F18">
        <w:rPr>
          <w:rFonts w:eastAsiaTheme="minorEastAsia"/>
          <w:color w:val="000000" w:themeColor="text1"/>
          <w:kern w:val="24"/>
          <w:lang w:val="en-US"/>
        </w:rPr>
        <w:t xml:space="preserve"> for 1 h (positive control). (</w:t>
      </w:r>
      <w:r w:rsidR="006A0431" w:rsidRPr="00405F18">
        <w:rPr>
          <w:rFonts w:eastAsiaTheme="minorEastAsia"/>
          <w:b/>
          <w:bCs/>
          <w:color w:val="000000" w:themeColor="text1"/>
          <w:kern w:val="24"/>
          <w:lang w:val="en-US"/>
        </w:rPr>
        <w:t>E</w:t>
      </w:r>
      <w:r w:rsidR="006A0431" w:rsidRPr="00405F18">
        <w:rPr>
          <w:rFonts w:eastAsiaTheme="minorEastAsia"/>
          <w:color w:val="000000" w:themeColor="text1"/>
          <w:kern w:val="24"/>
          <w:lang w:val="en-US"/>
        </w:rPr>
        <w:t>)</w:t>
      </w:r>
      <w:r w:rsidR="006A0431" w:rsidRPr="00405F18">
        <w:rPr>
          <w:rFonts w:eastAsia="Calibri"/>
          <w:color w:val="000000" w:themeColor="text1"/>
          <w:kern w:val="24"/>
          <w:lang w:val="en-US"/>
        </w:rPr>
        <w:t xml:space="preserve"> Representative micrographs of cells treated for 24 h with 300 µM PA in the presence of 100 µM A769662 or 2 mM AICAR, fixed and immuno-stained for </w:t>
      </w:r>
      <w:r w:rsidR="00946F1F">
        <w:rPr>
          <w:lang w:val="en-US"/>
        </w:rPr>
        <w:t>LGALS3</w:t>
      </w:r>
      <w:r w:rsidR="006A0431" w:rsidRPr="00405F18">
        <w:rPr>
          <w:rFonts w:eastAsia="Calibri"/>
          <w:color w:val="000000" w:themeColor="text1"/>
          <w:kern w:val="24"/>
          <w:lang w:val="en-US"/>
        </w:rPr>
        <w:t xml:space="preserve"> (red). (</w:t>
      </w:r>
      <w:r w:rsidR="006A0431" w:rsidRPr="00405F18">
        <w:rPr>
          <w:rFonts w:eastAsia="Calibri"/>
          <w:b/>
          <w:bCs/>
          <w:color w:val="000000" w:themeColor="text1"/>
          <w:kern w:val="24"/>
          <w:lang w:val="en-US"/>
        </w:rPr>
        <w:t>F</w:t>
      </w:r>
      <w:r w:rsidR="006A0431" w:rsidRPr="00405F18">
        <w:rPr>
          <w:rFonts w:eastAsia="Calibri"/>
          <w:color w:val="000000" w:themeColor="text1"/>
          <w:kern w:val="24"/>
          <w:lang w:val="en-US"/>
        </w:rPr>
        <w:t xml:space="preserve">) Quantifications of the number of </w:t>
      </w:r>
      <w:r w:rsidR="00946F1F">
        <w:rPr>
          <w:lang w:val="en-US"/>
        </w:rPr>
        <w:t>LGALS3</w:t>
      </w:r>
      <w:r w:rsidR="006A0431" w:rsidRPr="00405F18">
        <w:rPr>
          <w:rFonts w:eastAsia="Calibri"/>
          <w:color w:val="000000" w:themeColor="text1"/>
          <w:kern w:val="24"/>
          <w:lang w:val="en-US"/>
        </w:rPr>
        <w:t xml:space="preserve"> puncta per nucleus on 30 cells per group. Data are presented as (</w:t>
      </w:r>
      <w:r w:rsidR="006A0431" w:rsidRPr="00405F18">
        <w:rPr>
          <w:rFonts w:eastAsia="Calibri"/>
          <w:b/>
          <w:bCs/>
          <w:color w:val="000000" w:themeColor="text1"/>
          <w:kern w:val="24"/>
          <w:lang w:val="en-US"/>
        </w:rPr>
        <w:t>B</w:t>
      </w:r>
      <w:r w:rsidR="006A0431" w:rsidRPr="00405F18">
        <w:rPr>
          <w:rFonts w:eastAsia="Calibri"/>
          <w:color w:val="000000" w:themeColor="text1"/>
          <w:kern w:val="24"/>
          <w:lang w:val="en-US"/>
        </w:rPr>
        <w:t xml:space="preserve">, </w:t>
      </w:r>
      <w:r w:rsidR="006A0431" w:rsidRPr="00405F18">
        <w:rPr>
          <w:rFonts w:eastAsia="Calibri"/>
          <w:b/>
          <w:bCs/>
          <w:color w:val="000000" w:themeColor="text1"/>
          <w:kern w:val="24"/>
          <w:lang w:val="en-US"/>
        </w:rPr>
        <w:t>D</w:t>
      </w:r>
      <w:r w:rsidR="006A0431" w:rsidRPr="00405F18">
        <w:rPr>
          <w:rFonts w:eastAsia="Calibri"/>
          <w:color w:val="000000" w:themeColor="text1"/>
          <w:kern w:val="24"/>
          <w:lang w:val="en-US"/>
        </w:rPr>
        <w:t xml:space="preserve">, </w:t>
      </w:r>
      <w:r w:rsidR="006A0431" w:rsidRPr="00405F18">
        <w:rPr>
          <w:rFonts w:eastAsia="Calibri"/>
          <w:b/>
          <w:bCs/>
          <w:color w:val="000000" w:themeColor="text1"/>
          <w:kern w:val="24"/>
          <w:lang w:val="en-US"/>
        </w:rPr>
        <w:t>F</w:t>
      </w:r>
      <w:r w:rsidR="006A0431" w:rsidRPr="00405F18">
        <w:rPr>
          <w:rFonts w:eastAsia="Calibri"/>
          <w:color w:val="000000" w:themeColor="text1"/>
          <w:kern w:val="24"/>
          <w:lang w:val="en-US"/>
        </w:rPr>
        <w:t xml:space="preserve">) means </w:t>
      </w:r>
      <w:r w:rsidR="006A0431" w:rsidRPr="00405F18">
        <w:rPr>
          <w:rFonts w:eastAsiaTheme="minorEastAsia" w:hAnsi="+mn-ea"/>
          <w:color w:val="000000" w:themeColor="text1"/>
          <w:kern w:val="24"/>
          <w:lang w:val="en-US"/>
        </w:rPr>
        <w:t>±</w:t>
      </w:r>
      <w:r w:rsidR="006A0431" w:rsidRPr="00405F18">
        <w:rPr>
          <w:rFonts w:eastAsiaTheme="minorEastAsia" w:hAnsi="+mn-ea"/>
          <w:color w:val="000000" w:themeColor="text1"/>
          <w:kern w:val="24"/>
          <w:lang w:val="en-US"/>
        </w:rPr>
        <w:t xml:space="preserve"> SEM or as (</w:t>
      </w:r>
      <w:r w:rsidR="006A0431" w:rsidRPr="00405F18">
        <w:rPr>
          <w:rFonts w:eastAsiaTheme="minorEastAsia"/>
          <w:b/>
          <w:bCs/>
          <w:color w:val="000000" w:themeColor="text1"/>
          <w:kern w:val="24"/>
          <w:lang w:val="en-US"/>
        </w:rPr>
        <w:t>C</w:t>
      </w:r>
      <w:r w:rsidR="006A0431" w:rsidRPr="00405F18">
        <w:rPr>
          <w:rFonts w:eastAsiaTheme="minorEastAsia"/>
          <w:color w:val="000000" w:themeColor="text1"/>
          <w:kern w:val="24"/>
          <w:lang w:val="en-US"/>
        </w:rPr>
        <w:t xml:space="preserve">) </w:t>
      </w:r>
      <w:r w:rsidR="006A0431" w:rsidRPr="00405F18">
        <w:rPr>
          <w:rFonts w:eastAsia="Calibri"/>
          <w:color w:val="000000" w:themeColor="text1"/>
          <w:kern w:val="24"/>
          <w:lang w:val="en-US"/>
        </w:rPr>
        <w:t>means and quarters of three independent biological experiments. Statistical analyses were performed by (</w:t>
      </w:r>
      <w:r w:rsidR="006A0431" w:rsidRPr="00405F18">
        <w:rPr>
          <w:rFonts w:eastAsia="Calibri"/>
          <w:b/>
          <w:bCs/>
          <w:color w:val="000000" w:themeColor="text1"/>
          <w:kern w:val="24"/>
          <w:lang w:val="en-US"/>
        </w:rPr>
        <w:t>B, D</w:t>
      </w:r>
      <w:r w:rsidR="006A0431" w:rsidRPr="00405F18">
        <w:rPr>
          <w:rFonts w:eastAsia="Calibri"/>
          <w:color w:val="000000" w:themeColor="text1"/>
          <w:kern w:val="24"/>
          <w:lang w:val="en-US"/>
        </w:rPr>
        <w:t>) Student’s unpaired t-test (comparison between BSA and PA</w:t>
      </w:r>
      <w:r w:rsidR="00060FC4" w:rsidRPr="00405F18">
        <w:rPr>
          <w:rFonts w:eastAsia="Calibri"/>
          <w:color w:val="000000" w:themeColor="text1"/>
          <w:kern w:val="24"/>
          <w:lang w:val="en-US"/>
        </w:rPr>
        <w:t xml:space="preserve"> only</w:t>
      </w:r>
      <w:r w:rsidR="006A0431" w:rsidRPr="00405F18">
        <w:rPr>
          <w:rFonts w:eastAsia="Calibri"/>
          <w:color w:val="000000" w:themeColor="text1"/>
          <w:kern w:val="24"/>
          <w:lang w:val="en-US"/>
        </w:rPr>
        <w:t>) or by (</w:t>
      </w:r>
      <w:r w:rsidR="006A0431" w:rsidRPr="00405F18">
        <w:rPr>
          <w:rFonts w:eastAsia="Calibri"/>
          <w:b/>
          <w:bCs/>
          <w:color w:val="000000" w:themeColor="text1"/>
          <w:kern w:val="24"/>
          <w:lang w:val="en-US"/>
        </w:rPr>
        <w:t>C, F</w:t>
      </w:r>
      <w:r w:rsidR="006A0431" w:rsidRPr="00405F18">
        <w:rPr>
          <w:rFonts w:eastAsia="Calibri"/>
          <w:color w:val="000000" w:themeColor="text1"/>
          <w:kern w:val="24"/>
          <w:lang w:val="en-US"/>
        </w:rPr>
        <w:t xml:space="preserve">) one-way ANOVA followed by Dunnett’s post-hoc test. </w:t>
      </w:r>
      <w:r w:rsidR="006A0431" w:rsidRPr="00405F18">
        <w:rPr>
          <w:rFonts w:eastAsiaTheme="minorEastAsia"/>
          <w:color w:val="000000" w:themeColor="text1"/>
          <w:kern w:val="24"/>
          <w:lang w:val="en-US"/>
        </w:rPr>
        <w:t>*p ≤ 0.05; **p ≤ 0.01; ***p ≤ 0.001 between groups.</w:t>
      </w:r>
    </w:p>
    <w:p w14:paraId="1F36AFCD" w14:textId="77777777" w:rsidR="007A3DB2" w:rsidRDefault="007A3DB2">
      <w:pPr>
        <w:rPr>
          <w:rFonts w:ascii="Times New Roman" w:eastAsiaTheme="minorEastAsia" w:hAnsi="Times New Roman" w:cs="Times New Roman"/>
          <w:color w:val="000000" w:themeColor="text1"/>
          <w:kern w:val="24"/>
          <w:sz w:val="24"/>
          <w:szCs w:val="24"/>
          <w:lang w:val="en-US" w:eastAsia="fr-BE"/>
        </w:rPr>
      </w:pPr>
      <w:r>
        <w:rPr>
          <w:rFonts w:eastAsiaTheme="minorEastAsia"/>
          <w:color w:val="000000" w:themeColor="text1"/>
          <w:kern w:val="24"/>
          <w:lang w:val="en-US"/>
        </w:rPr>
        <w:br w:type="page"/>
      </w:r>
    </w:p>
    <w:p w14:paraId="6E286E3C" w14:textId="5F4BD2D1" w:rsidR="009421A1" w:rsidRPr="00946F1F" w:rsidRDefault="007A3DB2" w:rsidP="00270044">
      <w:pPr>
        <w:pStyle w:val="NormalWeb"/>
        <w:spacing w:before="0" w:beforeAutospacing="0" w:after="160" w:afterAutospacing="0" w:line="480" w:lineRule="auto"/>
        <w:jc w:val="both"/>
        <w:rPr>
          <w:lang w:val="en-US"/>
        </w:rPr>
      </w:pPr>
      <w:r>
        <w:rPr>
          <w:noProof/>
          <w:lang w:val="en-US"/>
        </w:rPr>
        <w:lastRenderedPageBreak/>
        <w:drawing>
          <wp:inline distT="0" distB="0" distL="0" distR="0" wp14:anchorId="7AE385DF" wp14:editId="77091456">
            <wp:extent cx="5759450" cy="8143875"/>
            <wp:effectExtent l="0" t="0" r="0" b="9525"/>
            <wp:docPr id="2056279742" name="Image 7"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279742" name="Image 7" descr="Une image contenant texte, capture d’écran, diagramme&#10;&#10;Description générée automatiquemen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14:paraId="67A5394E" w14:textId="089B64A0" w:rsidR="007A3DB2" w:rsidRDefault="009421A1" w:rsidP="00270044">
      <w:pPr>
        <w:pStyle w:val="NormalWeb"/>
        <w:spacing w:before="0" w:beforeAutospacing="0" w:after="160" w:afterAutospacing="0" w:line="480" w:lineRule="auto"/>
        <w:jc w:val="both"/>
        <w:rPr>
          <w:rFonts w:eastAsiaTheme="minorEastAsia"/>
          <w:color w:val="000000" w:themeColor="text1"/>
          <w:kern w:val="24"/>
          <w:lang w:val="en-US"/>
        </w:rPr>
      </w:pPr>
      <w:r w:rsidRPr="00405F18">
        <w:rPr>
          <w:rFonts w:eastAsia="Calibri"/>
          <w:b/>
          <w:bCs/>
          <w:color w:val="000000" w:themeColor="text1"/>
          <w:kern w:val="24"/>
          <w:lang w:val="en-US"/>
        </w:rPr>
        <w:lastRenderedPageBreak/>
        <w:t xml:space="preserve">Figure 8. </w:t>
      </w:r>
      <w:r w:rsidR="00FF4743" w:rsidRPr="00405F18">
        <w:rPr>
          <w:rFonts w:eastAsia="Calibri"/>
          <w:color w:val="000000" w:themeColor="text1"/>
          <w:kern w:val="24"/>
          <w:lang w:val="en-US"/>
        </w:rPr>
        <w:t xml:space="preserve">Lysosomal biogenesis is activated in response to PA-induced lysosomal stress in </w:t>
      </w:r>
      <w:proofErr w:type="spellStart"/>
      <w:r w:rsidR="009326CD">
        <w:rPr>
          <w:rFonts w:eastAsia="Calibri"/>
          <w:color w:val="000000" w:themeColor="text1"/>
          <w:kern w:val="24"/>
          <w:lang w:val="en-US"/>
        </w:rPr>
        <w:t>M</w:t>
      </w:r>
      <w:r w:rsidR="00FF4743" w:rsidRPr="00405F18">
        <w:rPr>
          <w:rFonts w:eastAsia="Calibri"/>
          <w:color w:val="000000" w:themeColor="text1"/>
          <w:kern w:val="24"/>
          <w:lang w:val="en-US"/>
        </w:rPr>
        <w:t>mPTECs</w:t>
      </w:r>
      <w:proofErr w:type="spellEnd"/>
      <w:r w:rsidR="00FF4743" w:rsidRPr="00405F18">
        <w:rPr>
          <w:rFonts w:eastAsia="Calibri"/>
          <w:color w:val="000000" w:themeColor="text1"/>
          <w:kern w:val="24"/>
          <w:lang w:val="en-US"/>
        </w:rPr>
        <w:t>. (</w:t>
      </w:r>
      <w:r w:rsidR="00FF4743" w:rsidRPr="00405F18">
        <w:rPr>
          <w:rFonts w:eastAsia="Calibri"/>
          <w:b/>
          <w:bCs/>
          <w:color w:val="000000" w:themeColor="text1"/>
          <w:kern w:val="24"/>
          <w:lang w:val="en-US"/>
        </w:rPr>
        <w:t>A</w:t>
      </w:r>
      <w:r w:rsidR="00FF4743" w:rsidRPr="00405F18">
        <w:rPr>
          <w:rFonts w:eastAsia="Calibri"/>
          <w:color w:val="000000" w:themeColor="text1"/>
          <w:kern w:val="24"/>
          <w:lang w:val="en-US"/>
        </w:rPr>
        <w:t>)</w:t>
      </w:r>
      <w:r w:rsidR="00FF4743" w:rsidRPr="00405F18">
        <w:rPr>
          <w:rFonts w:eastAsia="Calibri"/>
          <w:b/>
          <w:bCs/>
          <w:color w:val="000000" w:themeColor="text1"/>
          <w:kern w:val="24"/>
          <w:lang w:val="en-US"/>
        </w:rPr>
        <w:t xml:space="preserve"> </w:t>
      </w:r>
      <w:r w:rsidR="00FF4743" w:rsidRPr="00405F18">
        <w:rPr>
          <w:rFonts w:eastAsia="Calibri"/>
          <w:color w:val="000000" w:themeColor="text1"/>
          <w:kern w:val="24"/>
          <w:lang w:val="en-US"/>
        </w:rPr>
        <w:t>Representative micrographs of cells treated with 300 µM PA or 0.4% BSA for 6 or 24 h, fixed and immuno-stained for TFEB (green). (</w:t>
      </w:r>
      <w:r w:rsidR="00FF4743" w:rsidRPr="00405F18">
        <w:rPr>
          <w:rFonts w:eastAsia="Calibri"/>
          <w:b/>
          <w:bCs/>
          <w:color w:val="000000" w:themeColor="text1"/>
          <w:kern w:val="24"/>
          <w:lang w:val="en-US"/>
        </w:rPr>
        <w:t>B</w:t>
      </w:r>
      <w:r w:rsidR="00FF4743" w:rsidRPr="00405F18">
        <w:rPr>
          <w:rFonts w:eastAsia="Calibri"/>
          <w:color w:val="000000" w:themeColor="text1"/>
          <w:kern w:val="24"/>
          <w:lang w:val="en-US"/>
        </w:rPr>
        <w:t>) Quantification of the percentages of cells showing nuclear TFEB staining on more than 100 cells per group. (</w:t>
      </w:r>
      <w:r w:rsidR="00FF4743" w:rsidRPr="00405F18">
        <w:rPr>
          <w:rFonts w:eastAsia="Calibri"/>
          <w:b/>
          <w:bCs/>
          <w:color w:val="000000" w:themeColor="text1"/>
          <w:kern w:val="24"/>
          <w:lang w:val="en-US"/>
        </w:rPr>
        <w:t>C</w:t>
      </w:r>
      <w:r w:rsidR="00FF4743" w:rsidRPr="00405F18">
        <w:rPr>
          <w:rFonts w:eastAsia="Calibri"/>
          <w:color w:val="000000" w:themeColor="text1"/>
          <w:kern w:val="24"/>
          <w:lang w:val="en-US"/>
        </w:rPr>
        <w:t xml:space="preserve">) Relative mRNA expression of TFEB-targeted genes on </w:t>
      </w:r>
      <w:proofErr w:type="spellStart"/>
      <w:r w:rsidR="009326CD">
        <w:rPr>
          <w:rFonts w:eastAsia="Calibri"/>
          <w:color w:val="000000" w:themeColor="text1"/>
          <w:kern w:val="24"/>
          <w:lang w:val="en-US"/>
        </w:rPr>
        <w:t>M</w:t>
      </w:r>
      <w:r w:rsidR="00FF4743" w:rsidRPr="00405F18">
        <w:rPr>
          <w:rFonts w:eastAsia="Calibri"/>
          <w:color w:val="000000" w:themeColor="text1"/>
          <w:kern w:val="24"/>
          <w:lang w:val="en-US"/>
        </w:rPr>
        <w:t>mPTECs</w:t>
      </w:r>
      <w:proofErr w:type="spellEnd"/>
      <w:r w:rsidR="00FF4743" w:rsidRPr="00405F18">
        <w:rPr>
          <w:rFonts w:eastAsia="Calibri"/>
          <w:color w:val="000000" w:themeColor="text1"/>
          <w:kern w:val="24"/>
          <w:lang w:val="en-US"/>
        </w:rPr>
        <w:t xml:space="preserve"> treated for 24 h with 300 µM PA or 0.4% BSA. (</w:t>
      </w:r>
      <w:r w:rsidR="00FF4743" w:rsidRPr="00405F18">
        <w:rPr>
          <w:rFonts w:eastAsia="Calibri"/>
          <w:b/>
          <w:bCs/>
          <w:color w:val="000000" w:themeColor="text1"/>
          <w:kern w:val="24"/>
          <w:lang w:val="en-US"/>
        </w:rPr>
        <w:t>D</w:t>
      </w:r>
      <w:r w:rsidR="00FF4743" w:rsidRPr="00405F18">
        <w:rPr>
          <w:rFonts w:eastAsia="Calibri"/>
          <w:color w:val="000000" w:themeColor="text1"/>
          <w:kern w:val="24"/>
          <w:lang w:val="en-US"/>
        </w:rPr>
        <w:t>) Quantification of LAMP1-fluorescence intensities per nucleus by the Integrated Density tool on 30 cells per group (micrographs in Figure 5</w:t>
      </w:r>
      <w:r w:rsidR="00C9718B" w:rsidRPr="00405F18">
        <w:rPr>
          <w:rFonts w:eastAsia="Calibri"/>
          <w:color w:val="000000" w:themeColor="text1"/>
          <w:kern w:val="24"/>
          <w:lang w:val="en-US"/>
        </w:rPr>
        <w:t>C</w:t>
      </w:r>
      <w:r w:rsidR="00FF4743" w:rsidRPr="00405F18">
        <w:rPr>
          <w:rFonts w:eastAsia="Calibri"/>
          <w:color w:val="000000" w:themeColor="text1"/>
          <w:kern w:val="24"/>
          <w:lang w:val="en-US"/>
        </w:rPr>
        <w:t>)</w:t>
      </w:r>
      <w:r w:rsidR="00FF4743" w:rsidRPr="00405F18">
        <w:rPr>
          <w:rFonts w:eastAsia="Calibri"/>
          <w:color w:val="000000"/>
          <w:kern w:val="24"/>
          <w:lang w:val="en-US"/>
        </w:rPr>
        <w:t xml:space="preserve">. </w:t>
      </w:r>
      <w:r w:rsidR="00FF4743" w:rsidRPr="00405F18">
        <w:rPr>
          <w:rFonts w:eastAsia="Calibri"/>
          <w:color w:val="000000" w:themeColor="text1"/>
          <w:kern w:val="24"/>
          <w:lang w:val="en-US"/>
        </w:rPr>
        <w:t xml:space="preserve">Data are presented as means </w:t>
      </w:r>
      <w:r w:rsidR="00FF4743" w:rsidRPr="00405F18">
        <w:rPr>
          <w:rFonts w:eastAsiaTheme="minorEastAsia" w:hAnsi="+mn-ea"/>
          <w:color w:val="000000" w:themeColor="text1"/>
          <w:kern w:val="24"/>
          <w:lang w:val="en-US"/>
        </w:rPr>
        <w:t>±</w:t>
      </w:r>
      <w:r w:rsidR="00FF4743" w:rsidRPr="00405F18">
        <w:rPr>
          <w:rFonts w:eastAsiaTheme="minorEastAsia" w:hAnsi="+mn-ea"/>
          <w:color w:val="000000" w:themeColor="text1"/>
          <w:kern w:val="24"/>
          <w:lang w:val="en-US"/>
        </w:rPr>
        <w:t xml:space="preserve"> SEM </w:t>
      </w:r>
      <w:r w:rsidR="00FF4743" w:rsidRPr="00405F18">
        <w:rPr>
          <w:rFonts w:eastAsia="Calibri"/>
          <w:color w:val="000000" w:themeColor="text1"/>
          <w:kern w:val="24"/>
          <w:lang w:val="en-US"/>
        </w:rPr>
        <w:t>of three independent biological experiments. Statistical analyses were performed by (</w:t>
      </w:r>
      <w:r w:rsidR="00FF4743" w:rsidRPr="00405F18">
        <w:rPr>
          <w:rFonts w:eastAsia="Calibri"/>
          <w:b/>
          <w:bCs/>
          <w:color w:val="000000" w:themeColor="text1"/>
          <w:kern w:val="24"/>
          <w:lang w:val="en-US"/>
        </w:rPr>
        <w:t>C</w:t>
      </w:r>
      <w:r w:rsidR="00FF4743" w:rsidRPr="00405F18">
        <w:rPr>
          <w:rFonts w:eastAsia="Calibri"/>
          <w:color w:val="000000" w:themeColor="text1"/>
          <w:kern w:val="24"/>
          <w:lang w:val="en-US"/>
        </w:rPr>
        <w:t>) Student’s unpaired t-test, or two-way ANOVA followed by (</w:t>
      </w:r>
      <w:r w:rsidR="00FF4743" w:rsidRPr="00405F18">
        <w:rPr>
          <w:rFonts w:eastAsia="Calibri"/>
          <w:b/>
          <w:bCs/>
          <w:color w:val="000000" w:themeColor="text1"/>
          <w:kern w:val="24"/>
          <w:lang w:val="en-US"/>
        </w:rPr>
        <w:t>B</w:t>
      </w:r>
      <w:r w:rsidR="00FF4743" w:rsidRPr="00405F18">
        <w:rPr>
          <w:rFonts w:eastAsia="Calibri"/>
          <w:color w:val="000000" w:themeColor="text1"/>
          <w:kern w:val="24"/>
          <w:lang w:val="en-US"/>
        </w:rPr>
        <w:t>) Sidak’s or (</w:t>
      </w:r>
      <w:r w:rsidR="00FF4743" w:rsidRPr="00405F18">
        <w:rPr>
          <w:rFonts w:eastAsia="Calibri"/>
          <w:b/>
          <w:bCs/>
          <w:color w:val="000000" w:themeColor="text1"/>
          <w:kern w:val="24"/>
          <w:lang w:val="en-US"/>
        </w:rPr>
        <w:t>D</w:t>
      </w:r>
      <w:r w:rsidR="00FF4743" w:rsidRPr="00405F18">
        <w:rPr>
          <w:rFonts w:eastAsia="Calibri"/>
          <w:color w:val="000000" w:themeColor="text1"/>
          <w:kern w:val="24"/>
          <w:lang w:val="en-US"/>
        </w:rPr>
        <w:t xml:space="preserve">) Tukey’s post-hoc test. </w:t>
      </w:r>
      <w:r w:rsidR="00FF4743" w:rsidRPr="00405F18">
        <w:rPr>
          <w:rFonts w:eastAsiaTheme="minorEastAsia"/>
          <w:color w:val="000000" w:themeColor="text1"/>
          <w:kern w:val="24"/>
          <w:lang w:val="en-US"/>
        </w:rPr>
        <w:t xml:space="preserve">*p ≤ 0.05; **p ≤ 0.01; ***p ≤ 0.001 </w:t>
      </w:r>
      <w:r w:rsidR="00FF4743" w:rsidRPr="00405F18">
        <w:rPr>
          <w:rFonts w:eastAsiaTheme="minorEastAsia"/>
          <w:i/>
          <w:iCs/>
          <w:color w:val="000000" w:themeColor="text1"/>
          <w:kern w:val="24"/>
          <w:lang w:val="en-US"/>
        </w:rPr>
        <w:t xml:space="preserve">versus </w:t>
      </w:r>
      <w:r w:rsidR="00FF4743" w:rsidRPr="00405F18">
        <w:rPr>
          <w:rFonts w:eastAsiaTheme="minorEastAsia"/>
          <w:color w:val="000000" w:themeColor="text1"/>
          <w:kern w:val="24"/>
          <w:lang w:val="en-US"/>
        </w:rPr>
        <w:t xml:space="preserve">corresponding BSA </w:t>
      </w:r>
      <w:proofErr w:type="gramStart"/>
      <w:r w:rsidR="00FF4743" w:rsidRPr="00405F18">
        <w:rPr>
          <w:rFonts w:eastAsiaTheme="minorEastAsia"/>
          <w:color w:val="000000" w:themeColor="text1"/>
          <w:kern w:val="24"/>
          <w:lang w:val="en-US"/>
        </w:rPr>
        <w:t>group; ##</w:t>
      </w:r>
      <w:proofErr w:type="gramEnd"/>
      <w:r w:rsidR="00FF4743" w:rsidRPr="00405F18">
        <w:rPr>
          <w:rFonts w:eastAsiaTheme="minorEastAsia"/>
          <w:color w:val="000000" w:themeColor="text1"/>
          <w:kern w:val="24"/>
          <w:lang w:val="en-US"/>
        </w:rPr>
        <w:t>p ≤ 0.01 between PA groups</w:t>
      </w:r>
      <w:r w:rsidR="00390B05">
        <w:rPr>
          <w:rFonts w:eastAsiaTheme="minorEastAsia"/>
          <w:color w:val="000000" w:themeColor="text1"/>
          <w:kern w:val="24"/>
          <w:lang w:val="en-US"/>
        </w:rPr>
        <w:t>.</w:t>
      </w:r>
    </w:p>
    <w:p w14:paraId="4C6FFF6D" w14:textId="77777777" w:rsidR="007A3DB2" w:rsidRDefault="007A3DB2">
      <w:pPr>
        <w:rPr>
          <w:rFonts w:ascii="Times New Roman" w:eastAsiaTheme="minorEastAsia" w:hAnsi="Times New Roman" w:cs="Times New Roman"/>
          <w:color w:val="000000" w:themeColor="text1"/>
          <w:kern w:val="24"/>
          <w:sz w:val="24"/>
          <w:szCs w:val="24"/>
          <w:lang w:val="en-US" w:eastAsia="fr-BE"/>
        </w:rPr>
      </w:pPr>
      <w:r>
        <w:rPr>
          <w:rFonts w:eastAsiaTheme="minorEastAsia"/>
          <w:color w:val="000000" w:themeColor="text1"/>
          <w:kern w:val="24"/>
          <w:lang w:val="en-US"/>
        </w:rPr>
        <w:br w:type="page"/>
      </w:r>
    </w:p>
    <w:p w14:paraId="361CC417" w14:textId="40E081F5" w:rsidR="00FD4CB2" w:rsidRPr="00405F18" w:rsidRDefault="007A3DB2" w:rsidP="00270044">
      <w:pPr>
        <w:pStyle w:val="NormalWeb"/>
        <w:spacing w:before="0" w:beforeAutospacing="0" w:after="160" w:afterAutospacing="0" w:line="480" w:lineRule="auto"/>
        <w:jc w:val="both"/>
        <w:rPr>
          <w:rFonts w:eastAsiaTheme="minorEastAsia"/>
          <w:color w:val="000000" w:themeColor="text1"/>
          <w:kern w:val="24"/>
          <w:lang w:val="en-US"/>
        </w:rPr>
      </w:pPr>
      <w:r>
        <w:rPr>
          <w:rFonts w:eastAsiaTheme="minorEastAsia"/>
          <w:noProof/>
          <w:color w:val="000000" w:themeColor="text1"/>
          <w:kern w:val="24"/>
          <w:lang w:val="en-US"/>
        </w:rPr>
        <w:lastRenderedPageBreak/>
        <w:drawing>
          <wp:inline distT="0" distB="0" distL="0" distR="0" wp14:anchorId="7FE67DB9" wp14:editId="4EC502CB">
            <wp:extent cx="5759450" cy="8143875"/>
            <wp:effectExtent l="0" t="0" r="0" b="9525"/>
            <wp:docPr id="1095636973" name="Image 8"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636973" name="Image 8" descr="Une image contenant texte, capture d’écran, diagramme, conception&#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14:paraId="15F499E8" w14:textId="486E0F94" w:rsidR="007A3DB2" w:rsidRDefault="00C63107" w:rsidP="00270044">
      <w:pPr>
        <w:pStyle w:val="NormalWeb"/>
        <w:spacing w:before="0" w:beforeAutospacing="0" w:after="160" w:afterAutospacing="0" w:line="480" w:lineRule="auto"/>
        <w:jc w:val="both"/>
        <w:rPr>
          <w:rFonts w:eastAsiaTheme="minorEastAsia"/>
          <w:color w:val="000000" w:themeColor="text1"/>
          <w:kern w:val="24"/>
          <w:lang w:val="en-US"/>
        </w:rPr>
      </w:pPr>
      <w:r w:rsidRPr="00405F18">
        <w:rPr>
          <w:rFonts w:eastAsia="Calibri"/>
          <w:b/>
          <w:bCs/>
          <w:color w:val="000000" w:themeColor="text1"/>
          <w:kern w:val="24"/>
          <w:lang w:val="en-US"/>
        </w:rPr>
        <w:lastRenderedPageBreak/>
        <w:t xml:space="preserve">Figure </w:t>
      </w:r>
      <w:r w:rsidR="009421A1" w:rsidRPr="00405F18">
        <w:rPr>
          <w:rFonts w:eastAsia="Calibri"/>
          <w:b/>
          <w:bCs/>
          <w:color w:val="000000" w:themeColor="text1"/>
          <w:kern w:val="24"/>
          <w:lang w:val="en-US"/>
        </w:rPr>
        <w:t>9</w:t>
      </w:r>
      <w:r w:rsidRPr="00405F18">
        <w:rPr>
          <w:rFonts w:eastAsia="Calibri"/>
          <w:b/>
          <w:bCs/>
          <w:color w:val="000000" w:themeColor="text1"/>
          <w:kern w:val="24"/>
          <w:lang w:val="en-US"/>
        </w:rPr>
        <w:t xml:space="preserve">. </w:t>
      </w:r>
      <w:r w:rsidR="008D3449" w:rsidRPr="00405F18">
        <w:rPr>
          <w:rFonts w:eastAsia="Calibri"/>
          <w:color w:val="000000" w:themeColor="text1"/>
          <w:kern w:val="24"/>
          <w:lang w:val="en-US"/>
        </w:rPr>
        <w:t xml:space="preserve">PA-induced lysosomal dysfunction drives </w:t>
      </w:r>
      <w:proofErr w:type="spellStart"/>
      <w:r w:rsidR="009326CD">
        <w:rPr>
          <w:rFonts w:eastAsia="Calibri"/>
          <w:color w:val="000000" w:themeColor="text1"/>
          <w:kern w:val="24"/>
          <w:lang w:val="en-US"/>
        </w:rPr>
        <w:t>M</w:t>
      </w:r>
      <w:r w:rsidR="008D3449" w:rsidRPr="00405F18">
        <w:rPr>
          <w:rFonts w:eastAsia="Calibri"/>
          <w:color w:val="000000" w:themeColor="text1"/>
          <w:kern w:val="24"/>
          <w:lang w:val="en-US"/>
        </w:rPr>
        <w:t>mPTEC</w:t>
      </w:r>
      <w:proofErr w:type="spellEnd"/>
      <w:r w:rsidR="008D3449" w:rsidRPr="00405F18">
        <w:rPr>
          <w:rFonts w:eastAsia="Calibri"/>
          <w:color w:val="000000" w:themeColor="text1"/>
          <w:kern w:val="24"/>
          <w:lang w:val="en-US"/>
        </w:rPr>
        <w:t xml:space="preserve"> dedifferentiation. (</w:t>
      </w:r>
      <w:r w:rsidR="008D3449" w:rsidRPr="00405F18">
        <w:rPr>
          <w:rFonts w:eastAsia="Calibri"/>
          <w:b/>
          <w:bCs/>
          <w:color w:val="000000" w:themeColor="text1"/>
          <w:kern w:val="24"/>
          <w:lang w:val="en-US"/>
        </w:rPr>
        <w:t>A</w:t>
      </w:r>
      <w:r w:rsidR="008D3449" w:rsidRPr="00405F18">
        <w:rPr>
          <w:rFonts w:eastAsia="Calibri"/>
          <w:color w:val="000000" w:themeColor="text1"/>
          <w:kern w:val="24"/>
          <w:lang w:val="en-US"/>
        </w:rPr>
        <w:t>)</w:t>
      </w:r>
      <w:r w:rsidR="008D3449" w:rsidRPr="00405F18">
        <w:rPr>
          <w:rFonts w:eastAsia="Calibri"/>
          <w:b/>
          <w:bCs/>
          <w:color w:val="000000" w:themeColor="text1"/>
          <w:kern w:val="24"/>
          <w:lang w:val="en-US"/>
        </w:rPr>
        <w:t xml:space="preserve"> </w:t>
      </w:r>
      <w:r w:rsidR="008D3449" w:rsidRPr="00405F18">
        <w:rPr>
          <w:rFonts w:eastAsia="Calibri"/>
          <w:color w:val="000000" w:themeColor="text1"/>
          <w:kern w:val="24"/>
          <w:lang w:val="en-US"/>
        </w:rPr>
        <w:t xml:space="preserve">Representative micrographs of </w:t>
      </w:r>
      <w:proofErr w:type="spellStart"/>
      <w:r w:rsidR="009326CD">
        <w:rPr>
          <w:rFonts w:eastAsia="Calibri"/>
          <w:color w:val="000000" w:themeColor="text1"/>
          <w:kern w:val="24"/>
          <w:lang w:val="en-US"/>
        </w:rPr>
        <w:t>M</w:t>
      </w:r>
      <w:r w:rsidR="008D3449" w:rsidRPr="00405F18">
        <w:rPr>
          <w:rFonts w:eastAsia="Calibri"/>
          <w:color w:val="000000" w:themeColor="text1"/>
          <w:kern w:val="24"/>
          <w:lang w:val="en-US"/>
        </w:rPr>
        <w:t>mPTECs</w:t>
      </w:r>
      <w:proofErr w:type="spellEnd"/>
      <w:r w:rsidR="008D3449" w:rsidRPr="00405F18">
        <w:rPr>
          <w:rFonts w:eastAsia="Calibri"/>
          <w:color w:val="000000" w:themeColor="text1"/>
          <w:kern w:val="24"/>
          <w:lang w:val="en-US"/>
        </w:rPr>
        <w:t xml:space="preserve"> treated with 300 µM PA or 0.4% BSA for 6 or 24 h, incubated with 100 </w:t>
      </w:r>
      <w:proofErr w:type="gramStart"/>
      <w:r w:rsidR="008D3449" w:rsidRPr="00405F18">
        <w:rPr>
          <w:rFonts w:eastAsia="Calibri"/>
          <w:color w:val="000000" w:themeColor="text1"/>
          <w:kern w:val="24"/>
          <w:lang w:val="en-US"/>
        </w:rPr>
        <w:t>µg</w:t>
      </w:r>
      <w:proofErr w:type="gramEnd"/>
      <w:r w:rsidR="008D3449" w:rsidRPr="00405F18">
        <w:rPr>
          <w:rFonts w:eastAsia="Calibri"/>
          <w:color w:val="000000" w:themeColor="text1"/>
          <w:kern w:val="24"/>
          <w:lang w:val="en-US"/>
        </w:rPr>
        <w:t>/mL BSA-488 for 30 min at 37°C and fixed. (</w:t>
      </w:r>
      <w:r w:rsidR="008D3449" w:rsidRPr="00405F18">
        <w:rPr>
          <w:rFonts w:eastAsia="Calibri"/>
          <w:b/>
          <w:bCs/>
          <w:color w:val="000000" w:themeColor="text1"/>
          <w:kern w:val="24"/>
          <w:lang w:val="en-US"/>
        </w:rPr>
        <w:t>B</w:t>
      </w:r>
      <w:r w:rsidR="008D3449" w:rsidRPr="00405F18">
        <w:rPr>
          <w:rFonts w:eastAsia="Calibri"/>
          <w:color w:val="000000" w:themeColor="text1"/>
          <w:kern w:val="24"/>
          <w:lang w:val="en-US"/>
        </w:rPr>
        <w:t>)</w:t>
      </w:r>
      <w:r w:rsidR="008D3449" w:rsidRPr="00405F18">
        <w:rPr>
          <w:rFonts w:eastAsia="Calibri"/>
          <w:b/>
          <w:bCs/>
          <w:color w:val="000000" w:themeColor="text1"/>
          <w:kern w:val="24"/>
          <w:lang w:val="en-US"/>
        </w:rPr>
        <w:t xml:space="preserve"> </w:t>
      </w:r>
      <w:r w:rsidR="008D3449" w:rsidRPr="00405F18">
        <w:rPr>
          <w:rFonts w:eastAsia="Calibri"/>
          <w:color w:val="000000" w:themeColor="text1"/>
          <w:kern w:val="24"/>
          <w:lang w:val="en-US"/>
        </w:rPr>
        <w:t>Quantification of BSA fluorescence intensities per nucleus by the Integrated Density tool on more than 100 cells per group. (</w:t>
      </w:r>
      <w:r w:rsidR="008D3449" w:rsidRPr="00405F18">
        <w:rPr>
          <w:rFonts w:eastAsia="Calibri"/>
          <w:b/>
          <w:bCs/>
          <w:color w:val="000000" w:themeColor="text1"/>
          <w:kern w:val="24"/>
          <w:lang w:val="en-US"/>
        </w:rPr>
        <w:t>C</w:t>
      </w:r>
      <w:r w:rsidR="008D3449" w:rsidRPr="00405F18">
        <w:rPr>
          <w:rFonts w:eastAsia="Calibri"/>
          <w:color w:val="000000" w:themeColor="text1"/>
          <w:kern w:val="24"/>
          <w:lang w:val="en-US"/>
        </w:rPr>
        <w:t xml:space="preserve">, </w:t>
      </w:r>
      <w:r w:rsidR="008D3449" w:rsidRPr="00405F18">
        <w:rPr>
          <w:rFonts w:eastAsia="Calibri"/>
          <w:b/>
          <w:bCs/>
          <w:color w:val="000000" w:themeColor="text1"/>
          <w:kern w:val="24"/>
          <w:lang w:val="en-US"/>
        </w:rPr>
        <w:t>D</w:t>
      </w:r>
      <w:r w:rsidR="008D3449" w:rsidRPr="00405F18">
        <w:rPr>
          <w:rFonts w:eastAsia="Calibri"/>
          <w:color w:val="000000" w:themeColor="text1"/>
          <w:kern w:val="24"/>
          <w:lang w:val="en-US"/>
        </w:rPr>
        <w:t>) Relative mRNA expression of (</w:t>
      </w:r>
      <w:r w:rsidR="008D3449" w:rsidRPr="00405F18">
        <w:rPr>
          <w:rFonts w:eastAsia="Calibri"/>
          <w:b/>
          <w:bCs/>
          <w:color w:val="000000" w:themeColor="text1"/>
          <w:kern w:val="24"/>
          <w:lang w:val="en-US"/>
        </w:rPr>
        <w:t>C</w:t>
      </w:r>
      <w:r w:rsidR="008D3449" w:rsidRPr="00405F18">
        <w:rPr>
          <w:rFonts w:eastAsia="Calibri"/>
          <w:color w:val="000000" w:themeColor="text1"/>
          <w:kern w:val="24"/>
          <w:lang w:val="en-US"/>
        </w:rPr>
        <w:t>) differentiation and (</w:t>
      </w:r>
      <w:r w:rsidR="008D3449" w:rsidRPr="00405F18">
        <w:rPr>
          <w:rFonts w:eastAsia="Calibri"/>
          <w:b/>
          <w:bCs/>
          <w:color w:val="000000" w:themeColor="text1"/>
          <w:kern w:val="24"/>
          <w:lang w:val="en-US"/>
        </w:rPr>
        <w:t>D</w:t>
      </w:r>
      <w:r w:rsidR="008D3449" w:rsidRPr="00405F18">
        <w:rPr>
          <w:rFonts w:eastAsia="Calibri"/>
          <w:color w:val="000000" w:themeColor="text1"/>
          <w:kern w:val="24"/>
          <w:lang w:val="en-US"/>
        </w:rPr>
        <w:t>)</w:t>
      </w:r>
      <w:r w:rsidR="008D3449" w:rsidRPr="00405F18">
        <w:rPr>
          <w:rFonts w:eastAsia="Calibri"/>
          <w:b/>
          <w:bCs/>
          <w:color w:val="000000" w:themeColor="text1"/>
          <w:kern w:val="24"/>
          <w:lang w:val="en-US"/>
        </w:rPr>
        <w:t xml:space="preserve"> </w:t>
      </w:r>
      <w:r w:rsidR="008D3449" w:rsidRPr="00405F18">
        <w:rPr>
          <w:rFonts w:eastAsia="Calibri"/>
          <w:color w:val="000000" w:themeColor="text1"/>
          <w:kern w:val="24"/>
          <w:lang w:val="en-US"/>
        </w:rPr>
        <w:t xml:space="preserve">dedifferentiation markers on </w:t>
      </w:r>
      <w:proofErr w:type="spellStart"/>
      <w:r w:rsidR="009326CD">
        <w:rPr>
          <w:rFonts w:eastAsia="Calibri"/>
          <w:color w:val="000000" w:themeColor="text1"/>
          <w:kern w:val="24"/>
          <w:lang w:val="en-US"/>
        </w:rPr>
        <w:t>M</w:t>
      </w:r>
      <w:r w:rsidR="008D3449" w:rsidRPr="00405F18">
        <w:rPr>
          <w:rFonts w:eastAsia="Calibri"/>
          <w:color w:val="000000" w:themeColor="text1"/>
          <w:kern w:val="24"/>
          <w:lang w:val="en-US"/>
        </w:rPr>
        <w:t>mPTECs</w:t>
      </w:r>
      <w:proofErr w:type="spellEnd"/>
      <w:r w:rsidR="008D3449" w:rsidRPr="00405F18">
        <w:rPr>
          <w:rFonts w:eastAsia="Calibri"/>
          <w:color w:val="000000" w:themeColor="text1"/>
          <w:kern w:val="24"/>
          <w:lang w:val="en-US"/>
        </w:rPr>
        <w:t xml:space="preserve"> treated with 300 µM PA or 0.4% BSA for 24 h. (</w:t>
      </w:r>
      <w:r w:rsidR="008D3449" w:rsidRPr="00405F18">
        <w:rPr>
          <w:rFonts w:eastAsia="Calibri"/>
          <w:b/>
          <w:bCs/>
          <w:color w:val="000000" w:themeColor="text1"/>
          <w:kern w:val="24"/>
          <w:lang w:val="en-US"/>
        </w:rPr>
        <w:t>E</w:t>
      </w:r>
      <w:r w:rsidR="008D3449" w:rsidRPr="00405F18">
        <w:rPr>
          <w:rFonts w:eastAsia="Calibri"/>
          <w:color w:val="000000" w:themeColor="text1"/>
          <w:kern w:val="24"/>
          <w:lang w:val="en-US"/>
        </w:rPr>
        <w:t>)</w:t>
      </w:r>
      <w:r w:rsidR="008D3449" w:rsidRPr="00405F18">
        <w:rPr>
          <w:rFonts w:eastAsia="Calibri"/>
          <w:b/>
          <w:bCs/>
          <w:color w:val="000000" w:themeColor="text1"/>
          <w:kern w:val="24"/>
          <w:lang w:val="en-US"/>
        </w:rPr>
        <w:t xml:space="preserve"> </w:t>
      </w:r>
      <w:r w:rsidR="008D3449" w:rsidRPr="00405F18">
        <w:rPr>
          <w:rFonts w:eastAsia="Calibri"/>
          <w:color w:val="000000" w:themeColor="text1"/>
          <w:kern w:val="24"/>
          <w:lang w:val="en-US"/>
        </w:rPr>
        <w:t xml:space="preserve">Representative micrographs of </w:t>
      </w:r>
      <w:proofErr w:type="spellStart"/>
      <w:r w:rsidR="009326CD">
        <w:rPr>
          <w:rFonts w:eastAsia="Calibri"/>
          <w:color w:val="000000" w:themeColor="text1"/>
          <w:kern w:val="24"/>
          <w:lang w:val="en-US"/>
        </w:rPr>
        <w:t>M</w:t>
      </w:r>
      <w:r w:rsidR="008D3449" w:rsidRPr="00405F18">
        <w:rPr>
          <w:rFonts w:eastAsia="Calibri"/>
          <w:color w:val="000000" w:themeColor="text1"/>
          <w:kern w:val="24"/>
          <w:lang w:val="en-US"/>
        </w:rPr>
        <w:t>mPTECs</w:t>
      </w:r>
      <w:proofErr w:type="spellEnd"/>
      <w:r w:rsidR="008D3449" w:rsidRPr="00405F18">
        <w:rPr>
          <w:rFonts w:eastAsia="Calibri"/>
          <w:color w:val="000000" w:themeColor="text1"/>
          <w:kern w:val="24"/>
          <w:lang w:val="en-US"/>
        </w:rPr>
        <w:t xml:space="preserve"> treated for 6 or 24 h with 300 µM PA or 0.4% BSA with or without 2 </w:t>
      </w:r>
      <w:proofErr w:type="spellStart"/>
      <w:r w:rsidR="008D3449" w:rsidRPr="00405F18">
        <w:rPr>
          <w:rFonts w:eastAsia="Calibri"/>
          <w:color w:val="000000" w:themeColor="text1"/>
          <w:kern w:val="24"/>
          <w:lang w:val="en-US"/>
        </w:rPr>
        <w:t>nM</w:t>
      </w:r>
      <w:proofErr w:type="spellEnd"/>
      <w:r w:rsidR="008D3449" w:rsidRPr="00405F18">
        <w:rPr>
          <w:rFonts w:eastAsia="Calibri"/>
          <w:color w:val="000000" w:themeColor="text1"/>
          <w:kern w:val="24"/>
          <w:lang w:val="en-US"/>
        </w:rPr>
        <w:t xml:space="preserve"> bafilomycin A</w:t>
      </w:r>
      <w:r w:rsidR="008D3449" w:rsidRPr="007110A4">
        <w:rPr>
          <w:rFonts w:eastAsia="Calibri"/>
          <w:color w:val="000000" w:themeColor="text1"/>
          <w:kern w:val="24"/>
          <w:vertAlign w:val="subscript"/>
          <w:lang w:val="en-US"/>
        </w:rPr>
        <w:t>1</w:t>
      </w:r>
      <w:r w:rsidR="008D3449" w:rsidRPr="00405F18">
        <w:rPr>
          <w:rFonts w:eastAsia="Calibri"/>
          <w:color w:val="000000" w:themeColor="text1"/>
          <w:kern w:val="24"/>
          <w:lang w:val="en-US"/>
        </w:rPr>
        <w:t xml:space="preserve"> for last 6 h, incubated with 100 µg/mL BSA-488 for 30 min at 37°C and fixed. (</w:t>
      </w:r>
      <w:r w:rsidR="008D3449" w:rsidRPr="00405F18">
        <w:rPr>
          <w:rFonts w:eastAsia="Calibri"/>
          <w:b/>
          <w:bCs/>
          <w:color w:val="000000" w:themeColor="text1"/>
          <w:kern w:val="24"/>
          <w:lang w:val="en-US"/>
        </w:rPr>
        <w:t>F</w:t>
      </w:r>
      <w:r w:rsidR="008D3449" w:rsidRPr="00405F18">
        <w:rPr>
          <w:rFonts w:eastAsia="Calibri"/>
          <w:color w:val="000000" w:themeColor="text1"/>
          <w:kern w:val="24"/>
          <w:lang w:val="en-US"/>
        </w:rPr>
        <w:t xml:space="preserve">) Quantification of BSA fluorescence intensities per nucleus by the Integrated Density tool on more than 100 cells per group. Data are presented as means </w:t>
      </w:r>
      <w:r w:rsidR="008D3449" w:rsidRPr="00405F18">
        <w:rPr>
          <w:rFonts w:eastAsiaTheme="minorEastAsia" w:hAnsi="+mn-ea"/>
          <w:color w:val="000000" w:themeColor="text1"/>
          <w:kern w:val="24"/>
          <w:lang w:val="en-US"/>
        </w:rPr>
        <w:t>±</w:t>
      </w:r>
      <w:r w:rsidR="008D3449" w:rsidRPr="00405F18">
        <w:rPr>
          <w:rFonts w:eastAsiaTheme="minorEastAsia" w:hAnsi="+mn-ea"/>
          <w:color w:val="000000" w:themeColor="text1"/>
          <w:kern w:val="24"/>
          <w:lang w:val="en-US"/>
        </w:rPr>
        <w:t xml:space="preserve"> SEM in three or four independent biological experiments as indicated on the charts. </w:t>
      </w:r>
      <w:r w:rsidR="008D3449" w:rsidRPr="00405F18">
        <w:rPr>
          <w:rFonts w:eastAsia="Calibri"/>
          <w:color w:val="000000" w:themeColor="text1"/>
          <w:kern w:val="24"/>
          <w:lang w:val="en-US"/>
        </w:rPr>
        <w:t>Statistical analyses were performed by (</w:t>
      </w:r>
      <w:r w:rsidR="008D3449" w:rsidRPr="00405F18">
        <w:rPr>
          <w:rFonts w:eastAsia="Calibri"/>
          <w:b/>
          <w:bCs/>
          <w:color w:val="000000" w:themeColor="text1"/>
          <w:kern w:val="24"/>
          <w:lang w:val="en-US"/>
        </w:rPr>
        <w:t>C</w:t>
      </w:r>
      <w:r w:rsidR="008D3449" w:rsidRPr="00405F18">
        <w:rPr>
          <w:rFonts w:eastAsia="Calibri"/>
          <w:color w:val="000000" w:themeColor="text1"/>
          <w:kern w:val="24"/>
          <w:lang w:val="en-US"/>
        </w:rPr>
        <w:t>,</w:t>
      </w:r>
      <w:r w:rsidR="008D3449" w:rsidRPr="00405F18">
        <w:rPr>
          <w:rFonts w:eastAsia="Calibri"/>
          <w:b/>
          <w:bCs/>
          <w:color w:val="000000" w:themeColor="text1"/>
          <w:kern w:val="24"/>
          <w:lang w:val="en-US"/>
        </w:rPr>
        <w:t xml:space="preserve"> D</w:t>
      </w:r>
      <w:r w:rsidR="008D3449" w:rsidRPr="00405F18">
        <w:rPr>
          <w:rFonts w:eastAsia="Calibri"/>
          <w:color w:val="000000" w:themeColor="text1"/>
          <w:kern w:val="24"/>
          <w:lang w:val="en-US"/>
        </w:rPr>
        <w:t>) Student’s unpaired t-test or by</w:t>
      </w:r>
      <w:r w:rsidR="00844C5E" w:rsidRPr="00405F18">
        <w:rPr>
          <w:rFonts w:eastAsia="Calibri"/>
          <w:color w:val="000000" w:themeColor="text1"/>
          <w:kern w:val="24"/>
          <w:lang w:val="en-US"/>
        </w:rPr>
        <w:t xml:space="preserve"> (</w:t>
      </w:r>
      <w:r w:rsidR="00844C5E" w:rsidRPr="00405F18">
        <w:rPr>
          <w:rFonts w:eastAsia="Calibri"/>
          <w:b/>
          <w:bCs/>
          <w:color w:val="000000" w:themeColor="text1"/>
          <w:kern w:val="24"/>
          <w:lang w:val="en-US"/>
        </w:rPr>
        <w:t>B</w:t>
      </w:r>
      <w:r w:rsidR="00844C5E" w:rsidRPr="00405F18">
        <w:rPr>
          <w:rFonts w:eastAsia="Calibri"/>
          <w:color w:val="000000" w:themeColor="text1"/>
          <w:kern w:val="24"/>
          <w:lang w:val="en-US"/>
        </w:rPr>
        <w:t xml:space="preserve">, </w:t>
      </w:r>
      <w:r w:rsidR="00844C5E" w:rsidRPr="00405F18">
        <w:rPr>
          <w:rFonts w:eastAsia="Calibri"/>
          <w:b/>
          <w:bCs/>
          <w:color w:val="000000" w:themeColor="text1"/>
          <w:kern w:val="24"/>
          <w:lang w:val="en-US"/>
        </w:rPr>
        <w:t>F</w:t>
      </w:r>
      <w:r w:rsidR="00844C5E" w:rsidRPr="00405F18">
        <w:rPr>
          <w:rFonts w:eastAsia="Calibri"/>
          <w:color w:val="000000" w:themeColor="text1"/>
          <w:kern w:val="24"/>
          <w:lang w:val="en-US"/>
        </w:rPr>
        <w:t>)</w:t>
      </w:r>
      <w:r w:rsidR="008D3449" w:rsidRPr="00405F18">
        <w:rPr>
          <w:rFonts w:eastAsia="Calibri"/>
          <w:color w:val="000000" w:themeColor="text1"/>
          <w:kern w:val="24"/>
          <w:lang w:val="en-US"/>
        </w:rPr>
        <w:t xml:space="preserve"> two-way ANOVA followed by Dunnett’s post-hoc test. </w:t>
      </w:r>
      <w:r w:rsidR="008D3449" w:rsidRPr="00405F18">
        <w:rPr>
          <w:rFonts w:eastAsiaTheme="minorEastAsia"/>
          <w:color w:val="000000" w:themeColor="text1"/>
          <w:kern w:val="24"/>
          <w:lang w:val="en-US"/>
        </w:rPr>
        <w:t xml:space="preserve">*p ≤ 0.05; **p ≤ 0.01; ***p ≤ 0.001 </w:t>
      </w:r>
      <w:r w:rsidR="008D3449" w:rsidRPr="00405F18">
        <w:rPr>
          <w:rFonts w:eastAsiaTheme="minorEastAsia"/>
          <w:i/>
          <w:iCs/>
          <w:color w:val="000000" w:themeColor="text1"/>
          <w:kern w:val="24"/>
          <w:lang w:val="en-US"/>
        </w:rPr>
        <w:t xml:space="preserve">versus </w:t>
      </w:r>
      <w:r w:rsidR="008D3449" w:rsidRPr="00405F18">
        <w:rPr>
          <w:rFonts w:eastAsiaTheme="minorEastAsia"/>
          <w:color w:val="000000" w:themeColor="text1"/>
          <w:kern w:val="24"/>
          <w:lang w:val="en-US"/>
        </w:rPr>
        <w:t xml:space="preserve">corresponding BSA group. </w:t>
      </w:r>
    </w:p>
    <w:p w14:paraId="41587210" w14:textId="77777777" w:rsidR="007A3DB2" w:rsidRDefault="007A3DB2">
      <w:pPr>
        <w:rPr>
          <w:rFonts w:ascii="Times New Roman" w:eastAsiaTheme="minorEastAsia" w:hAnsi="Times New Roman" w:cs="Times New Roman"/>
          <w:color w:val="000000" w:themeColor="text1"/>
          <w:kern w:val="24"/>
          <w:sz w:val="24"/>
          <w:szCs w:val="24"/>
          <w:lang w:val="en-US" w:eastAsia="fr-BE"/>
        </w:rPr>
      </w:pPr>
      <w:r>
        <w:rPr>
          <w:rFonts w:eastAsiaTheme="minorEastAsia"/>
          <w:color w:val="000000" w:themeColor="text1"/>
          <w:kern w:val="24"/>
          <w:lang w:val="en-US"/>
        </w:rPr>
        <w:br w:type="page"/>
      </w:r>
    </w:p>
    <w:p w14:paraId="2BB7E237" w14:textId="5C1B1809" w:rsidR="008D3449" w:rsidRPr="00405F18" w:rsidRDefault="007A3DB2" w:rsidP="00270044">
      <w:pPr>
        <w:pStyle w:val="NormalWeb"/>
        <w:spacing w:before="0" w:beforeAutospacing="0" w:after="160" w:afterAutospacing="0" w:line="480" w:lineRule="auto"/>
        <w:jc w:val="both"/>
        <w:rPr>
          <w:rFonts w:eastAsiaTheme="minorEastAsia"/>
          <w:color w:val="000000" w:themeColor="text1"/>
          <w:kern w:val="24"/>
          <w:lang w:val="en-US"/>
        </w:rPr>
      </w:pPr>
      <w:r>
        <w:rPr>
          <w:rFonts w:eastAsiaTheme="minorEastAsia"/>
          <w:noProof/>
          <w:color w:val="000000" w:themeColor="text1"/>
          <w:kern w:val="24"/>
          <w:lang w:val="en-US"/>
        </w:rPr>
        <w:lastRenderedPageBreak/>
        <w:drawing>
          <wp:inline distT="0" distB="0" distL="0" distR="0" wp14:anchorId="16760197" wp14:editId="1A4B1DDA">
            <wp:extent cx="5759450" cy="8143875"/>
            <wp:effectExtent l="0" t="0" r="0" b="9525"/>
            <wp:docPr id="383877037" name="Image 9" descr="Une image contenant texte, diagramm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77037" name="Image 9" descr="Une image contenant texte, diagramme, capture d’écran, conception&#10;&#10;Description générée automatiquemen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14:paraId="065F2CCB" w14:textId="401B82BC" w:rsidR="00FA544B" w:rsidRDefault="00C63107" w:rsidP="00270044">
      <w:pPr>
        <w:pStyle w:val="NormalWeb"/>
        <w:spacing w:before="0" w:beforeAutospacing="0" w:after="160" w:afterAutospacing="0" w:line="480" w:lineRule="auto"/>
        <w:jc w:val="both"/>
        <w:rPr>
          <w:rFonts w:eastAsiaTheme="minorEastAsia"/>
          <w:color w:val="000000" w:themeColor="text1"/>
          <w:kern w:val="24"/>
          <w:lang w:val="en-US"/>
        </w:rPr>
      </w:pPr>
      <w:r w:rsidRPr="00405F18">
        <w:rPr>
          <w:rFonts w:eastAsia="Calibri"/>
          <w:b/>
          <w:bCs/>
          <w:color w:val="000000" w:themeColor="text1"/>
          <w:kern w:val="24"/>
          <w:lang w:val="en-US"/>
        </w:rPr>
        <w:lastRenderedPageBreak/>
        <w:t xml:space="preserve">Figure </w:t>
      </w:r>
      <w:r w:rsidR="009421A1" w:rsidRPr="00405F18">
        <w:rPr>
          <w:rFonts w:eastAsia="Calibri"/>
          <w:b/>
          <w:bCs/>
          <w:color w:val="000000" w:themeColor="text1"/>
          <w:kern w:val="24"/>
          <w:lang w:val="en-US"/>
        </w:rPr>
        <w:t>10</w:t>
      </w:r>
      <w:r w:rsidRPr="00405F18">
        <w:rPr>
          <w:rFonts w:eastAsia="Calibri"/>
          <w:b/>
          <w:bCs/>
          <w:color w:val="000000" w:themeColor="text1"/>
          <w:kern w:val="24"/>
          <w:lang w:val="en-US"/>
        </w:rPr>
        <w:t xml:space="preserve">. </w:t>
      </w:r>
      <w:r w:rsidR="00F941FC" w:rsidRPr="00405F18">
        <w:rPr>
          <w:rFonts w:eastAsia="Calibri"/>
          <w:color w:val="000000" w:themeColor="text1"/>
          <w:kern w:val="24"/>
          <w:lang w:val="en-US"/>
        </w:rPr>
        <w:t xml:space="preserve">AMPK activation protects </w:t>
      </w:r>
      <w:proofErr w:type="spellStart"/>
      <w:r w:rsidR="009326CD">
        <w:rPr>
          <w:rFonts w:eastAsia="Calibri"/>
          <w:color w:val="000000" w:themeColor="text1"/>
          <w:kern w:val="24"/>
          <w:lang w:val="en-US"/>
        </w:rPr>
        <w:t>M</w:t>
      </w:r>
      <w:r w:rsidR="00F941FC" w:rsidRPr="00405F18">
        <w:rPr>
          <w:rFonts w:eastAsia="Calibri"/>
          <w:color w:val="000000" w:themeColor="text1"/>
          <w:kern w:val="24"/>
          <w:lang w:val="en-US"/>
        </w:rPr>
        <w:t>mPTECs</w:t>
      </w:r>
      <w:proofErr w:type="spellEnd"/>
      <w:r w:rsidR="00F941FC" w:rsidRPr="00405F18">
        <w:rPr>
          <w:rFonts w:eastAsia="Calibri"/>
          <w:color w:val="000000" w:themeColor="text1"/>
          <w:kern w:val="24"/>
          <w:lang w:val="en-US"/>
        </w:rPr>
        <w:t xml:space="preserve"> from PA-induced dedifferentiation. (</w:t>
      </w:r>
      <w:r w:rsidR="00F941FC" w:rsidRPr="00405F18">
        <w:rPr>
          <w:rFonts w:eastAsia="Calibri"/>
          <w:b/>
          <w:bCs/>
          <w:color w:val="000000" w:themeColor="text1"/>
          <w:kern w:val="24"/>
          <w:lang w:val="en-US"/>
        </w:rPr>
        <w:t>A</w:t>
      </w:r>
      <w:r w:rsidR="00F941FC" w:rsidRPr="00405F18">
        <w:rPr>
          <w:rFonts w:eastAsia="Calibri"/>
          <w:color w:val="000000" w:themeColor="text1"/>
          <w:kern w:val="24"/>
          <w:lang w:val="en-US"/>
        </w:rPr>
        <w:t>)</w:t>
      </w:r>
      <w:r w:rsidR="00F941FC" w:rsidRPr="00405F18">
        <w:rPr>
          <w:rFonts w:eastAsia="Calibri"/>
          <w:b/>
          <w:bCs/>
          <w:color w:val="000000" w:themeColor="text1"/>
          <w:kern w:val="24"/>
          <w:lang w:val="en-US"/>
        </w:rPr>
        <w:t xml:space="preserve"> </w:t>
      </w:r>
      <w:r w:rsidR="00F941FC" w:rsidRPr="00405F18">
        <w:rPr>
          <w:rFonts w:eastAsia="Calibri"/>
          <w:color w:val="000000" w:themeColor="text1"/>
          <w:kern w:val="24"/>
          <w:lang w:val="en-US"/>
        </w:rPr>
        <w:t xml:space="preserve">Representative micrographs of cells treated for 6 or 24 h with 300 µM PA or 0.4% BSA in the presence of 100 µM A769662 or 2 mM AICAR with and without 2 </w:t>
      </w:r>
      <w:proofErr w:type="spellStart"/>
      <w:r w:rsidR="00F941FC" w:rsidRPr="00405F18">
        <w:rPr>
          <w:rFonts w:eastAsia="Calibri"/>
          <w:color w:val="000000" w:themeColor="text1"/>
          <w:kern w:val="24"/>
          <w:lang w:val="en-US"/>
        </w:rPr>
        <w:t>nM</w:t>
      </w:r>
      <w:proofErr w:type="spellEnd"/>
      <w:r w:rsidR="00F941FC" w:rsidRPr="00405F18">
        <w:rPr>
          <w:rFonts w:eastAsia="Calibri"/>
          <w:color w:val="000000" w:themeColor="text1"/>
          <w:kern w:val="24"/>
          <w:lang w:val="en-US"/>
        </w:rPr>
        <w:t xml:space="preserve"> bafilomycin A</w:t>
      </w:r>
      <w:r w:rsidR="00F941FC" w:rsidRPr="007110A4">
        <w:rPr>
          <w:rFonts w:eastAsia="Calibri"/>
          <w:color w:val="000000" w:themeColor="text1"/>
          <w:kern w:val="24"/>
          <w:vertAlign w:val="subscript"/>
          <w:lang w:val="en-US"/>
        </w:rPr>
        <w:t>1</w:t>
      </w:r>
      <w:r w:rsidR="00F941FC" w:rsidRPr="00405F18">
        <w:rPr>
          <w:rFonts w:eastAsia="Calibri"/>
          <w:color w:val="000000" w:themeColor="text1"/>
          <w:kern w:val="24"/>
          <w:lang w:val="en-US"/>
        </w:rPr>
        <w:t xml:space="preserve"> for last 6 h, incubated with 100 </w:t>
      </w:r>
      <w:proofErr w:type="gramStart"/>
      <w:r w:rsidR="00F941FC" w:rsidRPr="00405F18">
        <w:rPr>
          <w:rFonts w:eastAsia="Calibri"/>
          <w:color w:val="000000" w:themeColor="text1"/>
          <w:kern w:val="24"/>
          <w:lang w:val="en-US"/>
        </w:rPr>
        <w:t>µg</w:t>
      </w:r>
      <w:proofErr w:type="gramEnd"/>
      <w:r w:rsidR="00F941FC" w:rsidRPr="00405F18">
        <w:rPr>
          <w:rFonts w:eastAsia="Calibri"/>
          <w:color w:val="000000" w:themeColor="text1"/>
          <w:kern w:val="24"/>
          <w:lang w:val="en-US"/>
        </w:rPr>
        <w:t>/mL BSA-488 for 30 min at 37°C and fixed. (</w:t>
      </w:r>
      <w:r w:rsidR="00F941FC" w:rsidRPr="00405F18">
        <w:rPr>
          <w:rFonts w:eastAsia="Calibri"/>
          <w:b/>
          <w:bCs/>
          <w:color w:val="000000" w:themeColor="text1"/>
          <w:kern w:val="24"/>
          <w:lang w:val="en-US"/>
        </w:rPr>
        <w:t>B</w:t>
      </w:r>
      <w:r w:rsidR="00F941FC" w:rsidRPr="00405F18">
        <w:rPr>
          <w:rFonts w:eastAsia="Calibri"/>
          <w:color w:val="000000" w:themeColor="text1"/>
          <w:kern w:val="24"/>
          <w:lang w:val="en-US"/>
        </w:rPr>
        <w:t xml:space="preserve">, </w:t>
      </w:r>
      <w:r w:rsidR="00F941FC" w:rsidRPr="00405F18">
        <w:rPr>
          <w:rFonts w:eastAsia="Calibri"/>
          <w:b/>
          <w:bCs/>
          <w:color w:val="000000" w:themeColor="text1"/>
          <w:kern w:val="24"/>
          <w:lang w:val="en-US"/>
        </w:rPr>
        <w:t>C</w:t>
      </w:r>
      <w:r w:rsidR="00F941FC" w:rsidRPr="00405F18">
        <w:rPr>
          <w:rFonts w:eastAsia="Calibri"/>
          <w:color w:val="000000" w:themeColor="text1"/>
          <w:kern w:val="24"/>
          <w:lang w:val="en-US"/>
        </w:rPr>
        <w:t>) Quantification of BSA fluorescence intensities per nucleus by the Integrated Density tool after (</w:t>
      </w:r>
      <w:r w:rsidR="00F941FC" w:rsidRPr="00405F18">
        <w:rPr>
          <w:rFonts w:eastAsia="Calibri"/>
          <w:b/>
          <w:bCs/>
          <w:color w:val="000000" w:themeColor="text1"/>
          <w:kern w:val="24"/>
          <w:lang w:val="en-US"/>
        </w:rPr>
        <w:t>B</w:t>
      </w:r>
      <w:r w:rsidR="00F941FC" w:rsidRPr="00405F18">
        <w:rPr>
          <w:rFonts w:eastAsia="Calibri"/>
          <w:color w:val="000000" w:themeColor="text1"/>
          <w:kern w:val="24"/>
          <w:lang w:val="en-US"/>
        </w:rPr>
        <w:t>) 6 and (</w:t>
      </w:r>
      <w:r w:rsidR="00F941FC" w:rsidRPr="00405F18">
        <w:rPr>
          <w:rFonts w:eastAsia="Calibri"/>
          <w:b/>
          <w:bCs/>
          <w:color w:val="000000" w:themeColor="text1"/>
          <w:kern w:val="24"/>
          <w:lang w:val="en-US"/>
        </w:rPr>
        <w:t>C</w:t>
      </w:r>
      <w:r w:rsidR="00F941FC" w:rsidRPr="00405F18">
        <w:rPr>
          <w:rFonts w:eastAsia="Calibri"/>
          <w:color w:val="000000" w:themeColor="text1"/>
          <w:kern w:val="24"/>
          <w:lang w:val="en-US"/>
        </w:rPr>
        <w:t>) 24 h on more than 100 cells per group. (</w:t>
      </w:r>
      <w:r w:rsidR="00F941FC" w:rsidRPr="00405F18">
        <w:rPr>
          <w:rFonts w:eastAsia="Calibri"/>
          <w:b/>
          <w:bCs/>
          <w:color w:val="000000" w:themeColor="text1"/>
          <w:kern w:val="24"/>
          <w:lang w:val="en-US"/>
        </w:rPr>
        <w:t>D</w:t>
      </w:r>
      <w:r w:rsidR="00F941FC" w:rsidRPr="00405F18">
        <w:rPr>
          <w:rFonts w:eastAsia="Calibri"/>
          <w:color w:val="000000" w:themeColor="text1"/>
          <w:kern w:val="24"/>
          <w:lang w:val="en-US"/>
        </w:rPr>
        <w:t>) Relative mRNA expression of differentiation markers (</w:t>
      </w:r>
      <w:r w:rsidR="00F941FC" w:rsidRPr="00023BA0">
        <w:rPr>
          <w:rFonts w:eastAsia="Calibri"/>
          <w:i/>
          <w:iCs/>
          <w:color w:val="000000" w:themeColor="text1"/>
          <w:kern w:val="24"/>
          <w:lang w:val="en-US"/>
        </w:rPr>
        <w:t>C</w:t>
      </w:r>
      <w:r w:rsidR="00023BA0" w:rsidRPr="00023BA0">
        <w:rPr>
          <w:rFonts w:eastAsia="Calibri"/>
          <w:i/>
          <w:iCs/>
          <w:color w:val="000000" w:themeColor="text1"/>
          <w:kern w:val="24"/>
          <w:lang w:val="en-US"/>
        </w:rPr>
        <w:t>dh</w:t>
      </w:r>
      <w:r w:rsidR="00F941FC" w:rsidRPr="00023BA0">
        <w:rPr>
          <w:rFonts w:eastAsia="Calibri"/>
          <w:i/>
          <w:iCs/>
          <w:color w:val="000000" w:themeColor="text1"/>
          <w:kern w:val="24"/>
          <w:lang w:val="en-US"/>
        </w:rPr>
        <w:t>16</w:t>
      </w:r>
      <w:r w:rsidR="00F941FC" w:rsidRPr="00023BA0">
        <w:rPr>
          <w:rFonts w:eastAsia="Calibri"/>
          <w:color w:val="000000" w:themeColor="text1"/>
          <w:kern w:val="24"/>
          <w:lang w:val="en-US"/>
        </w:rPr>
        <w:t xml:space="preserve">, </w:t>
      </w:r>
      <w:r w:rsidR="00F941FC" w:rsidRPr="00023BA0">
        <w:rPr>
          <w:rFonts w:eastAsia="Calibri"/>
          <w:i/>
          <w:iCs/>
          <w:color w:val="000000" w:themeColor="text1"/>
          <w:kern w:val="24"/>
          <w:lang w:val="en-US"/>
        </w:rPr>
        <w:t>Lrp2</w:t>
      </w:r>
      <w:r w:rsidR="00F941FC" w:rsidRPr="00023BA0">
        <w:rPr>
          <w:rFonts w:eastAsia="Calibri"/>
          <w:color w:val="000000" w:themeColor="text1"/>
          <w:kern w:val="24"/>
          <w:lang w:val="en-US"/>
        </w:rPr>
        <w:t xml:space="preserve">, </w:t>
      </w:r>
      <w:r w:rsidR="00F941FC" w:rsidRPr="00023BA0">
        <w:rPr>
          <w:rFonts w:eastAsia="Calibri"/>
          <w:i/>
          <w:iCs/>
          <w:color w:val="000000" w:themeColor="text1"/>
          <w:kern w:val="24"/>
          <w:lang w:val="en-US"/>
        </w:rPr>
        <w:t>A</w:t>
      </w:r>
      <w:r w:rsidR="00023BA0" w:rsidRPr="00023BA0">
        <w:rPr>
          <w:rFonts w:eastAsia="Calibri"/>
          <w:i/>
          <w:iCs/>
          <w:color w:val="000000" w:themeColor="text1"/>
          <w:kern w:val="24"/>
          <w:lang w:val="en-US"/>
        </w:rPr>
        <w:t>qp</w:t>
      </w:r>
      <w:r w:rsidR="00F941FC" w:rsidRPr="00023BA0">
        <w:rPr>
          <w:rFonts w:eastAsia="Calibri"/>
          <w:i/>
          <w:iCs/>
          <w:color w:val="000000" w:themeColor="text1"/>
          <w:kern w:val="24"/>
          <w:lang w:val="en-US"/>
        </w:rPr>
        <w:t>1</w:t>
      </w:r>
      <w:r w:rsidR="00F941FC" w:rsidRPr="00023BA0">
        <w:rPr>
          <w:rFonts w:eastAsia="Calibri"/>
          <w:color w:val="000000" w:themeColor="text1"/>
          <w:kern w:val="24"/>
          <w:lang w:val="en-US"/>
        </w:rPr>
        <w:t xml:space="preserve"> and </w:t>
      </w:r>
      <w:r w:rsidR="00F941FC" w:rsidRPr="00023BA0">
        <w:rPr>
          <w:rFonts w:eastAsia="Calibri"/>
          <w:i/>
          <w:iCs/>
          <w:color w:val="000000" w:themeColor="text1"/>
          <w:kern w:val="24"/>
          <w:lang w:val="en-US"/>
        </w:rPr>
        <w:t>Slc5</w:t>
      </w:r>
      <w:r w:rsidR="004A5C43">
        <w:rPr>
          <w:rFonts w:eastAsia="Calibri"/>
          <w:i/>
          <w:iCs/>
          <w:color w:val="000000" w:themeColor="text1"/>
          <w:kern w:val="24"/>
          <w:lang w:val="en-US"/>
        </w:rPr>
        <w:t>a</w:t>
      </w:r>
      <w:r w:rsidR="00F941FC" w:rsidRPr="00023BA0">
        <w:rPr>
          <w:rFonts w:eastAsia="Calibri"/>
          <w:i/>
          <w:iCs/>
          <w:color w:val="000000" w:themeColor="text1"/>
          <w:kern w:val="24"/>
          <w:lang w:val="en-US"/>
        </w:rPr>
        <w:t>2</w:t>
      </w:r>
      <w:r w:rsidR="00F941FC" w:rsidRPr="00405F18">
        <w:rPr>
          <w:rFonts w:eastAsia="Calibri"/>
          <w:color w:val="000000" w:themeColor="text1"/>
          <w:kern w:val="24"/>
          <w:lang w:val="en-US"/>
        </w:rPr>
        <w:t xml:space="preserve">) on </w:t>
      </w:r>
      <w:proofErr w:type="spellStart"/>
      <w:r w:rsidR="009326CD">
        <w:rPr>
          <w:rFonts w:eastAsia="Calibri"/>
          <w:color w:val="000000" w:themeColor="text1"/>
          <w:kern w:val="24"/>
          <w:lang w:val="en-US"/>
        </w:rPr>
        <w:t>M</w:t>
      </w:r>
      <w:r w:rsidR="00F941FC" w:rsidRPr="00405F18">
        <w:rPr>
          <w:rFonts w:eastAsia="Calibri"/>
          <w:color w:val="000000" w:themeColor="text1"/>
          <w:kern w:val="24"/>
          <w:lang w:val="en-US"/>
        </w:rPr>
        <w:t>mPTECs</w:t>
      </w:r>
      <w:proofErr w:type="spellEnd"/>
      <w:r w:rsidR="00F941FC" w:rsidRPr="00405F18">
        <w:rPr>
          <w:rFonts w:eastAsia="Calibri"/>
          <w:color w:val="000000" w:themeColor="text1"/>
          <w:kern w:val="24"/>
          <w:lang w:val="en-US"/>
        </w:rPr>
        <w:t xml:space="preserve"> treated for 24 h with 300 µM PA in the presence of 100 µM A769662 or 2 mM AICAR. Data are presented as means </w:t>
      </w:r>
      <w:r w:rsidR="00F941FC" w:rsidRPr="00405F18">
        <w:rPr>
          <w:rFonts w:eastAsiaTheme="minorEastAsia" w:hAnsi="+mn-ea"/>
          <w:color w:val="000000" w:themeColor="text1"/>
          <w:kern w:val="24"/>
          <w:lang w:val="en-US"/>
        </w:rPr>
        <w:t>±</w:t>
      </w:r>
      <w:r w:rsidR="00F941FC" w:rsidRPr="00405F18">
        <w:rPr>
          <w:rFonts w:eastAsiaTheme="minorEastAsia" w:hAnsi="+mn-ea"/>
          <w:color w:val="000000" w:themeColor="text1"/>
          <w:kern w:val="24"/>
          <w:lang w:val="en-US"/>
        </w:rPr>
        <w:t xml:space="preserve"> SEM</w:t>
      </w:r>
      <w:r w:rsidR="00F941FC" w:rsidRPr="00405F18">
        <w:rPr>
          <w:rFonts w:eastAsia="Calibri"/>
          <w:color w:val="000000" w:themeColor="text1"/>
          <w:kern w:val="24"/>
          <w:lang w:val="en-US"/>
        </w:rPr>
        <w:t xml:space="preserve"> in three independent biological experiments. Statistical analyses were performed by (</w:t>
      </w:r>
      <w:r w:rsidR="00F941FC" w:rsidRPr="00405F18">
        <w:rPr>
          <w:rFonts w:eastAsia="Calibri"/>
          <w:b/>
          <w:bCs/>
          <w:color w:val="000000" w:themeColor="text1"/>
          <w:kern w:val="24"/>
          <w:lang w:val="en-US"/>
        </w:rPr>
        <w:t>D</w:t>
      </w:r>
      <w:r w:rsidR="00F941FC" w:rsidRPr="00405F18">
        <w:rPr>
          <w:rFonts w:eastAsia="Calibri"/>
          <w:color w:val="000000" w:themeColor="text1"/>
          <w:kern w:val="24"/>
          <w:lang w:val="en-US"/>
        </w:rPr>
        <w:t>) one-way ANOVA followed by Dunnett’s post-hoc test or by (</w:t>
      </w:r>
      <w:r w:rsidR="00F941FC" w:rsidRPr="00405F18">
        <w:rPr>
          <w:rFonts w:eastAsia="Calibri"/>
          <w:b/>
          <w:bCs/>
          <w:color w:val="000000" w:themeColor="text1"/>
          <w:kern w:val="24"/>
          <w:lang w:val="en-US"/>
        </w:rPr>
        <w:t>B</w:t>
      </w:r>
      <w:r w:rsidR="00F941FC" w:rsidRPr="00405F18">
        <w:rPr>
          <w:rFonts w:eastAsia="Calibri"/>
          <w:color w:val="000000" w:themeColor="text1"/>
          <w:kern w:val="24"/>
          <w:lang w:val="en-US"/>
        </w:rPr>
        <w:t xml:space="preserve">, </w:t>
      </w:r>
      <w:r w:rsidR="00F941FC" w:rsidRPr="00405F18">
        <w:rPr>
          <w:rFonts w:eastAsia="Calibri"/>
          <w:b/>
          <w:bCs/>
          <w:color w:val="000000" w:themeColor="text1"/>
          <w:kern w:val="24"/>
          <w:lang w:val="en-US"/>
        </w:rPr>
        <w:t>C</w:t>
      </w:r>
      <w:r w:rsidR="00F941FC" w:rsidRPr="00405F18">
        <w:rPr>
          <w:rFonts w:eastAsia="Calibri"/>
          <w:color w:val="000000" w:themeColor="text1"/>
          <w:kern w:val="24"/>
          <w:lang w:val="en-US"/>
        </w:rPr>
        <w:t>) two-way ANOVA followed by Tukey’s</w:t>
      </w:r>
      <w:r w:rsidR="00F941FC" w:rsidRPr="00405F18">
        <w:rPr>
          <w:rFonts w:eastAsia="Calibri"/>
          <w:b/>
          <w:bCs/>
          <w:color w:val="000000" w:themeColor="text1"/>
          <w:kern w:val="24"/>
          <w:lang w:val="en-US"/>
        </w:rPr>
        <w:t xml:space="preserve"> </w:t>
      </w:r>
      <w:r w:rsidR="00F941FC" w:rsidRPr="00405F18">
        <w:rPr>
          <w:rFonts w:eastAsia="Calibri"/>
          <w:color w:val="000000" w:themeColor="text1"/>
          <w:kern w:val="24"/>
          <w:lang w:val="en-US"/>
        </w:rPr>
        <w:t xml:space="preserve">post-hoc test. </w:t>
      </w:r>
      <w:r w:rsidR="00F941FC" w:rsidRPr="00405F18">
        <w:rPr>
          <w:rFonts w:eastAsiaTheme="minorEastAsia"/>
          <w:color w:val="000000" w:themeColor="text1"/>
          <w:kern w:val="24"/>
          <w:lang w:val="en-US"/>
        </w:rPr>
        <w:t xml:space="preserve">*p ≤ 0.05; **p ≤ 0.01; ***p ≤ 0.001 in BSA or PA treatment </w:t>
      </w:r>
      <w:proofErr w:type="gramStart"/>
      <w:r w:rsidR="00F941FC" w:rsidRPr="00405F18">
        <w:rPr>
          <w:rFonts w:eastAsiaTheme="minorEastAsia"/>
          <w:color w:val="000000" w:themeColor="text1"/>
          <w:kern w:val="24"/>
          <w:lang w:val="en-US"/>
        </w:rPr>
        <w:t>groups; ###</w:t>
      </w:r>
      <w:proofErr w:type="gramEnd"/>
      <w:r w:rsidR="00F941FC" w:rsidRPr="00405F18">
        <w:rPr>
          <w:rFonts w:eastAsiaTheme="minorEastAsia"/>
          <w:color w:val="000000" w:themeColor="text1"/>
          <w:kern w:val="24"/>
          <w:lang w:val="en-US"/>
        </w:rPr>
        <w:t>p ≤ 0.001 between treatment groups.</w:t>
      </w:r>
    </w:p>
    <w:p w14:paraId="5DC82F87" w14:textId="3A2CA363" w:rsidR="007A3DB2" w:rsidRDefault="007A3DB2">
      <w:pPr>
        <w:rPr>
          <w:rFonts w:eastAsiaTheme="minorEastAsia"/>
          <w:color w:val="000000" w:themeColor="text1"/>
          <w:kern w:val="24"/>
          <w:lang w:val="en-US"/>
        </w:rPr>
      </w:pPr>
      <w:r>
        <w:rPr>
          <w:rFonts w:eastAsiaTheme="minorEastAsia"/>
          <w:color w:val="000000" w:themeColor="text1"/>
          <w:kern w:val="24"/>
          <w:lang w:val="en-US"/>
        </w:rPr>
        <w:br w:type="page"/>
      </w:r>
    </w:p>
    <w:p w14:paraId="5D84D844" w14:textId="09E99BD5" w:rsidR="00FA544B" w:rsidRPr="004D17F1" w:rsidRDefault="007A3DB2" w:rsidP="004D17F1">
      <w:pPr>
        <w:spacing w:line="276" w:lineRule="auto"/>
        <w:rPr>
          <w:rFonts w:eastAsiaTheme="minorEastAsia"/>
          <w:color w:val="000000" w:themeColor="text1"/>
          <w:kern w:val="24"/>
          <w:lang w:val="en-US"/>
        </w:rPr>
      </w:pPr>
      <w:r>
        <w:rPr>
          <w:rFonts w:eastAsiaTheme="minorEastAsia"/>
          <w:noProof/>
          <w:color w:val="000000" w:themeColor="text1"/>
          <w:kern w:val="24"/>
          <w:lang w:val="en-US"/>
        </w:rPr>
        <w:lastRenderedPageBreak/>
        <w:drawing>
          <wp:inline distT="0" distB="0" distL="0" distR="0" wp14:anchorId="620BE649" wp14:editId="25391799">
            <wp:extent cx="5759450" cy="8143875"/>
            <wp:effectExtent l="0" t="0" r="0" b="9525"/>
            <wp:docPr id="871624044" name="Image 10"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24044" name="Image 10" descr="Une image contenant texte, capture d’écran, diagramme&#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sectPr w:rsidR="00FA544B" w:rsidRPr="004D17F1" w:rsidSect="00FD0F1B">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466614" w14:textId="77777777" w:rsidR="00C00A15" w:rsidRDefault="00C00A15" w:rsidP="003949E9">
      <w:pPr>
        <w:spacing w:after="0" w:line="240" w:lineRule="auto"/>
      </w:pPr>
      <w:r>
        <w:separator/>
      </w:r>
    </w:p>
  </w:endnote>
  <w:endnote w:type="continuationSeparator" w:id="0">
    <w:p w14:paraId="31212E0B" w14:textId="77777777" w:rsidR="00C00A15" w:rsidRDefault="00C00A15" w:rsidP="00394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mn-ea">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271615" w14:textId="77777777" w:rsidR="00C00A15" w:rsidRDefault="00C00A15" w:rsidP="003949E9">
      <w:pPr>
        <w:spacing w:after="0" w:line="240" w:lineRule="auto"/>
      </w:pPr>
      <w:r>
        <w:separator/>
      </w:r>
    </w:p>
  </w:footnote>
  <w:footnote w:type="continuationSeparator" w:id="0">
    <w:p w14:paraId="37E17D4E" w14:textId="77777777" w:rsidR="00C00A15" w:rsidRDefault="00C00A15" w:rsidP="003949E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removePersonalInformation/>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jAzMDGwNLEwMTA2tDBS0lEKTi0uzszPAykwNaoFAE6zhMItAAAA"/>
  </w:docVars>
  <w:rsids>
    <w:rsidRoot w:val="008C5E7D"/>
    <w:rsid w:val="00000D54"/>
    <w:rsid w:val="00000E2B"/>
    <w:rsid w:val="00000F1E"/>
    <w:rsid w:val="0000128F"/>
    <w:rsid w:val="00002C03"/>
    <w:rsid w:val="0000633E"/>
    <w:rsid w:val="00006750"/>
    <w:rsid w:val="00006BC5"/>
    <w:rsid w:val="00006BD0"/>
    <w:rsid w:val="00012C66"/>
    <w:rsid w:val="0001485B"/>
    <w:rsid w:val="000151BD"/>
    <w:rsid w:val="000231CB"/>
    <w:rsid w:val="00023A65"/>
    <w:rsid w:val="00023BA0"/>
    <w:rsid w:val="00023EDE"/>
    <w:rsid w:val="00025052"/>
    <w:rsid w:val="00025345"/>
    <w:rsid w:val="00032ED6"/>
    <w:rsid w:val="00040EAE"/>
    <w:rsid w:val="00041183"/>
    <w:rsid w:val="00044E29"/>
    <w:rsid w:val="00046E06"/>
    <w:rsid w:val="000500E8"/>
    <w:rsid w:val="00054249"/>
    <w:rsid w:val="00054659"/>
    <w:rsid w:val="0005640F"/>
    <w:rsid w:val="00060FC4"/>
    <w:rsid w:val="000610C6"/>
    <w:rsid w:val="00063CC3"/>
    <w:rsid w:val="00063D30"/>
    <w:rsid w:val="00066C2B"/>
    <w:rsid w:val="00066CCE"/>
    <w:rsid w:val="0006729B"/>
    <w:rsid w:val="0007086A"/>
    <w:rsid w:val="00070927"/>
    <w:rsid w:val="000710E9"/>
    <w:rsid w:val="00071DC5"/>
    <w:rsid w:val="000721E5"/>
    <w:rsid w:val="00072D64"/>
    <w:rsid w:val="0007390A"/>
    <w:rsid w:val="00075497"/>
    <w:rsid w:val="0007601F"/>
    <w:rsid w:val="00076A43"/>
    <w:rsid w:val="00076E2A"/>
    <w:rsid w:val="0007766E"/>
    <w:rsid w:val="0008254F"/>
    <w:rsid w:val="00084F72"/>
    <w:rsid w:val="00087A89"/>
    <w:rsid w:val="000907AA"/>
    <w:rsid w:val="00090D80"/>
    <w:rsid w:val="000950B9"/>
    <w:rsid w:val="00095B30"/>
    <w:rsid w:val="000A01D9"/>
    <w:rsid w:val="000A117B"/>
    <w:rsid w:val="000A4C99"/>
    <w:rsid w:val="000A64E4"/>
    <w:rsid w:val="000A6C2B"/>
    <w:rsid w:val="000A7DD2"/>
    <w:rsid w:val="000B12B9"/>
    <w:rsid w:val="000B4482"/>
    <w:rsid w:val="000B4EE9"/>
    <w:rsid w:val="000B592D"/>
    <w:rsid w:val="000B6B97"/>
    <w:rsid w:val="000C311C"/>
    <w:rsid w:val="000C45D5"/>
    <w:rsid w:val="000C58B4"/>
    <w:rsid w:val="000C5FF8"/>
    <w:rsid w:val="000C66B5"/>
    <w:rsid w:val="000C6732"/>
    <w:rsid w:val="000D0BA7"/>
    <w:rsid w:val="000D0CE6"/>
    <w:rsid w:val="000D66EB"/>
    <w:rsid w:val="000E19CD"/>
    <w:rsid w:val="000E264C"/>
    <w:rsid w:val="000E266E"/>
    <w:rsid w:val="000E316D"/>
    <w:rsid w:val="000E55E3"/>
    <w:rsid w:val="000E5664"/>
    <w:rsid w:val="000E593B"/>
    <w:rsid w:val="000E6A63"/>
    <w:rsid w:val="000E7B61"/>
    <w:rsid w:val="000F091F"/>
    <w:rsid w:val="000F14D8"/>
    <w:rsid w:val="000F21D9"/>
    <w:rsid w:val="000F3203"/>
    <w:rsid w:val="000F3A6B"/>
    <w:rsid w:val="000F3D33"/>
    <w:rsid w:val="000F4494"/>
    <w:rsid w:val="000F56AB"/>
    <w:rsid w:val="000F5F4F"/>
    <w:rsid w:val="000F6582"/>
    <w:rsid w:val="000F69D6"/>
    <w:rsid w:val="000F7F51"/>
    <w:rsid w:val="00100826"/>
    <w:rsid w:val="0010261C"/>
    <w:rsid w:val="001035B9"/>
    <w:rsid w:val="00106DFB"/>
    <w:rsid w:val="00107591"/>
    <w:rsid w:val="00107C11"/>
    <w:rsid w:val="00113249"/>
    <w:rsid w:val="00114491"/>
    <w:rsid w:val="001151BC"/>
    <w:rsid w:val="00115AD9"/>
    <w:rsid w:val="00115CF4"/>
    <w:rsid w:val="00115DC0"/>
    <w:rsid w:val="001160C8"/>
    <w:rsid w:val="00116848"/>
    <w:rsid w:val="00121A56"/>
    <w:rsid w:val="00121E3B"/>
    <w:rsid w:val="0012396A"/>
    <w:rsid w:val="00125656"/>
    <w:rsid w:val="00125699"/>
    <w:rsid w:val="00127390"/>
    <w:rsid w:val="0013051C"/>
    <w:rsid w:val="0013263A"/>
    <w:rsid w:val="00132F13"/>
    <w:rsid w:val="00133763"/>
    <w:rsid w:val="00133982"/>
    <w:rsid w:val="001341A2"/>
    <w:rsid w:val="001370B5"/>
    <w:rsid w:val="00137300"/>
    <w:rsid w:val="001417EF"/>
    <w:rsid w:val="00143710"/>
    <w:rsid w:val="00144980"/>
    <w:rsid w:val="00146A7C"/>
    <w:rsid w:val="00147768"/>
    <w:rsid w:val="00147839"/>
    <w:rsid w:val="001479ED"/>
    <w:rsid w:val="00150306"/>
    <w:rsid w:val="00152B7A"/>
    <w:rsid w:val="00155DA5"/>
    <w:rsid w:val="0015670F"/>
    <w:rsid w:val="00161C36"/>
    <w:rsid w:val="00162F8A"/>
    <w:rsid w:val="0017097C"/>
    <w:rsid w:val="00171838"/>
    <w:rsid w:val="00172E5A"/>
    <w:rsid w:val="0017364E"/>
    <w:rsid w:val="001738F4"/>
    <w:rsid w:val="00176BC3"/>
    <w:rsid w:val="00177340"/>
    <w:rsid w:val="00177CA9"/>
    <w:rsid w:val="00177CC0"/>
    <w:rsid w:val="00180059"/>
    <w:rsid w:val="00180B91"/>
    <w:rsid w:val="00180CF1"/>
    <w:rsid w:val="001861CE"/>
    <w:rsid w:val="00186B0A"/>
    <w:rsid w:val="001904DC"/>
    <w:rsid w:val="001924B8"/>
    <w:rsid w:val="0019254D"/>
    <w:rsid w:val="0019701A"/>
    <w:rsid w:val="0019786B"/>
    <w:rsid w:val="001A0C37"/>
    <w:rsid w:val="001A33CD"/>
    <w:rsid w:val="001A4456"/>
    <w:rsid w:val="001A4CB1"/>
    <w:rsid w:val="001A5640"/>
    <w:rsid w:val="001A6A0A"/>
    <w:rsid w:val="001A6B78"/>
    <w:rsid w:val="001A7E4F"/>
    <w:rsid w:val="001B00D3"/>
    <w:rsid w:val="001B224B"/>
    <w:rsid w:val="001B2E8A"/>
    <w:rsid w:val="001B557A"/>
    <w:rsid w:val="001B7483"/>
    <w:rsid w:val="001C01C8"/>
    <w:rsid w:val="001C1A52"/>
    <w:rsid w:val="001C1C28"/>
    <w:rsid w:val="001C3C10"/>
    <w:rsid w:val="001C3FCF"/>
    <w:rsid w:val="001C5A9C"/>
    <w:rsid w:val="001C6D26"/>
    <w:rsid w:val="001C71D7"/>
    <w:rsid w:val="001D0F84"/>
    <w:rsid w:val="001D1999"/>
    <w:rsid w:val="001D19F5"/>
    <w:rsid w:val="001D1F1D"/>
    <w:rsid w:val="001D2576"/>
    <w:rsid w:val="001D3E74"/>
    <w:rsid w:val="001D5B55"/>
    <w:rsid w:val="001E1E25"/>
    <w:rsid w:val="001E3E8E"/>
    <w:rsid w:val="001E66FE"/>
    <w:rsid w:val="001F2627"/>
    <w:rsid w:val="001F3417"/>
    <w:rsid w:val="001F4012"/>
    <w:rsid w:val="00200B12"/>
    <w:rsid w:val="00202C45"/>
    <w:rsid w:val="00202D01"/>
    <w:rsid w:val="002042C8"/>
    <w:rsid w:val="00204BB4"/>
    <w:rsid w:val="00205162"/>
    <w:rsid w:val="00210757"/>
    <w:rsid w:val="00210D73"/>
    <w:rsid w:val="00211011"/>
    <w:rsid w:val="002111D3"/>
    <w:rsid w:val="0021258E"/>
    <w:rsid w:val="00212EFB"/>
    <w:rsid w:val="00213F94"/>
    <w:rsid w:val="002155BE"/>
    <w:rsid w:val="002155CD"/>
    <w:rsid w:val="00215FC2"/>
    <w:rsid w:val="00217128"/>
    <w:rsid w:val="002174B6"/>
    <w:rsid w:val="0022065C"/>
    <w:rsid w:val="002224AF"/>
    <w:rsid w:val="00226661"/>
    <w:rsid w:val="00227352"/>
    <w:rsid w:val="002349B3"/>
    <w:rsid w:val="00235363"/>
    <w:rsid w:val="0023538A"/>
    <w:rsid w:val="002353DA"/>
    <w:rsid w:val="00235801"/>
    <w:rsid w:val="002359C0"/>
    <w:rsid w:val="0023750E"/>
    <w:rsid w:val="002377E5"/>
    <w:rsid w:val="00240005"/>
    <w:rsid w:val="00241AD8"/>
    <w:rsid w:val="002500AB"/>
    <w:rsid w:val="002539EF"/>
    <w:rsid w:val="0025471B"/>
    <w:rsid w:val="0025581E"/>
    <w:rsid w:val="002568C5"/>
    <w:rsid w:val="002579D0"/>
    <w:rsid w:val="00262A26"/>
    <w:rsid w:val="00264F8C"/>
    <w:rsid w:val="002650A9"/>
    <w:rsid w:val="002650FA"/>
    <w:rsid w:val="00265770"/>
    <w:rsid w:val="002658E5"/>
    <w:rsid w:val="00265A56"/>
    <w:rsid w:val="0026635C"/>
    <w:rsid w:val="00270044"/>
    <w:rsid w:val="00271A63"/>
    <w:rsid w:val="00274708"/>
    <w:rsid w:val="00274B30"/>
    <w:rsid w:val="00275057"/>
    <w:rsid w:val="00275E9E"/>
    <w:rsid w:val="00280AB6"/>
    <w:rsid w:val="00280BE9"/>
    <w:rsid w:val="00282A3E"/>
    <w:rsid w:val="0028430F"/>
    <w:rsid w:val="00291A94"/>
    <w:rsid w:val="00292B19"/>
    <w:rsid w:val="00292DF1"/>
    <w:rsid w:val="00294C6C"/>
    <w:rsid w:val="00295CE2"/>
    <w:rsid w:val="00295E10"/>
    <w:rsid w:val="002A13F3"/>
    <w:rsid w:val="002A3868"/>
    <w:rsid w:val="002B101E"/>
    <w:rsid w:val="002B3697"/>
    <w:rsid w:val="002B42A0"/>
    <w:rsid w:val="002B6085"/>
    <w:rsid w:val="002B6EE0"/>
    <w:rsid w:val="002C0215"/>
    <w:rsid w:val="002C0A93"/>
    <w:rsid w:val="002C2047"/>
    <w:rsid w:val="002C320A"/>
    <w:rsid w:val="002C6C95"/>
    <w:rsid w:val="002D1192"/>
    <w:rsid w:val="002D1A9B"/>
    <w:rsid w:val="002D1DEF"/>
    <w:rsid w:val="002E00D4"/>
    <w:rsid w:val="002E06EE"/>
    <w:rsid w:val="002E1069"/>
    <w:rsid w:val="002E29C2"/>
    <w:rsid w:val="002E4971"/>
    <w:rsid w:val="002E6955"/>
    <w:rsid w:val="002E73F2"/>
    <w:rsid w:val="002E7669"/>
    <w:rsid w:val="002E76AA"/>
    <w:rsid w:val="002F031B"/>
    <w:rsid w:val="002F14BF"/>
    <w:rsid w:val="002F1D02"/>
    <w:rsid w:val="002F2407"/>
    <w:rsid w:val="002F375D"/>
    <w:rsid w:val="002F7C78"/>
    <w:rsid w:val="002F7F2A"/>
    <w:rsid w:val="00301E02"/>
    <w:rsid w:val="0030391F"/>
    <w:rsid w:val="00305454"/>
    <w:rsid w:val="00306279"/>
    <w:rsid w:val="00307C2F"/>
    <w:rsid w:val="0031244A"/>
    <w:rsid w:val="00312B68"/>
    <w:rsid w:val="00313458"/>
    <w:rsid w:val="00313C61"/>
    <w:rsid w:val="00313CE1"/>
    <w:rsid w:val="00314F9F"/>
    <w:rsid w:val="003155A0"/>
    <w:rsid w:val="0031597F"/>
    <w:rsid w:val="00316010"/>
    <w:rsid w:val="00321C8C"/>
    <w:rsid w:val="00324072"/>
    <w:rsid w:val="00326E7C"/>
    <w:rsid w:val="003272BB"/>
    <w:rsid w:val="00333FAF"/>
    <w:rsid w:val="00333FD1"/>
    <w:rsid w:val="0033472D"/>
    <w:rsid w:val="00334E86"/>
    <w:rsid w:val="00335151"/>
    <w:rsid w:val="00337436"/>
    <w:rsid w:val="00340EF4"/>
    <w:rsid w:val="00341322"/>
    <w:rsid w:val="0034269A"/>
    <w:rsid w:val="00342B35"/>
    <w:rsid w:val="00344782"/>
    <w:rsid w:val="00344A78"/>
    <w:rsid w:val="00344D52"/>
    <w:rsid w:val="00345DED"/>
    <w:rsid w:val="003462FB"/>
    <w:rsid w:val="00346B41"/>
    <w:rsid w:val="00350A0B"/>
    <w:rsid w:val="00351C21"/>
    <w:rsid w:val="003524E9"/>
    <w:rsid w:val="00353034"/>
    <w:rsid w:val="00353371"/>
    <w:rsid w:val="00353F6C"/>
    <w:rsid w:val="00354438"/>
    <w:rsid w:val="00354B0D"/>
    <w:rsid w:val="003567B3"/>
    <w:rsid w:val="00357211"/>
    <w:rsid w:val="00357530"/>
    <w:rsid w:val="003601F8"/>
    <w:rsid w:val="003622ED"/>
    <w:rsid w:val="00362664"/>
    <w:rsid w:val="003631B9"/>
    <w:rsid w:val="00363597"/>
    <w:rsid w:val="00364FCA"/>
    <w:rsid w:val="00365F54"/>
    <w:rsid w:val="003727E9"/>
    <w:rsid w:val="00374A0B"/>
    <w:rsid w:val="00375DA2"/>
    <w:rsid w:val="00377586"/>
    <w:rsid w:val="00381127"/>
    <w:rsid w:val="003828A8"/>
    <w:rsid w:val="00382C2B"/>
    <w:rsid w:val="003834B5"/>
    <w:rsid w:val="00383822"/>
    <w:rsid w:val="00386710"/>
    <w:rsid w:val="00387869"/>
    <w:rsid w:val="00390B05"/>
    <w:rsid w:val="00392187"/>
    <w:rsid w:val="003929CE"/>
    <w:rsid w:val="003949E9"/>
    <w:rsid w:val="00394C97"/>
    <w:rsid w:val="00394FC2"/>
    <w:rsid w:val="00397322"/>
    <w:rsid w:val="003A093C"/>
    <w:rsid w:val="003A0F5C"/>
    <w:rsid w:val="003A1EF9"/>
    <w:rsid w:val="003A24B1"/>
    <w:rsid w:val="003A47F7"/>
    <w:rsid w:val="003A5E03"/>
    <w:rsid w:val="003B1AF8"/>
    <w:rsid w:val="003B3798"/>
    <w:rsid w:val="003B4068"/>
    <w:rsid w:val="003B5B47"/>
    <w:rsid w:val="003B6541"/>
    <w:rsid w:val="003B6CA0"/>
    <w:rsid w:val="003B7DEE"/>
    <w:rsid w:val="003B7E57"/>
    <w:rsid w:val="003B7F3A"/>
    <w:rsid w:val="003C1B97"/>
    <w:rsid w:val="003C1EEA"/>
    <w:rsid w:val="003C24A5"/>
    <w:rsid w:val="003C6A3D"/>
    <w:rsid w:val="003D2ED3"/>
    <w:rsid w:val="003D54C2"/>
    <w:rsid w:val="003E0E19"/>
    <w:rsid w:val="003E3060"/>
    <w:rsid w:val="003E364C"/>
    <w:rsid w:val="003E750D"/>
    <w:rsid w:val="003F008B"/>
    <w:rsid w:val="003F0551"/>
    <w:rsid w:val="003F22AA"/>
    <w:rsid w:val="003F33E6"/>
    <w:rsid w:val="003F4FA7"/>
    <w:rsid w:val="004003FB"/>
    <w:rsid w:val="00400832"/>
    <w:rsid w:val="00400C04"/>
    <w:rsid w:val="00403930"/>
    <w:rsid w:val="00404270"/>
    <w:rsid w:val="00405F18"/>
    <w:rsid w:val="00406258"/>
    <w:rsid w:val="00406EBE"/>
    <w:rsid w:val="00410D83"/>
    <w:rsid w:val="00413D4D"/>
    <w:rsid w:val="00414F53"/>
    <w:rsid w:val="00415965"/>
    <w:rsid w:val="004203C2"/>
    <w:rsid w:val="004210E5"/>
    <w:rsid w:val="0042146B"/>
    <w:rsid w:val="00421E07"/>
    <w:rsid w:val="00422F3C"/>
    <w:rsid w:val="00424AB2"/>
    <w:rsid w:val="004300A7"/>
    <w:rsid w:val="00432051"/>
    <w:rsid w:val="004329C1"/>
    <w:rsid w:val="00437E67"/>
    <w:rsid w:val="00440B6F"/>
    <w:rsid w:val="00441F7B"/>
    <w:rsid w:val="00442D33"/>
    <w:rsid w:val="00442E3E"/>
    <w:rsid w:val="00443C1F"/>
    <w:rsid w:val="00444A04"/>
    <w:rsid w:val="00444AF9"/>
    <w:rsid w:val="00447191"/>
    <w:rsid w:val="00451012"/>
    <w:rsid w:val="004523D6"/>
    <w:rsid w:val="00452613"/>
    <w:rsid w:val="0045426B"/>
    <w:rsid w:val="0045445B"/>
    <w:rsid w:val="0045752D"/>
    <w:rsid w:val="004606E4"/>
    <w:rsid w:val="004610DF"/>
    <w:rsid w:val="004613EA"/>
    <w:rsid w:val="00461642"/>
    <w:rsid w:val="00463E97"/>
    <w:rsid w:val="004661D4"/>
    <w:rsid w:val="0046780C"/>
    <w:rsid w:val="00472A9B"/>
    <w:rsid w:val="0047342C"/>
    <w:rsid w:val="0047453D"/>
    <w:rsid w:val="0047639F"/>
    <w:rsid w:val="00477B2C"/>
    <w:rsid w:val="00480099"/>
    <w:rsid w:val="00480337"/>
    <w:rsid w:val="0048327A"/>
    <w:rsid w:val="00483D65"/>
    <w:rsid w:val="00484A33"/>
    <w:rsid w:val="00493822"/>
    <w:rsid w:val="004A130F"/>
    <w:rsid w:val="004A1501"/>
    <w:rsid w:val="004A2BDA"/>
    <w:rsid w:val="004A316B"/>
    <w:rsid w:val="004A3CE1"/>
    <w:rsid w:val="004A46EE"/>
    <w:rsid w:val="004A5C43"/>
    <w:rsid w:val="004B0524"/>
    <w:rsid w:val="004B13A1"/>
    <w:rsid w:val="004B217D"/>
    <w:rsid w:val="004B268A"/>
    <w:rsid w:val="004B2EF1"/>
    <w:rsid w:val="004B51A1"/>
    <w:rsid w:val="004B52F1"/>
    <w:rsid w:val="004B5E6E"/>
    <w:rsid w:val="004B6B50"/>
    <w:rsid w:val="004B708C"/>
    <w:rsid w:val="004B7E82"/>
    <w:rsid w:val="004C03B4"/>
    <w:rsid w:val="004C3263"/>
    <w:rsid w:val="004C573C"/>
    <w:rsid w:val="004D03B6"/>
    <w:rsid w:val="004D0465"/>
    <w:rsid w:val="004D0933"/>
    <w:rsid w:val="004D0D76"/>
    <w:rsid w:val="004D17F1"/>
    <w:rsid w:val="004D419A"/>
    <w:rsid w:val="004D474E"/>
    <w:rsid w:val="004D652F"/>
    <w:rsid w:val="004D7D10"/>
    <w:rsid w:val="004E261E"/>
    <w:rsid w:val="004E2F64"/>
    <w:rsid w:val="004E5B65"/>
    <w:rsid w:val="004E7CCD"/>
    <w:rsid w:val="004F1951"/>
    <w:rsid w:val="004F5E2F"/>
    <w:rsid w:val="004F6796"/>
    <w:rsid w:val="004F78E7"/>
    <w:rsid w:val="004F7B12"/>
    <w:rsid w:val="005005CB"/>
    <w:rsid w:val="00501087"/>
    <w:rsid w:val="00502A0C"/>
    <w:rsid w:val="00502C0F"/>
    <w:rsid w:val="00502CFF"/>
    <w:rsid w:val="00502E7F"/>
    <w:rsid w:val="005046D8"/>
    <w:rsid w:val="00507086"/>
    <w:rsid w:val="005072D3"/>
    <w:rsid w:val="00510397"/>
    <w:rsid w:val="005105DC"/>
    <w:rsid w:val="00511899"/>
    <w:rsid w:val="00512F79"/>
    <w:rsid w:val="00514960"/>
    <w:rsid w:val="0051564C"/>
    <w:rsid w:val="005200FE"/>
    <w:rsid w:val="00522E3D"/>
    <w:rsid w:val="005231A3"/>
    <w:rsid w:val="00524540"/>
    <w:rsid w:val="005249FA"/>
    <w:rsid w:val="0052529B"/>
    <w:rsid w:val="0052587D"/>
    <w:rsid w:val="00530FF3"/>
    <w:rsid w:val="00531078"/>
    <w:rsid w:val="00531EF0"/>
    <w:rsid w:val="00533ED1"/>
    <w:rsid w:val="0053406F"/>
    <w:rsid w:val="00536215"/>
    <w:rsid w:val="0053676E"/>
    <w:rsid w:val="0054008E"/>
    <w:rsid w:val="0054057B"/>
    <w:rsid w:val="00540CE0"/>
    <w:rsid w:val="00542988"/>
    <w:rsid w:val="00546083"/>
    <w:rsid w:val="005479FB"/>
    <w:rsid w:val="0055032E"/>
    <w:rsid w:val="00553111"/>
    <w:rsid w:val="00554569"/>
    <w:rsid w:val="00554A88"/>
    <w:rsid w:val="00557345"/>
    <w:rsid w:val="00560C39"/>
    <w:rsid w:val="00561F87"/>
    <w:rsid w:val="00565E01"/>
    <w:rsid w:val="00570166"/>
    <w:rsid w:val="0057128A"/>
    <w:rsid w:val="005729B9"/>
    <w:rsid w:val="00573BFE"/>
    <w:rsid w:val="00574B88"/>
    <w:rsid w:val="0057605F"/>
    <w:rsid w:val="005816DD"/>
    <w:rsid w:val="00581D04"/>
    <w:rsid w:val="00582400"/>
    <w:rsid w:val="00582E2A"/>
    <w:rsid w:val="00583F2A"/>
    <w:rsid w:val="00584DFE"/>
    <w:rsid w:val="005906B8"/>
    <w:rsid w:val="00591C86"/>
    <w:rsid w:val="00593C38"/>
    <w:rsid w:val="00595018"/>
    <w:rsid w:val="005951A5"/>
    <w:rsid w:val="005A3481"/>
    <w:rsid w:val="005A3CC3"/>
    <w:rsid w:val="005A4422"/>
    <w:rsid w:val="005A5559"/>
    <w:rsid w:val="005A6E77"/>
    <w:rsid w:val="005B01B7"/>
    <w:rsid w:val="005B1947"/>
    <w:rsid w:val="005B5844"/>
    <w:rsid w:val="005B69CD"/>
    <w:rsid w:val="005B7222"/>
    <w:rsid w:val="005B7865"/>
    <w:rsid w:val="005C1A4B"/>
    <w:rsid w:val="005C464E"/>
    <w:rsid w:val="005C50A7"/>
    <w:rsid w:val="005C56C0"/>
    <w:rsid w:val="005C5983"/>
    <w:rsid w:val="005C74F6"/>
    <w:rsid w:val="005D00E5"/>
    <w:rsid w:val="005D043E"/>
    <w:rsid w:val="005D119D"/>
    <w:rsid w:val="005D3CEA"/>
    <w:rsid w:val="005D4461"/>
    <w:rsid w:val="005D5734"/>
    <w:rsid w:val="005D6804"/>
    <w:rsid w:val="005D78D7"/>
    <w:rsid w:val="005E043F"/>
    <w:rsid w:val="005E3AA0"/>
    <w:rsid w:val="005E69A0"/>
    <w:rsid w:val="005E7E74"/>
    <w:rsid w:val="005F015D"/>
    <w:rsid w:val="005F0F40"/>
    <w:rsid w:val="005F116F"/>
    <w:rsid w:val="005F1E58"/>
    <w:rsid w:val="005F410B"/>
    <w:rsid w:val="005F4D5C"/>
    <w:rsid w:val="005F6ACA"/>
    <w:rsid w:val="005F7B15"/>
    <w:rsid w:val="006016C3"/>
    <w:rsid w:val="00601C63"/>
    <w:rsid w:val="00602359"/>
    <w:rsid w:val="0060438C"/>
    <w:rsid w:val="00604E7C"/>
    <w:rsid w:val="00605472"/>
    <w:rsid w:val="006056B6"/>
    <w:rsid w:val="00606290"/>
    <w:rsid w:val="00606355"/>
    <w:rsid w:val="00611157"/>
    <w:rsid w:val="00611794"/>
    <w:rsid w:val="006141E2"/>
    <w:rsid w:val="00620766"/>
    <w:rsid w:val="00620E48"/>
    <w:rsid w:val="00626BFA"/>
    <w:rsid w:val="00627052"/>
    <w:rsid w:val="006324F2"/>
    <w:rsid w:val="0063335B"/>
    <w:rsid w:val="0063640D"/>
    <w:rsid w:val="00640335"/>
    <w:rsid w:val="00642BB7"/>
    <w:rsid w:val="00646710"/>
    <w:rsid w:val="006501F1"/>
    <w:rsid w:val="00651D01"/>
    <w:rsid w:val="0065296A"/>
    <w:rsid w:val="00653B16"/>
    <w:rsid w:val="0065514B"/>
    <w:rsid w:val="006618D4"/>
    <w:rsid w:val="00662929"/>
    <w:rsid w:val="00667912"/>
    <w:rsid w:val="00670854"/>
    <w:rsid w:val="006709F8"/>
    <w:rsid w:val="00675CA9"/>
    <w:rsid w:val="006802F9"/>
    <w:rsid w:val="00680480"/>
    <w:rsid w:val="006831AE"/>
    <w:rsid w:val="00685B4A"/>
    <w:rsid w:val="00686A4C"/>
    <w:rsid w:val="00686B36"/>
    <w:rsid w:val="00691C69"/>
    <w:rsid w:val="00691FF4"/>
    <w:rsid w:val="00692BF2"/>
    <w:rsid w:val="006A0431"/>
    <w:rsid w:val="006A07FE"/>
    <w:rsid w:val="006A0CFD"/>
    <w:rsid w:val="006A1509"/>
    <w:rsid w:val="006A43E1"/>
    <w:rsid w:val="006A4732"/>
    <w:rsid w:val="006A66A4"/>
    <w:rsid w:val="006A7519"/>
    <w:rsid w:val="006A7D56"/>
    <w:rsid w:val="006A7D83"/>
    <w:rsid w:val="006A7E3D"/>
    <w:rsid w:val="006B2C44"/>
    <w:rsid w:val="006B40BC"/>
    <w:rsid w:val="006B40CF"/>
    <w:rsid w:val="006B44A5"/>
    <w:rsid w:val="006B52E2"/>
    <w:rsid w:val="006C115C"/>
    <w:rsid w:val="006C378C"/>
    <w:rsid w:val="006C51FB"/>
    <w:rsid w:val="006C733B"/>
    <w:rsid w:val="006C773A"/>
    <w:rsid w:val="006D07DB"/>
    <w:rsid w:val="006D1E2D"/>
    <w:rsid w:val="006D2061"/>
    <w:rsid w:val="006D2527"/>
    <w:rsid w:val="006D46CC"/>
    <w:rsid w:val="006D55C4"/>
    <w:rsid w:val="006D6038"/>
    <w:rsid w:val="006D6A0C"/>
    <w:rsid w:val="006D6D7F"/>
    <w:rsid w:val="006E0BB9"/>
    <w:rsid w:val="006E0BD3"/>
    <w:rsid w:val="006E1B23"/>
    <w:rsid w:val="006E1FA3"/>
    <w:rsid w:val="006E22EB"/>
    <w:rsid w:val="006E53B6"/>
    <w:rsid w:val="006E7705"/>
    <w:rsid w:val="006F1C29"/>
    <w:rsid w:val="006F2CC8"/>
    <w:rsid w:val="006F68DE"/>
    <w:rsid w:val="006F7F0A"/>
    <w:rsid w:val="007000F6"/>
    <w:rsid w:val="007005AD"/>
    <w:rsid w:val="00700FEB"/>
    <w:rsid w:val="0070149B"/>
    <w:rsid w:val="00701700"/>
    <w:rsid w:val="00704144"/>
    <w:rsid w:val="00704505"/>
    <w:rsid w:val="00707E22"/>
    <w:rsid w:val="007110A4"/>
    <w:rsid w:val="007123E7"/>
    <w:rsid w:val="00713052"/>
    <w:rsid w:val="00714001"/>
    <w:rsid w:val="007143F2"/>
    <w:rsid w:val="00716570"/>
    <w:rsid w:val="0072501F"/>
    <w:rsid w:val="0072610C"/>
    <w:rsid w:val="007277CC"/>
    <w:rsid w:val="00732003"/>
    <w:rsid w:val="007325EA"/>
    <w:rsid w:val="00732AAA"/>
    <w:rsid w:val="00732F9B"/>
    <w:rsid w:val="0073377A"/>
    <w:rsid w:val="00733F39"/>
    <w:rsid w:val="0073648F"/>
    <w:rsid w:val="00736597"/>
    <w:rsid w:val="00737DBD"/>
    <w:rsid w:val="00740AAE"/>
    <w:rsid w:val="007422FB"/>
    <w:rsid w:val="0074358C"/>
    <w:rsid w:val="0074377D"/>
    <w:rsid w:val="00743B24"/>
    <w:rsid w:val="00750A3F"/>
    <w:rsid w:val="0075169F"/>
    <w:rsid w:val="00751710"/>
    <w:rsid w:val="007528D4"/>
    <w:rsid w:val="007546BF"/>
    <w:rsid w:val="0075532F"/>
    <w:rsid w:val="00756734"/>
    <w:rsid w:val="00760499"/>
    <w:rsid w:val="00761E97"/>
    <w:rsid w:val="00763345"/>
    <w:rsid w:val="007646ED"/>
    <w:rsid w:val="00765801"/>
    <w:rsid w:val="00766F0F"/>
    <w:rsid w:val="00770151"/>
    <w:rsid w:val="00774220"/>
    <w:rsid w:val="00774DF4"/>
    <w:rsid w:val="00777346"/>
    <w:rsid w:val="00781627"/>
    <w:rsid w:val="007835B6"/>
    <w:rsid w:val="00785722"/>
    <w:rsid w:val="0079067C"/>
    <w:rsid w:val="00790B24"/>
    <w:rsid w:val="00791540"/>
    <w:rsid w:val="00793639"/>
    <w:rsid w:val="007A0401"/>
    <w:rsid w:val="007A3DB2"/>
    <w:rsid w:val="007A54A6"/>
    <w:rsid w:val="007A6C79"/>
    <w:rsid w:val="007B20DC"/>
    <w:rsid w:val="007B2229"/>
    <w:rsid w:val="007B3724"/>
    <w:rsid w:val="007B661C"/>
    <w:rsid w:val="007C0D5C"/>
    <w:rsid w:val="007C1115"/>
    <w:rsid w:val="007C7DA1"/>
    <w:rsid w:val="007D1842"/>
    <w:rsid w:val="007D2B8F"/>
    <w:rsid w:val="007D5783"/>
    <w:rsid w:val="007D6B8A"/>
    <w:rsid w:val="007E2082"/>
    <w:rsid w:val="007E2290"/>
    <w:rsid w:val="007E38FF"/>
    <w:rsid w:val="007E656A"/>
    <w:rsid w:val="007E6D2C"/>
    <w:rsid w:val="007E7879"/>
    <w:rsid w:val="007F19FA"/>
    <w:rsid w:val="007F20CC"/>
    <w:rsid w:val="007F3445"/>
    <w:rsid w:val="00804015"/>
    <w:rsid w:val="00804F39"/>
    <w:rsid w:val="00806F81"/>
    <w:rsid w:val="0081048C"/>
    <w:rsid w:val="0081158F"/>
    <w:rsid w:val="00813CFE"/>
    <w:rsid w:val="00814A80"/>
    <w:rsid w:val="00817468"/>
    <w:rsid w:val="008206C8"/>
    <w:rsid w:val="00822D73"/>
    <w:rsid w:val="00823EBF"/>
    <w:rsid w:val="008252AB"/>
    <w:rsid w:val="00825306"/>
    <w:rsid w:val="00826A2C"/>
    <w:rsid w:val="008275E5"/>
    <w:rsid w:val="00830743"/>
    <w:rsid w:val="00830FA9"/>
    <w:rsid w:val="00832169"/>
    <w:rsid w:val="008344A5"/>
    <w:rsid w:val="00842DAB"/>
    <w:rsid w:val="008432AA"/>
    <w:rsid w:val="00844C5E"/>
    <w:rsid w:val="008454AD"/>
    <w:rsid w:val="00845A84"/>
    <w:rsid w:val="008461A9"/>
    <w:rsid w:val="008463DA"/>
    <w:rsid w:val="00846E76"/>
    <w:rsid w:val="008476F9"/>
    <w:rsid w:val="0085291B"/>
    <w:rsid w:val="00852C8F"/>
    <w:rsid w:val="008558C6"/>
    <w:rsid w:val="008564D9"/>
    <w:rsid w:val="00856A3C"/>
    <w:rsid w:val="0086015D"/>
    <w:rsid w:val="008648EE"/>
    <w:rsid w:val="008701D5"/>
    <w:rsid w:val="00870961"/>
    <w:rsid w:val="00870E1A"/>
    <w:rsid w:val="00871000"/>
    <w:rsid w:val="00872D7F"/>
    <w:rsid w:val="00872E5F"/>
    <w:rsid w:val="008735BA"/>
    <w:rsid w:val="0087363D"/>
    <w:rsid w:val="00876DA3"/>
    <w:rsid w:val="00881E69"/>
    <w:rsid w:val="00881F06"/>
    <w:rsid w:val="00882983"/>
    <w:rsid w:val="00885931"/>
    <w:rsid w:val="008872D9"/>
    <w:rsid w:val="00892F2E"/>
    <w:rsid w:val="00893C8E"/>
    <w:rsid w:val="00895329"/>
    <w:rsid w:val="00895866"/>
    <w:rsid w:val="008A1295"/>
    <w:rsid w:val="008A3E45"/>
    <w:rsid w:val="008A48CE"/>
    <w:rsid w:val="008A62EF"/>
    <w:rsid w:val="008A7A37"/>
    <w:rsid w:val="008A7E7D"/>
    <w:rsid w:val="008B026C"/>
    <w:rsid w:val="008B1FC4"/>
    <w:rsid w:val="008B2B78"/>
    <w:rsid w:val="008B358A"/>
    <w:rsid w:val="008B3BB6"/>
    <w:rsid w:val="008B5FA6"/>
    <w:rsid w:val="008B621E"/>
    <w:rsid w:val="008B6991"/>
    <w:rsid w:val="008B6EDC"/>
    <w:rsid w:val="008B72EE"/>
    <w:rsid w:val="008C45D3"/>
    <w:rsid w:val="008C5E7D"/>
    <w:rsid w:val="008C7A29"/>
    <w:rsid w:val="008D117F"/>
    <w:rsid w:val="008D1D8B"/>
    <w:rsid w:val="008D1E3F"/>
    <w:rsid w:val="008D2902"/>
    <w:rsid w:val="008D3449"/>
    <w:rsid w:val="008D388B"/>
    <w:rsid w:val="008D4698"/>
    <w:rsid w:val="008E018B"/>
    <w:rsid w:val="008E2B6B"/>
    <w:rsid w:val="008F0B46"/>
    <w:rsid w:val="008F36ED"/>
    <w:rsid w:val="0090015C"/>
    <w:rsid w:val="009009C0"/>
    <w:rsid w:val="00910797"/>
    <w:rsid w:val="009131CF"/>
    <w:rsid w:val="00913D34"/>
    <w:rsid w:val="0091402B"/>
    <w:rsid w:val="00914427"/>
    <w:rsid w:val="00914D20"/>
    <w:rsid w:val="00914FAC"/>
    <w:rsid w:val="00917435"/>
    <w:rsid w:val="009179F2"/>
    <w:rsid w:val="00917C87"/>
    <w:rsid w:val="00920C3D"/>
    <w:rsid w:val="00922E0F"/>
    <w:rsid w:val="00924115"/>
    <w:rsid w:val="00925764"/>
    <w:rsid w:val="00926BC6"/>
    <w:rsid w:val="00927630"/>
    <w:rsid w:val="009309B1"/>
    <w:rsid w:val="00931485"/>
    <w:rsid w:val="00931877"/>
    <w:rsid w:val="0093267F"/>
    <w:rsid w:val="009326CD"/>
    <w:rsid w:val="009333DC"/>
    <w:rsid w:val="00934E3D"/>
    <w:rsid w:val="009356B8"/>
    <w:rsid w:val="0093616F"/>
    <w:rsid w:val="00937DB6"/>
    <w:rsid w:val="00940EC6"/>
    <w:rsid w:val="009421A1"/>
    <w:rsid w:val="00942569"/>
    <w:rsid w:val="0094273B"/>
    <w:rsid w:val="00946A0F"/>
    <w:rsid w:val="00946F1F"/>
    <w:rsid w:val="00954622"/>
    <w:rsid w:val="00954E70"/>
    <w:rsid w:val="00954EC0"/>
    <w:rsid w:val="00955FA2"/>
    <w:rsid w:val="009564E2"/>
    <w:rsid w:val="00962FB3"/>
    <w:rsid w:val="00963F9E"/>
    <w:rsid w:val="009656AB"/>
    <w:rsid w:val="00966359"/>
    <w:rsid w:val="009670B9"/>
    <w:rsid w:val="009670C1"/>
    <w:rsid w:val="009674C9"/>
    <w:rsid w:val="009711CC"/>
    <w:rsid w:val="009725BD"/>
    <w:rsid w:val="00975582"/>
    <w:rsid w:val="00977033"/>
    <w:rsid w:val="00977097"/>
    <w:rsid w:val="00981E22"/>
    <w:rsid w:val="00983235"/>
    <w:rsid w:val="00983778"/>
    <w:rsid w:val="00983AF6"/>
    <w:rsid w:val="0098489C"/>
    <w:rsid w:val="00984DE2"/>
    <w:rsid w:val="00986026"/>
    <w:rsid w:val="00986110"/>
    <w:rsid w:val="009900FA"/>
    <w:rsid w:val="00991AA8"/>
    <w:rsid w:val="009923F8"/>
    <w:rsid w:val="00994182"/>
    <w:rsid w:val="009946E9"/>
    <w:rsid w:val="00997719"/>
    <w:rsid w:val="009978A9"/>
    <w:rsid w:val="009A39B9"/>
    <w:rsid w:val="009A6248"/>
    <w:rsid w:val="009A6808"/>
    <w:rsid w:val="009B0BF6"/>
    <w:rsid w:val="009B0E32"/>
    <w:rsid w:val="009B3DE7"/>
    <w:rsid w:val="009B543D"/>
    <w:rsid w:val="009B5F4F"/>
    <w:rsid w:val="009B70DC"/>
    <w:rsid w:val="009C11E8"/>
    <w:rsid w:val="009C17A7"/>
    <w:rsid w:val="009C1F75"/>
    <w:rsid w:val="009C1FE6"/>
    <w:rsid w:val="009C22F5"/>
    <w:rsid w:val="009C35FF"/>
    <w:rsid w:val="009C5401"/>
    <w:rsid w:val="009C7F18"/>
    <w:rsid w:val="009D08F6"/>
    <w:rsid w:val="009D1FDE"/>
    <w:rsid w:val="009D33F5"/>
    <w:rsid w:val="009D4C2A"/>
    <w:rsid w:val="009D70D8"/>
    <w:rsid w:val="009D7976"/>
    <w:rsid w:val="009E2039"/>
    <w:rsid w:val="009E39D8"/>
    <w:rsid w:val="009E5444"/>
    <w:rsid w:val="009E54FE"/>
    <w:rsid w:val="009E6ACE"/>
    <w:rsid w:val="009E7C0A"/>
    <w:rsid w:val="009F086A"/>
    <w:rsid w:val="009F0F42"/>
    <w:rsid w:val="009F320C"/>
    <w:rsid w:val="009F3458"/>
    <w:rsid w:val="009F3477"/>
    <w:rsid w:val="009F4EAA"/>
    <w:rsid w:val="009F715C"/>
    <w:rsid w:val="009F781C"/>
    <w:rsid w:val="00A00A5E"/>
    <w:rsid w:val="00A01342"/>
    <w:rsid w:val="00A0152C"/>
    <w:rsid w:val="00A04515"/>
    <w:rsid w:val="00A05A40"/>
    <w:rsid w:val="00A14649"/>
    <w:rsid w:val="00A1471F"/>
    <w:rsid w:val="00A14887"/>
    <w:rsid w:val="00A157BC"/>
    <w:rsid w:val="00A173D6"/>
    <w:rsid w:val="00A17981"/>
    <w:rsid w:val="00A20C07"/>
    <w:rsid w:val="00A23F3F"/>
    <w:rsid w:val="00A25770"/>
    <w:rsid w:val="00A2579E"/>
    <w:rsid w:val="00A260F0"/>
    <w:rsid w:val="00A263D6"/>
    <w:rsid w:val="00A27392"/>
    <w:rsid w:val="00A307E2"/>
    <w:rsid w:val="00A31177"/>
    <w:rsid w:val="00A339E0"/>
    <w:rsid w:val="00A35CA9"/>
    <w:rsid w:val="00A35CFF"/>
    <w:rsid w:val="00A37A2B"/>
    <w:rsid w:val="00A42271"/>
    <w:rsid w:val="00A42458"/>
    <w:rsid w:val="00A441A0"/>
    <w:rsid w:val="00A47705"/>
    <w:rsid w:val="00A51631"/>
    <w:rsid w:val="00A56327"/>
    <w:rsid w:val="00A56388"/>
    <w:rsid w:val="00A572AA"/>
    <w:rsid w:val="00A57ABC"/>
    <w:rsid w:val="00A62DF2"/>
    <w:rsid w:val="00A62E52"/>
    <w:rsid w:val="00A62EBC"/>
    <w:rsid w:val="00A65656"/>
    <w:rsid w:val="00A66522"/>
    <w:rsid w:val="00A6673B"/>
    <w:rsid w:val="00A6688A"/>
    <w:rsid w:val="00A6771D"/>
    <w:rsid w:val="00A728F3"/>
    <w:rsid w:val="00A72D2E"/>
    <w:rsid w:val="00A74AF0"/>
    <w:rsid w:val="00A74D45"/>
    <w:rsid w:val="00A80A6B"/>
    <w:rsid w:val="00A822A3"/>
    <w:rsid w:val="00A82A1A"/>
    <w:rsid w:val="00A93493"/>
    <w:rsid w:val="00A9499F"/>
    <w:rsid w:val="00A9530D"/>
    <w:rsid w:val="00A95891"/>
    <w:rsid w:val="00A97F4A"/>
    <w:rsid w:val="00AA083C"/>
    <w:rsid w:val="00AA2EB7"/>
    <w:rsid w:val="00AA3085"/>
    <w:rsid w:val="00AA4CE6"/>
    <w:rsid w:val="00AA4E8A"/>
    <w:rsid w:val="00AA56DD"/>
    <w:rsid w:val="00AA6718"/>
    <w:rsid w:val="00AA7C5B"/>
    <w:rsid w:val="00AB1200"/>
    <w:rsid w:val="00AB1501"/>
    <w:rsid w:val="00AB1B85"/>
    <w:rsid w:val="00AB2A4A"/>
    <w:rsid w:val="00AB32CE"/>
    <w:rsid w:val="00AB36FD"/>
    <w:rsid w:val="00AB4318"/>
    <w:rsid w:val="00AB4ADB"/>
    <w:rsid w:val="00AB5AC3"/>
    <w:rsid w:val="00AB7A53"/>
    <w:rsid w:val="00AC3AC0"/>
    <w:rsid w:val="00AC4BEE"/>
    <w:rsid w:val="00AC5D23"/>
    <w:rsid w:val="00AC68C5"/>
    <w:rsid w:val="00AC6912"/>
    <w:rsid w:val="00AD2CAB"/>
    <w:rsid w:val="00AD2E15"/>
    <w:rsid w:val="00AD44CE"/>
    <w:rsid w:val="00AD44FB"/>
    <w:rsid w:val="00AD4871"/>
    <w:rsid w:val="00AD5D76"/>
    <w:rsid w:val="00AD7CEA"/>
    <w:rsid w:val="00AE1BE5"/>
    <w:rsid w:val="00AE3C79"/>
    <w:rsid w:val="00AE492F"/>
    <w:rsid w:val="00AE58B4"/>
    <w:rsid w:val="00AE7CEE"/>
    <w:rsid w:val="00AF1D99"/>
    <w:rsid w:val="00AF2757"/>
    <w:rsid w:val="00AF3129"/>
    <w:rsid w:val="00AF77F6"/>
    <w:rsid w:val="00B01BE4"/>
    <w:rsid w:val="00B03BBB"/>
    <w:rsid w:val="00B055EE"/>
    <w:rsid w:val="00B10DAA"/>
    <w:rsid w:val="00B146A2"/>
    <w:rsid w:val="00B14D10"/>
    <w:rsid w:val="00B15FF2"/>
    <w:rsid w:val="00B16451"/>
    <w:rsid w:val="00B20905"/>
    <w:rsid w:val="00B227C2"/>
    <w:rsid w:val="00B259B4"/>
    <w:rsid w:val="00B26E1D"/>
    <w:rsid w:val="00B32615"/>
    <w:rsid w:val="00B32AB0"/>
    <w:rsid w:val="00B34270"/>
    <w:rsid w:val="00B3487B"/>
    <w:rsid w:val="00B369BD"/>
    <w:rsid w:val="00B375FF"/>
    <w:rsid w:val="00B376A7"/>
    <w:rsid w:val="00B41351"/>
    <w:rsid w:val="00B413DD"/>
    <w:rsid w:val="00B427C3"/>
    <w:rsid w:val="00B43D93"/>
    <w:rsid w:val="00B51B42"/>
    <w:rsid w:val="00B54F11"/>
    <w:rsid w:val="00B57478"/>
    <w:rsid w:val="00B6052B"/>
    <w:rsid w:val="00B61746"/>
    <w:rsid w:val="00B61D77"/>
    <w:rsid w:val="00B62488"/>
    <w:rsid w:val="00B63100"/>
    <w:rsid w:val="00B64096"/>
    <w:rsid w:val="00B651CE"/>
    <w:rsid w:val="00B65DFC"/>
    <w:rsid w:val="00B65E25"/>
    <w:rsid w:val="00B66043"/>
    <w:rsid w:val="00B66FFC"/>
    <w:rsid w:val="00B678C0"/>
    <w:rsid w:val="00B718C7"/>
    <w:rsid w:val="00B74AC1"/>
    <w:rsid w:val="00B74D37"/>
    <w:rsid w:val="00B750A8"/>
    <w:rsid w:val="00B7675D"/>
    <w:rsid w:val="00B76764"/>
    <w:rsid w:val="00B81C8B"/>
    <w:rsid w:val="00B83927"/>
    <w:rsid w:val="00B85737"/>
    <w:rsid w:val="00B85FC2"/>
    <w:rsid w:val="00B87324"/>
    <w:rsid w:val="00B901A0"/>
    <w:rsid w:val="00B91413"/>
    <w:rsid w:val="00B9148C"/>
    <w:rsid w:val="00B932C8"/>
    <w:rsid w:val="00B93839"/>
    <w:rsid w:val="00B959DB"/>
    <w:rsid w:val="00B96334"/>
    <w:rsid w:val="00BA0A86"/>
    <w:rsid w:val="00BA22D8"/>
    <w:rsid w:val="00BB18CB"/>
    <w:rsid w:val="00BB2421"/>
    <w:rsid w:val="00BB3082"/>
    <w:rsid w:val="00BB6C3D"/>
    <w:rsid w:val="00BB7195"/>
    <w:rsid w:val="00BB76D5"/>
    <w:rsid w:val="00BC03DD"/>
    <w:rsid w:val="00BC24CC"/>
    <w:rsid w:val="00BC3D0A"/>
    <w:rsid w:val="00BC4F67"/>
    <w:rsid w:val="00BC6C92"/>
    <w:rsid w:val="00BD0E29"/>
    <w:rsid w:val="00BD22CD"/>
    <w:rsid w:val="00BD454F"/>
    <w:rsid w:val="00BD6E0B"/>
    <w:rsid w:val="00BD77D8"/>
    <w:rsid w:val="00BE6342"/>
    <w:rsid w:val="00BE72AA"/>
    <w:rsid w:val="00BE7565"/>
    <w:rsid w:val="00BF1071"/>
    <w:rsid w:val="00BF2EE5"/>
    <w:rsid w:val="00BF33F4"/>
    <w:rsid w:val="00BF3E0D"/>
    <w:rsid w:val="00BF4222"/>
    <w:rsid w:val="00BF566C"/>
    <w:rsid w:val="00C00A15"/>
    <w:rsid w:val="00C020B4"/>
    <w:rsid w:val="00C0255B"/>
    <w:rsid w:val="00C054C2"/>
    <w:rsid w:val="00C0680A"/>
    <w:rsid w:val="00C06996"/>
    <w:rsid w:val="00C11C57"/>
    <w:rsid w:val="00C11E2F"/>
    <w:rsid w:val="00C12465"/>
    <w:rsid w:val="00C136B7"/>
    <w:rsid w:val="00C13AB9"/>
    <w:rsid w:val="00C14894"/>
    <w:rsid w:val="00C167AF"/>
    <w:rsid w:val="00C2473A"/>
    <w:rsid w:val="00C259E2"/>
    <w:rsid w:val="00C26AE4"/>
    <w:rsid w:val="00C26BE5"/>
    <w:rsid w:val="00C331D9"/>
    <w:rsid w:val="00C41BE2"/>
    <w:rsid w:val="00C475A5"/>
    <w:rsid w:val="00C50DD2"/>
    <w:rsid w:val="00C55A47"/>
    <w:rsid w:val="00C570CC"/>
    <w:rsid w:val="00C57538"/>
    <w:rsid w:val="00C60BB0"/>
    <w:rsid w:val="00C6122E"/>
    <w:rsid w:val="00C628E4"/>
    <w:rsid w:val="00C63107"/>
    <w:rsid w:val="00C63413"/>
    <w:rsid w:val="00C6421E"/>
    <w:rsid w:val="00C65ACC"/>
    <w:rsid w:val="00C701E0"/>
    <w:rsid w:val="00C70703"/>
    <w:rsid w:val="00C70BF3"/>
    <w:rsid w:val="00C72332"/>
    <w:rsid w:val="00C730FB"/>
    <w:rsid w:val="00C732B8"/>
    <w:rsid w:val="00C75A3D"/>
    <w:rsid w:val="00C82CE6"/>
    <w:rsid w:val="00C8481F"/>
    <w:rsid w:val="00C85666"/>
    <w:rsid w:val="00C8577A"/>
    <w:rsid w:val="00C861F1"/>
    <w:rsid w:val="00C877A0"/>
    <w:rsid w:val="00C9016C"/>
    <w:rsid w:val="00C94092"/>
    <w:rsid w:val="00C94C8A"/>
    <w:rsid w:val="00C95C4B"/>
    <w:rsid w:val="00C9625D"/>
    <w:rsid w:val="00C9718B"/>
    <w:rsid w:val="00CA19F5"/>
    <w:rsid w:val="00CA1B39"/>
    <w:rsid w:val="00CA45BC"/>
    <w:rsid w:val="00CA4E6A"/>
    <w:rsid w:val="00CA766E"/>
    <w:rsid w:val="00CB03B2"/>
    <w:rsid w:val="00CB127F"/>
    <w:rsid w:val="00CB51D5"/>
    <w:rsid w:val="00CC1726"/>
    <w:rsid w:val="00CC2BC8"/>
    <w:rsid w:val="00CC4E4E"/>
    <w:rsid w:val="00CC5034"/>
    <w:rsid w:val="00CC5768"/>
    <w:rsid w:val="00CC7806"/>
    <w:rsid w:val="00CC79C0"/>
    <w:rsid w:val="00CD05CD"/>
    <w:rsid w:val="00CD0644"/>
    <w:rsid w:val="00CD3185"/>
    <w:rsid w:val="00CD50D5"/>
    <w:rsid w:val="00CD7C0B"/>
    <w:rsid w:val="00CD7D98"/>
    <w:rsid w:val="00CE1C5A"/>
    <w:rsid w:val="00CE281A"/>
    <w:rsid w:val="00CE398F"/>
    <w:rsid w:val="00CE434E"/>
    <w:rsid w:val="00CE6742"/>
    <w:rsid w:val="00CF03B4"/>
    <w:rsid w:val="00CF512D"/>
    <w:rsid w:val="00CF5718"/>
    <w:rsid w:val="00CF59D6"/>
    <w:rsid w:val="00CF6441"/>
    <w:rsid w:val="00CF7202"/>
    <w:rsid w:val="00CF77CC"/>
    <w:rsid w:val="00D00B62"/>
    <w:rsid w:val="00D02FF6"/>
    <w:rsid w:val="00D048F8"/>
    <w:rsid w:val="00D05FE6"/>
    <w:rsid w:val="00D10DD8"/>
    <w:rsid w:val="00D1142A"/>
    <w:rsid w:val="00D1246E"/>
    <w:rsid w:val="00D154DB"/>
    <w:rsid w:val="00D16BEA"/>
    <w:rsid w:val="00D17BB5"/>
    <w:rsid w:val="00D20F6A"/>
    <w:rsid w:val="00D20F8C"/>
    <w:rsid w:val="00D21FB1"/>
    <w:rsid w:val="00D2444D"/>
    <w:rsid w:val="00D24638"/>
    <w:rsid w:val="00D2495A"/>
    <w:rsid w:val="00D2618B"/>
    <w:rsid w:val="00D27491"/>
    <w:rsid w:val="00D27D77"/>
    <w:rsid w:val="00D326DC"/>
    <w:rsid w:val="00D352FA"/>
    <w:rsid w:val="00D44464"/>
    <w:rsid w:val="00D45EA6"/>
    <w:rsid w:val="00D46F79"/>
    <w:rsid w:val="00D508A9"/>
    <w:rsid w:val="00D513BE"/>
    <w:rsid w:val="00D53B83"/>
    <w:rsid w:val="00D54422"/>
    <w:rsid w:val="00D56200"/>
    <w:rsid w:val="00D56E4A"/>
    <w:rsid w:val="00D617E2"/>
    <w:rsid w:val="00D6372C"/>
    <w:rsid w:val="00D66E45"/>
    <w:rsid w:val="00D71FB9"/>
    <w:rsid w:val="00D7271B"/>
    <w:rsid w:val="00D73A25"/>
    <w:rsid w:val="00D77D96"/>
    <w:rsid w:val="00D818ED"/>
    <w:rsid w:val="00D81EAE"/>
    <w:rsid w:val="00D81FCD"/>
    <w:rsid w:val="00D832F4"/>
    <w:rsid w:val="00D83B4F"/>
    <w:rsid w:val="00D84DF5"/>
    <w:rsid w:val="00D87B00"/>
    <w:rsid w:val="00D9052D"/>
    <w:rsid w:val="00D94717"/>
    <w:rsid w:val="00D95E3A"/>
    <w:rsid w:val="00D96028"/>
    <w:rsid w:val="00D97E4B"/>
    <w:rsid w:val="00DA335A"/>
    <w:rsid w:val="00DA5C3D"/>
    <w:rsid w:val="00DA5C52"/>
    <w:rsid w:val="00DA7104"/>
    <w:rsid w:val="00DA7195"/>
    <w:rsid w:val="00DA71E9"/>
    <w:rsid w:val="00DB0A2B"/>
    <w:rsid w:val="00DB2704"/>
    <w:rsid w:val="00DB3D5D"/>
    <w:rsid w:val="00DB4E7D"/>
    <w:rsid w:val="00DB5AAB"/>
    <w:rsid w:val="00DB7176"/>
    <w:rsid w:val="00DC220B"/>
    <w:rsid w:val="00DC264D"/>
    <w:rsid w:val="00DC32EC"/>
    <w:rsid w:val="00DC3659"/>
    <w:rsid w:val="00DC520A"/>
    <w:rsid w:val="00DD0B1E"/>
    <w:rsid w:val="00DD0C3B"/>
    <w:rsid w:val="00DD1308"/>
    <w:rsid w:val="00DD44CC"/>
    <w:rsid w:val="00DD46DF"/>
    <w:rsid w:val="00DD59C3"/>
    <w:rsid w:val="00DD68D6"/>
    <w:rsid w:val="00DE0F9D"/>
    <w:rsid w:val="00DE105B"/>
    <w:rsid w:val="00DE430E"/>
    <w:rsid w:val="00DE67E3"/>
    <w:rsid w:val="00DF0811"/>
    <w:rsid w:val="00DF36AE"/>
    <w:rsid w:val="00DF3E18"/>
    <w:rsid w:val="00DF59A0"/>
    <w:rsid w:val="00DF5B81"/>
    <w:rsid w:val="00E00E6E"/>
    <w:rsid w:val="00E02EDB"/>
    <w:rsid w:val="00E05745"/>
    <w:rsid w:val="00E075F6"/>
    <w:rsid w:val="00E11F6C"/>
    <w:rsid w:val="00E12312"/>
    <w:rsid w:val="00E1398C"/>
    <w:rsid w:val="00E17D21"/>
    <w:rsid w:val="00E2210F"/>
    <w:rsid w:val="00E23415"/>
    <w:rsid w:val="00E24829"/>
    <w:rsid w:val="00E26FAF"/>
    <w:rsid w:val="00E27883"/>
    <w:rsid w:val="00E310A5"/>
    <w:rsid w:val="00E31E68"/>
    <w:rsid w:val="00E321FA"/>
    <w:rsid w:val="00E3449C"/>
    <w:rsid w:val="00E36C0B"/>
    <w:rsid w:val="00E40397"/>
    <w:rsid w:val="00E40C9D"/>
    <w:rsid w:val="00E41EC1"/>
    <w:rsid w:val="00E42788"/>
    <w:rsid w:val="00E436A8"/>
    <w:rsid w:val="00E437B9"/>
    <w:rsid w:val="00E43D95"/>
    <w:rsid w:val="00E44952"/>
    <w:rsid w:val="00E465CB"/>
    <w:rsid w:val="00E46887"/>
    <w:rsid w:val="00E518C8"/>
    <w:rsid w:val="00E51DF4"/>
    <w:rsid w:val="00E537C0"/>
    <w:rsid w:val="00E53CBA"/>
    <w:rsid w:val="00E54583"/>
    <w:rsid w:val="00E55E5E"/>
    <w:rsid w:val="00E56E42"/>
    <w:rsid w:val="00E616E1"/>
    <w:rsid w:val="00E61C44"/>
    <w:rsid w:val="00E6200B"/>
    <w:rsid w:val="00E62BCB"/>
    <w:rsid w:val="00E63DF7"/>
    <w:rsid w:val="00E64E19"/>
    <w:rsid w:val="00E6656F"/>
    <w:rsid w:val="00E6796A"/>
    <w:rsid w:val="00E74664"/>
    <w:rsid w:val="00E746C0"/>
    <w:rsid w:val="00E776D3"/>
    <w:rsid w:val="00E77CF8"/>
    <w:rsid w:val="00E8117F"/>
    <w:rsid w:val="00E82812"/>
    <w:rsid w:val="00E843E1"/>
    <w:rsid w:val="00E84C23"/>
    <w:rsid w:val="00E84D5D"/>
    <w:rsid w:val="00E86ED2"/>
    <w:rsid w:val="00E90F36"/>
    <w:rsid w:val="00E919DA"/>
    <w:rsid w:val="00E94554"/>
    <w:rsid w:val="00E95667"/>
    <w:rsid w:val="00E967CC"/>
    <w:rsid w:val="00EA0102"/>
    <w:rsid w:val="00EA06CF"/>
    <w:rsid w:val="00EA0B10"/>
    <w:rsid w:val="00EA1805"/>
    <w:rsid w:val="00EA3951"/>
    <w:rsid w:val="00EA5717"/>
    <w:rsid w:val="00EA58C4"/>
    <w:rsid w:val="00EB02E9"/>
    <w:rsid w:val="00EB10B5"/>
    <w:rsid w:val="00EB1484"/>
    <w:rsid w:val="00EB56A8"/>
    <w:rsid w:val="00EB6073"/>
    <w:rsid w:val="00EB61F8"/>
    <w:rsid w:val="00EB63A9"/>
    <w:rsid w:val="00EB744B"/>
    <w:rsid w:val="00EB792A"/>
    <w:rsid w:val="00EC0BA4"/>
    <w:rsid w:val="00EC1B2F"/>
    <w:rsid w:val="00EC2381"/>
    <w:rsid w:val="00EC3197"/>
    <w:rsid w:val="00EC566B"/>
    <w:rsid w:val="00EC568E"/>
    <w:rsid w:val="00EC6BE1"/>
    <w:rsid w:val="00EC71B4"/>
    <w:rsid w:val="00ED1255"/>
    <w:rsid w:val="00ED1D3C"/>
    <w:rsid w:val="00ED383D"/>
    <w:rsid w:val="00ED5A1D"/>
    <w:rsid w:val="00ED61C4"/>
    <w:rsid w:val="00ED6C3D"/>
    <w:rsid w:val="00EE0226"/>
    <w:rsid w:val="00EE1836"/>
    <w:rsid w:val="00EE1E1D"/>
    <w:rsid w:val="00EE4BC3"/>
    <w:rsid w:val="00EE6C1D"/>
    <w:rsid w:val="00EE7156"/>
    <w:rsid w:val="00EE7C96"/>
    <w:rsid w:val="00EF0478"/>
    <w:rsid w:val="00EF3110"/>
    <w:rsid w:val="00EF35E0"/>
    <w:rsid w:val="00EF394F"/>
    <w:rsid w:val="00EF3979"/>
    <w:rsid w:val="00EF44B4"/>
    <w:rsid w:val="00EF476F"/>
    <w:rsid w:val="00EF75FD"/>
    <w:rsid w:val="00F006E4"/>
    <w:rsid w:val="00F0130F"/>
    <w:rsid w:val="00F02B48"/>
    <w:rsid w:val="00F052BE"/>
    <w:rsid w:val="00F0586A"/>
    <w:rsid w:val="00F06E12"/>
    <w:rsid w:val="00F12048"/>
    <w:rsid w:val="00F12B64"/>
    <w:rsid w:val="00F13A9B"/>
    <w:rsid w:val="00F14046"/>
    <w:rsid w:val="00F14481"/>
    <w:rsid w:val="00F15015"/>
    <w:rsid w:val="00F16C5F"/>
    <w:rsid w:val="00F17422"/>
    <w:rsid w:val="00F17A12"/>
    <w:rsid w:val="00F200D1"/>
    <w:rsid w:val="00F2081C"/>
    <w:rsid w:val="00F20935"/>
    <w:rsid w:val="00F2131A"/>
    <w:rsid w:val="00F25424"/>
    <w:rsid w:val="00F25941"/>
    <w:rsid w:val="00F25AA8"/>
    <w:rsid w:val="00F303C0"/>
    <w:rsid w:val="00F31687"/>
    <w:rsid w:val="00F36437"/>
    <w:rsid w:val="00F41A04"/>
    <w:rsid w:val="00F42F4A"/>
    <w:rsid w:val="00F50DF8"/>
    <w:rsid w:val="00F526A3"/>
    <w:rsid w:val="00F52DA5"/>
    <w:rsid w:val="00F53F57"/>
    <w:rsid w:val="00F548A9"/>
    <w:rsid w:val="00F55F40"/>
    <w:rsid w:val="00F57C08"/>
    <w:rsid w:val="00F60014"/>
    <w:rsid w:val="00F60A2D"/>
    <w:rsid w:val="00F616AC"/>
    <w:rsid w:val="00F617F2"/>
    <w:rsid w:val="00F621C0"/>
    <w:rsid w:val="00F64213"/>
    <w:rsid w:val="00F646DC"/>
    <w:rsid w:val="00F64894"/>
    <w:rsid w:val="00F65DDD"/>
    <w:rsid w:val="00F70EBC"/>
    <w:rsid w:val="00F71632"/>
    <w:rsid w:val="00F71ACB"/>
    <w:rsid w:val="00F71D1A"/>
    <w:rsid w:val="00F736B3"/>
    <w:rsid w:val="00F73DC6"/>
    <w:rsid w:val="00F754B0"/>
    <w:rsid w:val="00F75DA9"/>
    <w:rsid w:val="00F8010B"/>
    <w:rsid w:val="00F82C83"/>
    <w:rsid w:val="00F8332B"/>
    <w:rsid w:val="00F84504"/>
    <w:rsid w:val="00F86D50"/>
    <w:rsid w:val="00F91138"/>
    <w:rsid w:val="00F912E8"/>
    <w:rsid w:val="00F91DB6"/>
    <w:rsid w:val="00F941FC"/>
    <w:rsid w:val="00F94E6E"/>
    <w:rsid w:val="00F95C44"/>
    <w:rsid w:val="00F95CA6"/>
    <w:rsid w:val="00F975B5"/>
    <w:rsid w:val="00FA03FD"/>
    <w:rsid w:val="00FA08BB"/>
    <w:rsid w:val="00FA0E93"/>
    <w:rsid w:val="00FA1040"/>
    <w:rsid w:val="00FA3C63"/>
    <w:rsid w:val="00FA4894"/>
    <w:rsid w:val="00FA4AFA"/>
    <w:rsid w:val="00FA544B"/>
    <w:rsid w:val="00FB2A40"/>
    <w:rsid w:val="00FB2BFD"/>
    <w:rsid w:val="00FB4780"/>
    <w:rsid w:val="00FB48BF"/>
    <w:rsid w:val="00FB6639"/>
    <w:rsid w:val="00FB6C5F"/>
    <w:rsid w:val="00FC0F1C"/>
    <w:rsid w:val="00FC121E"/>
    <w:rsid w:val="00FC2971"/>
    <w:rsid w:val="00FC32E9"/>
    <w:rsid w:val="00FC3AB3"/>
    <w:rsid w:val="00FC4BAC"/>
    <w:rsid w:val="00FC4E10"/>
    <w:rsid w:val="00FC5917"/>
    <w:rsid w:val="00FC5C78"/>
    <w:rsid w:val="00FC687F"/>
    <w:rsid w:val="00FD0F1B"/>
    <w:rsid w:val="00FD3D35"/>
    <w:rsid w:val="00FD416C"/>
    <w:rsid w:val="00FD42AC"/>
    <w:rsid w:val="00FD4410"/>
    <w:rsid w:val="00FD4906"/>
    <w:rsid w:val="00FD4CB2"/>
    <w:rsid w:val="00FD4DBE"/>
    <w:rsid w:val="00FD659A"/>
    <w:rsid w:val="00FE162F"/>
    <w:rsid w:val="00FE2B34"/>
    <w:rsid w:val="00FE308D"/>
    <w:rsid w:val="00FE3DEB"/>
    <w:rsid w:val="00FE5BAB"/>
    <w:rsid w:val="00FE6D4C"/>
    <w:rsid w:val="00FE74E8"/>
    <w:rsid w:val="00FF2CF0"/>
    <w:rsid w:val="00FF35E9"/>
    <w:rsid w:val="00FF3838"/>
    <w:rsid w:val="00FF3C90"/>
    <w:rsid w:val="00FF3E51"/>
    <w:rsid w:val="00FF4743"/>
    <w:rsid w:val="00FF69AB"/>
    <w:rsid w:val="00FF7085"/>
    <w:rsid w:val="00FF735D"/>
    <w:rsid w:val="00FF7498"/>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AE782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9656AB"/>
    <w:rPr>
      <w:b/>
      <w:bCs/>
    </w:rPr>
  </w:style>
  <w:style w:type="paragraph" w:styleId="Rvision">
    <w:name w:val="Revision"/>
    <w:hidden/>
    <w:uiPriority w:val="99"/>
    <w:semiHidden/>
    <w:rsid w:val="00C0680A"/>
    <w:pPr>
      <w:spacing w:after="0" w:line="240" w:lineRule="auto"/>
    </w:pPr>
  </w:style>
  <w:style w:type="character" w:styleId="Marquedecommentaire">
    <w:name w:val="annotation reference"/>
    <w:basedOn w:val="Policepardfaut"/>
    <w:uiPriority w:val="99"/>
    <w:semiHidden/>
    <w:unhideWhenUsed/>
    <w:rsid w:val="00382C2B"/>
    <w:rPr>
      <w:sz w:val="16"/>
      <w:szCs w:val="16"/>
    </w:rPr>
  </w:style>
  <w:style w:type="paragraph" w:styleId="Commentaire">
    <w:name w:val="annotation text"/>
    <w:basedOn w:val="Normal"/>
    <w:link w:val="CommentaireCar"/>
    <w:uiPriority w:val="99"/>
    <w:unhideWhenUsed/>
    <w:rsid w:val="00382C2B"/>
    <w:pPr>
      <w:spacing w:line="240" w:lineRule="auto"/>
    </w:pPr>
    <w:rPr>
      <w:sz w:val="20"/>
      <w:szCs w:val="20"/>
    </w:rPr>
  </w:style>
  <w:style w:type="character" w:customStyle="1" w:styleId="CommentaireCar">
    <w:name w:val="Commentaire Car"/>
    <w:basedOn w:val="Policepardfaut"/>
    <w:link w:val="Commentaire"/>
    <w:uiPriority w:val="99"/>
    <w:rsid w:val="00382C2B"/>
    <w:rPr>
      <w:sz w:val="20"/>
      <w:szCs w:val="20"/>
    </w:rPr>
  </w:style>
  <w:style w:type="paragraph" w:styleId="Objetducommentaire">
    <w:name w:val="annotation subject"/>
    <w:basedOn w:val="Commentaire"/>
    <w:next w:val="Commentaire"/>
    <w:link w:val="ObjetducommentaireCar"/>
    <w:uiPriority w:val="99"/>
    <w:semiHidden/>
    <w:unhideWhenUsed/>
    <w:rsid w:val="00382C2B"/>
    <w:rPr>
      <w:b/>
      <w:bCs/>
    </w:rPr>
  </w:style>
  <w:style w:type="character" w:customStyle="1" w:styleId="ObjetducommentaireCar">
    <w:name w:val="Objet du commentaire Car"/>
    <w:basedOn w:val="CommentaireCar"/>
    <w:link w:val="Objetducommentaire"/>
    <w:uiPriority w:val="99"/>
    <w:semiHidden/>
    <w:rsid w:val="00382C2B"/>
    <w:rPr>
      <w:b/>
      <w:bCs/>
      <w:sz w:val="20"/>
      <w:szCs w:val="20"/>
    </w:rPr>
  </w:style>
  <w:style w:type="table" w:styleId="Grilledutableau">
    <w:name w:val="Table Grid"/>
    <w:basedOn w:val="TableauNormal"/>
    <w:uiPriority w:val="39"/>
    <w:rsid w:val="000F7F51"/>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0F14D8"/>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0F14D8"/>
    <w:rPr>
      <w:rFonts w:ascii="Segoe UI" w:hAnsi="Segoe UI" w:cs="Segoe UI"/>
      <w:sz w:val="18"/>
      <w:szCs w:val="18"/>
    </w:rPr>
  </w:style>
  <w:style w:type="paragraph" w:styleId="NormalWeb">
    <w:name w:val="Normal (Web)"/>
    <w:basedOn w:val="Normal"/>
    <w:uiPriority w:val="99"/>
    <w:unhideWhenUsed/>
    <w:rsid w:val="000C5FF8"/>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Numrodeligne">
    <w:name w:val="line number"/>
    <w:basedOn w:val="Policepardfaut"/>
    <w:uiPriority w:val="99"/>
    <w:semiHidden/>
    <w:unhideWhenUsed/>
    <w:rsid w:val="006E0BB9"/>
  </w:style>
  <w:style w:type="paragraph" w:styleId="En-tte">
    <w:name w:val="header"/>
    <w:basedOn w:val="Normal"/>
    <w:link w:val="En-tteCar"/>
    <w:uiPriority w:val="99"/>
    <w:unhideWhenUsed/>
    <w:rsid w:val="003949E9"/>
    <w:pPr>
      <w:tabs>
        <w:tab w:val="center" w:pos="4680"/>
        <w:tab w:val="right" w:pos="9360"/>
      </w:tabs>
      <w:spacing w:after="0" w:line="240" w:lineRule="auto"/>
    </w:pPr>
  </w:style>
  <w:style w:type="character" w:customStyle="1" w:styleId="En-tteCar">
    <w:name w:val="En-tête Car"/>
    <w:basedOn w:val="Policepardfaut"/>
    <w:link w:val="En-tte"/>
    <w:uiPriority w:val="99"/>
    <w:rsid w:val="003949E9"/>
  </w:style>
  <w:style w:type="paragraph" w:styleId="Pieddepage">
    <w:name w:val="footer"/>
    <w:basedOn w:val="Normal"/>
    <w:link w:val="PieddepageCar"/>
    <w:uiPriority w:val="99"/>
    <w:unhideWhenUsed/>
    <w:rsid w:val="003949E9"/>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3949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68083658">
      <w:bodyDiv w:val="1"/>
      <w:marLeft w:val="0"/>
      <w:marRight w:val="0"/>
      <w:marTop w:val="0"/>
      <w:marBottom w:val="0"/>
      <w:divBdr>
        <w:top w:val="none" w:sz="0" w:space="0" w:color="auto"/>
        <w:left w:val="none" w:sz="0" w:space="0" w:color="auto"/>
        <w:bottom w:val="none" w:sz="0" w:space="0" w:color="auto"/>
        <w:right w:val="none" w:sz="0" w:space="0" w:color="auto"/>
      </w:divBdr>
    </w:div>
    <w:div w:id="1001543925">
      <w:bodyDiv w:val="1"/>
      <w:marLeft w:val="0"/>
      <w:marRight w:val="0"/>
      <w:marTop w:val="0"/>
      <w:marBottom w:val="0"/>
      <w:divBdr>
        <w:top w:val="none" w:sz="0" w:space="0" w:color="auto"/>
        <w:left w:val="none" w:sz="0" w:space="0" w:color="auto"/>
        <w:bottom w:val="none" w:sz="0" w:space="0" w:color="auto"/>
        <w:right w:val="none" w:sz="0" w:space="0" w:color="auto"/>
      </w:divBdr>
    </w:div>
    <w:div w:id="1192840997">
      <w:bodyDiv w:val="1"/>
      <w:marLeft w:val="0"/>
      <w:marRight w:val="0"/>
      <w:marTop w:val="0"/>
      <w:marBottom w:val="0"/>
      <w:divBdr>
        <w:top w:val="none" w:sz="0" w:space="0" w:color="auto"/>
        <w:left w:val="none" w:sz="0" w:space="0" w:color="auto"/>
        <w:bottom w:val="none" w:sz="0" w:space="0" w:color="auto"/>
        <w:right w:val="none" w:sz="0" w:space="0" w:color="auto"/>
      </w:divBdr>
    </w:div>
    <w:div w:id="1221286130">
      <w:bodyDiv w:val="1"/>
      <w:marLeft w:val="0"/>
      <w:marRight w:val="0"/>
      <w:marTop w:val="0"/>
      <w:marBottom w:val="0"/>
      <w:divBdr>
        <w:top w:val="none" w:sz="0" w:space="0" w:color="auto"/>
        <w:left w:val="none" w:sz="0" w:space="0" w:color="auto"/>
        <w:bottom w:val="none" w:sz="0" w:space="0" w:color="auto"/>
        <w:right w:val="none" w:sz="0" w:space="0" w:color="auto"/>
      </w:divBdr>
    </w:div>
    <w:div w:id="1256129285">
      <w:bodyDiv w:val="1"/>
      <w:marLeft w:val="0"/>
      <w:marRight w:val="0"/>
      <w:marTop w:val="0"/>
      <w:marBottom w:val="0"/>
      <w:divBdr>
        <w:top w:val="none" w:sz="0" w:space="0" w:color="auto"/>
        <w:left w:val="none" w:sz="0" w:space="0" w:color="auto"/>
        <w:bottom w:val="none" w:sz="0" w:space="0" w:color="auto"/>
        <w:right w:val="none" w:sz="0" w:space="0" w:color="auto"/>
      </w:divBdr>
    </w:div>
    <w:div w:id="1287203974">
      <w:bodyDiv w:val="1"/>
      <w:marLeft w:val="0"/>
      <w:marRight w:val="0"/>
      <w:marTop w:val="0"/>
      <w:marBottom w:val="0"/>
      <w:divBdr>
        <w:top w:val="none" w:sz="0" w:space="0" w:color="auto"/>
        <w:left w:val="none" w:sz="0" w:space="0" w:color="auto"/>
        <w:bottom w:val="none" w:sz="0" w:space="0" w:color="auto"/>
        <w:right w:val="none" w:sz="0" w:space="0" w:color="auto"/>
      </w:divBdr>
    </w:div>
    <w:div w:id="1491095007">
      <w:bodyDiv w:val="1"/>
      <w:marLeft w:val="0"/>
      <w:marRight w:val="0"/>
      <w:marTop w:val="0"/>
      <w:marBottom w:val="0"/>
      <w:divBdr>
        <w:top w:val="none" w:sz="0" w:space="0" w:color="auto"/>
        <w:left w:val="none" w:sz="0" w:space="0" w:color="auto"/>
        <w:bottom w:val="none" w:sz="0" w:space="0" w:color="auto"/>
        <w:right w:val="none" w:sz="0" w:space="0" w:color="auto"/>
      </w:divBdr>
    </w:div>
    <w:div w:id="1714503025">
      <w:bodyDiv w:val="1"/>
      <w:marLeft w:val="0"/>
      <w:marRight w:val="0"/>
      <w:marTop w:val="0"/>
      <w:marBottom w:val="0"/>
      <w:divBdr>
        <w:top w:val="none" w:sz="0" w:space="0" w:color="auto"/>
        <w:left w:val="none" w:sz="0" w:space="0" w:color="auto"/>
        <w:bottom w:val="none" w:sz="0" w:space="0" w:color="auto"/>
        <w:right w:val="none" w:sz="0" w:space="0" w:color="auto"/>
      </w:divBdr>
    </w:div>
    <w:div w:id="1761102796">
      <w:bodyDiv w:val="1"/>
      <w:marLeft w:val="0"/>
      <w:marRight w:val="0"/>
      <w:marTop w:val="0"/>
      <w:marBottom w:val="0"/>
      <w:divBdr>
        <w:top w:val="none" w:sz="0" w:space="0" w:color="auto"/>
        <w:left w:val="none" w:sz="0" w:space="0" w:color="auto"/>
        <w:bottom w:val="none" w:sz="0" w:space="0" w:color="auto"/>
        <w:right w:val="none" w:sz="0" w:space="0" w:color="auto"/>
      </w:divBdr>
    </w:div>
    <w:div w:id="1900704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BA6B88-EC42-496C-85EA-446F059D72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64</Pages>
  <Words>74818</Words>
  <Characters>411500</Characters>
  <Application>Microsoft Office Word</Application>
  <DocSecurity>0</DocSecurity>
  <Lines>3429</Lines>
  <Paragraphs>970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485348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2024-03-05T10:12:00Z</cp:lastPrinted>
  <dcterms:created xsi:type="dcterms:W3CDTF">2024-11-14T13:37:00Z</dcterms:created>
  <dcterms:modified xsi:type="dcterms:W3CDTF">2024-11-14T13:40:00Z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604a4d0f8894618aee9ea9601fc7b82475e0139342f66079fb3a6a868c900ee8</vt:lpwstr>
  </property>
  <property fmtid="{D5CDD505-2E9C-101B-9397-08002B2CF9AE}" pid="3" name="Mendeley Document_1">
    <vt:lpwstr>True</vt:lpwstr>
  </property>
  <property fmtid="{D5CDD505-2E9C-101B-9397-08002B2CF9AE}" pid="4" name="Mendeley Unique User Id_1">
    <vt:lpwstr>60cfd745-c046-33ad-b2fb-cd1780029784</vt:lpwstr>
  </property>
  <property fmtid="{D5CDD505-2E9C-101B-9397-08002B2CF9AE}" pid="5" name="Mendeley Citation Style_1">
    <vt:lpwstr>http://www.zotero.org/styles/american-medical-association</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ies>
</file>