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B1E72" w14:textId="77415D4A" w:rsidR="00C23E9A" w:rsidRPr="00B17EE4" w:rsidRDefault="009B788B" w:rsidP="6BBBDCB7">
      <w:pPr>
        <w:spacing w:after="240" w:line="480" w:lineRule="auto"/>
        <w:jc w:val="center"/>
        <w:rPr>
          <w:sz w:val="38"/>
          <w:szCs w:val="38"/>
        </w:rPr>
      </w:pPr>
      <w:r>
        <w:rPr>
          <w:sz w:val="38"/>
          <w:szCs w:val="38"/>
        </w:rPr>
        <w:t>First</w:t>
      </w:r>
      <w:r w:rsidR="00C23E9A" w:rsidRPr="6BBBDCB7">
        <w:rPr>
          <w:sz w:val="38"/>
          <w:szCs w:val="38"/>
        </w:rPr>
        <w:t xml:space="preserve"> Hyperpolarizability of Cellulose Nanocrystals: an Experimental and Theoretical Investigation</w:t>
      </w:r>
    </w:p>
    <w:p w14:paraId="6B7580EB" w14:textId="1BFDC9A4" w:rsidR="009246AD" w:rsidRPr="00EC5610" w:rsidRDefault="00100521" w:rsidP="00493F45">
      <w:pPr>
        <w:pStyle w:val="BBAuthorName"/>
      </w:pPr>
      <w:r w:rsidRPr="00EC5610">
        <w:t>Thibaut Legat</w:t>
      </w:r>
      <w:r w:rsidR="00392FB1" w:rsidRPr="00EC5610">
        <w:rPr>
          <w:vertAlign w:val="superscript"/>
        </w:rPr>
        <w:t>1,2</w:t>
      </w:r>
      <w:r w:rsidR="00392FB1" w:rsidRPr="00EC5610">
        <w:t xml:space="preserve">, </w:t>
      </w:r>
      <w:r w:rsidR="00A21E0D" w:rsidRPr="00EC5610">
        <w:t>François</w:t>
      </w:r>
      <w:r w:rsidR="00392FB1" w:rsidRPr="00EC5610">
        <w:t xml:space="preserve"> Mairesse</w:t>
      </w:r>
      <w:r w:rsidR="00392FB1" w:rsidRPr="00EC5610">
        <w:rPr>
          <w:vertAlign w:val="superscript"/>
        </w:rPr>
        <w:t>3</w:t>
      </w:r>
      <w:r w:rsidR="00392FB1" w:rsidRPr="00EC5610">
        <w:t>, Ahmet</w:t>
      </w:r>
      <w:r w:rsidR="00A6587C">
        <w:t xml:space="preserve"> R.</w:t>
      </w:r>
      <w:r w:rsidR="00392FB1" w:rsidRPr="00EC5610">
        <w:t xml:space="preserve"> Dok</w:t>
      </w:r>
      <w:r w:rsidR="0054368F" w:rsidRPr="00EC5610">
        <w:rPr>
          <w:vertAlign w:val="superscript"/>
        </w:rPr>
        <w:t>1</w:t>
      </w:r>
      <w:r w:rsidR="0054368F" w:rsidRPr="00EC5610">
        <w:t xml:space="preserve">, </w:t>
      </w:r>
      <w:r w:rsidR="00CB4910" w:rsidRPr="00EC5610">
        <w:t>Yovan de Coene</w:t>
      </w:r>
      <w:r w:rsidR="003A0B5F" w:rsidRPr="00EC5610">
        <w:rPr>
          <w:vertAlign w:val="superscript"/>
        </w:rPr>
        <w:t>4</w:t>
      </w:r>
      <w:r w:rsidR="00CB4910" w:rsidRPr="00EC5610">
        <w:t xml:space="preserve">, Wim </w:t>
      </w:r>
      <w:r w:rsidR="00CB4910" w:rsidRPr="003B14B1">
        <w:t>Thielemans</w:t>
      </w:r>
      <w:r w:rsidR="003A0B5F" w:rsidRPr="003B14B1">
        <w:rPr>
          <w:vertAlign w:val="superscript"/>
        </w:rPr>
        <w:t>2</w:t>
      </w:r>
      <w:r w:rsidR="00CB4910" w:rsidRPr="003B14B1">
        <w:t xml:space="preserve">, </w:t>
      </w:r>
      <w:r w:rsidR="003A0B5F" w:rsidRPr="003B14B1">
        <w:t>Beno</w:t>
      </w:r>
      <w:r w:rsidR="00AA3B9E" w:rsidRPr="003B14B1">
        <w:t>î</w:t>
      </w:r>
      <w:r w:rsidR="003A0B5F" w:rsidRPr="003B14B1">
        <w:t>t</w:t>
      </w:r>
      <w:r w:rsidR="003A0B5F" w:rsidRPr="00EC5610">
        <w:t xml:space="preserve"> Champagne</w:t>
      </w:r>
      <w:r w:rsidR="003248D2" w:rsidRPr="00EC5610">
        <w:rPr>
          <w:vertAlign w:val="superscript"/>
        </w:rPr>
        <w:t>3</w:t>
      </w:r>
      <w:r w:rsidR="00157D8D" w:rsidRPr="00EC5610">
        <w:t>*</w:t>
      </w:r>
      <w:r w:rsidR="003A0B5F" w:rsidRPr="00EC5610">
        <w:t>, Stijn Van Cleuvenbergen</w:t>
      </w:r>
      <w:r w:rsidR="003248D2" w:rsidRPr="00EC5610">
        <w:rPr>
          <w:vertAlign w:val="superscript"/>
        </w:rPr>
        <w:t>1</w:t>
      </w:r>
      <w:r w:rsidR="00157D8D" w:rsidRPr="00EC5610">
        <w:t>*</w:t>
      </w:r>
    </w:p>
    <w:p w14:paraId="51008356" w14:textId="60955411" w:rsidR="004B114B" w:rsidRDefault="00B92FAF" w:rsidP="00E75036">
      <w:pPr>
        <w:pStyle w:val="BCAuthorAddress"/>
        <w:jc w:val="left"/>
      </w:pPr>
      <w:r w:rsidRPr="00B92FAF">
        <w:rPr>
          <w:vertAlign w:val="superscript"/>
        </w:rPr>
        <w:t>1</w:t>
      </w:r>
      <w:r>
        <w:t xml:space="preserve">Molecular Imaging and Photonics, Department of Chemistry, KU Leuven, Campus Kulak Kortrijk, Etienne </w:t>
      </w:r>
      <w:proofErr w:type="spellStart"/>
      <w:r>
        <w:t>Sabbelaan</w:t>
      </w:r>
      <w:proofErr w:type="spellEnd"/>
      <w:r>
        <w:t xml:space="preserve"> 53, 8500 Kortrijk, Belgium</w:t>
      </w:r>
      <w:r>
        <w:br/>
      </w:r>
      <w:r w:rsidRPr="00B92FAF">
        <w:rPr>
          <w:vertAlign w:val="superscript"/>
        </w:rPr>
        <w:t>2</w:t>
      </w:r>
      <w:r>
        <w:t xml:space="preserve">Sustainable Materials Lab, Department of Chemical Engineering, KU Leuven, Campus Kulak Kortrijk, Etienne </w:t>
      </w:r>
      <w:proofErr w:type="spellStart"/>
      <w:r>
        <w:t>Sabbelaan</w:t>
      </w:r>
      <w:proofErr w:type="spellEnd"/>
      <w:r>
        <w:t xml:space="preserve"> 53, 8500 Kortrijk, Belgium</w:t>
      </w:r>
      <w:r w:rsidR="00C02A6E">
        <w:br/>
      </w:r>
      <w:r w:rsidR="00C02A6E" w:rsidRPr="003B14B1">
        <w:rPr>
          <w:rFonts w:cs="Times"/>
          <w:vertAlign w:val="superscript"/>
        </w:rPr>
        <w:t>3</w:t>
      </w:r>
      <w:r w:rsidR="00445A20" w:rsidRPr="003B14B1">
        <w:rPr>
          <w:rFonts w:cs="Times"/>
          <w:iCs/>
          <w:color w:val="000000" w:themeColor="text1"/>
        </w:rPr>
        <w:t>Theoretical Chemistry Laboratory, Unit of Theoretical and Structural Physical Chemistry, NISM (Namur Institute of Structured Matter), University of Namur (</w:t>
      </w:r>
      <w:proofErr w:type="spellStart"/>
      <w:r w:rsidR="00445A20" w:rsidRPr="003B14B1">
        <w:rPr>
          <w:rFonts w:cs="Times"/>
          <w:iCs/>
          <w:color w:val="000000" w:themeColor="text1"/>
        </w:rPr>
        <w:t>UNamur</w:t>
      </w:r>
      <w:proofErr w:type="spellEnd"/>
      <w:r w:rsidR="00445A20" w:rsidRPr="003B14B1">
        <w:rPr>
          <w:rFonts w:cs="Times"/>
          <w:iCs/>
          <w:color w:val="000000" w:themeColor="text1"/>
        </w:rPr>
        <w:t>), B-5000 Namur, Belgium</w:t>
      </w:r>
      <w:r w:rsidR="00445A20">
        <w:t xml:space="preserve"> </w:t>
      </w:r>
      <w:r w:rsidR="008D2876">
        <w:br/>
      </w:r>
      <w:r w:rsidR="00091718">
        <w:rPr>
          <w:vertAlign w:val="superscript"/>
        </w:rPr>
        <w:t>4</w:t>
      </w:r>
      <w:r w:rsidR="008D2876">
        <w:t xml:space="preserve">Molecular Imaging and Photonics, Department of Chemistry, KU Leuven, </w:t>
      </w:r>
      <w:proofErr w:type="spellStart"/>
      <w:r w:rsidR="008D2876">
        <w:t>Celestijnlaan</w:t>
      </w:r>
      <w:proofErr w:type="spellEnd"/>
      <w:r w:rsidR="008D2876">
        <w:t xml:space="preserve"> 200D, 3001 </w:t>
      </w:r>
      <w:proofErr w:type="spellStart"/>
      <w:r w:rsidR="008D2876">
        <w:t>Heverlee</w:t>
      </w:r>
      <w:proofErr w:type="spellEnd"/>
      <w:r w:rsidR="008D2876">
        <w:t>, Belgium</w:t>
      </w:r>
      <w:r w:rsidR="000D0B7B">
        <w:t xml:space="preserve"> </w:t>
      </w:r>
      <w:r w:rsidR="001C7430">
        <w:br/>
      </w:r>
      <w:r w:rsidR="00416EEB">
        <w:t xml:space="preserve">Corresponding author for experimental </w:t>
      </w:r>
      <w:hyperlink r:id="rId11" w:history="1">
        <w:r w:rsidR="00416EEB" w:rsidRPr="00D4419E">
          <w:rPr>
            <w:rStyle w:val="Hyperlink"/>
          </w:rPr>
          <w:t>*stijn.vancleuvenbergen@kuleuven.be</w:t>
        </w:r>
      </w:hyperlink>
      <w:r w:rsidR="00871338">
        <w:br/>
      </w:r>
      <w:r w:rsidR="00416EEB">
        <w:t xml:space="preserve">Corresponding author for </w:t>
      </w:r>
      <w:proofErr w:type="spellStart"/>
      <w:r w:rsidR="00416EEB">
        <w:t>theorethical</w:t>
      </w:r>
      <w:proofErr w:type="spellEnd"/>
      <w:r w:rsidR="00416EEB">
        <w:t xml:space="preserve"> </w:t>
      </w:r>
      <w:hyperlink r:id="rId12" w:history="1">
        <w:r w:rsidR="007C3AE6" w:rsidRPr="00D4419E">
          <w:rPr>
            <w:rStyle w:val="Hyperlink"/>
          </w:rPr>
          <w:t>*benoit.champagne@unamur.be</w:t>
        </w:r>
      </w:hyperlink>
    </w:p>
    <w:p w14:paraId="3A16BBDA" w14:textId="5D0B3C30" w:rsidR="0064309B" w:rsidRDefault="00AB34C5" w:rsidP="00493F45">
      <w:pPr>
        <w:pStyle w:val="BGKeywords"/>
      </w:pPr>
      <w:r w:rsidRPr="003538D2">
        <w:rPr>
          <w:b/>
          <w:bCs/>
        </w:rPr>
        <w:t>KEYWORDS</w:t>
      </w:r>
      <w:r w:rsidR="004B114B" w:rsidRPr="003538D2">
        <w:rPr>
          <w:b/>
          <w:bCs/>
        </w:rPr>
        <w:t>:</w:t>
      </w:r>
      <w:r w:rsidR="007677B1">
        <w:t xml:space="preserve"> </w:t>
      </w:r>
      <w:r w:rsidR="00142116">
        <w:t>Hyper</w:t>
      </w:r>
      <w:r w:rsidR="0062126E">
        <w:t>-</w:t>
      </w:r>
      <w:r w:rsidR="00142116">
        <w:t xml:space="preserve">Rayleigh Scattering, Cellulose Nanocrystals, </w:t>
      </w:r>
      <w:r w:rsidR="0061115D">
        <w:t>First</w:t>
      </w:r>
      <w:r w:rsidR="00665935">
        <w:t xml:space="preserve"> Hyperpolarizability, Ab </w:t>
      </w:r>
      <w:proofErr w:type="spellStart"/>
      <w:r w:rsidR="00665935">
        <w:t>inito</w:t>
      </w:r>
      <w:proofErr w:type="spellEnd"/>
    </w:p>
    <w:p w14:paraId="356B112A" w14:textId="77777777" w:rsidR="00855758" w:rsidRDefault="00855758">
      <w:pPr>
        <w:spacing w:after="0"/>
        <w:jc w:val="left"/>
        <w:rPr>
          <w:b/>
          <w:bCs/>
        </w:rPr>
      </w:pPr>
      <w:r>
        <w:rPr>
          <w:b/>
          <w:bCs/>
        </w:rPr>
        <w:br w:type="page"/>
      </w:r>
    </w:p>
    <w:p w14:paraId="7C0F4885" w14:textId="13942F6F" w:rsidR="00835A3E" w:rsidRPr="00207CC4" w:rsidRDefault="00AB34C5" w:rsidP="00955F66">
      <w:pPr>
        <w:pStyle w:val="TAMainText"/>
      </w:pPr>
      <w:r w:rsidRPr="003538D2">
        <w:rPr>
          <w:b/>
          <w:bCs/>
        </w:rPr>
        <w:lastRenderedPageBreak/>
        <w:t>ABSTRACT</w:t>
      </w:r>
      <w:r w:rsidR="007677B1" w:rsidRPr="003538D2">
        <w:rPr>
          <w:b/>
          <w:bCs/>
        </w:rPr>
        <w:t>:</w:t>
      </w:r>
      <w:r w:rsidR="007677B1">
        <w:t xml:space="preserve"> </w:t>
      </w:r>
      <w:r w:rsidR="00906915" w:rsidRPr="00BA3B27">
        <w:rPr>
          <w:rFonts w:cs="Times"/>
        </w:rPr>
        <w:t>Cellulose nanocrystals (CNCs) have attracted considerable interest due to their optical properties, though their nonlinear optical behavior remains largely unexplored. In this paper, we investigate the second-order nonlinear optical (SONLO) response of CNCs through both experimental and theoretical investigations. Hyper-Rayleigh scattering (HRS) experiments revealed values comparable to well-known nonlinear optical biomaterials, such as collagen</w:t>
      </w:r>
      <w:r w:rsidR="00906915">
        <w:rPr>
          <w:rFonts w:cs="Times"/>
        </w:rPr>
        <w:t xml:space="preserve">, </w:t>
      </w:r>
      <w:r w:rsidR="00906915" w:rsidRPr="00286C69">
        <w:rPr>
          <w:rFonts w:cs="Times"/>
        </w:rPr>
        <w:t>and on par with inorganic reference materials like KDP</w:t>
      </w:r>
      <w:r w:rsidR="00906915" w:rsidRPr="00BA3B27">
        <w:rPr>
          <w:rFonts w:cs="Times"/>
        </w:rPr>
        <w:t xml:space="preserve">. </w:t>
      </w:r>
      <w:r w:rsidR="00906915" w:rsidRPr="00286C69">
        <w:rPr>
          <w:rFonts w:cs="Times"/>
        </w:rPr>
        <w:t>The strong response in CNCs can be attributed to the well-ordered structure of the cellulose chains, which enhances the overall susceptibility of the nanoparticles.</w:t>
      </w:r>
      <w:r w:rsidR="00906915">
        <w:rPr>
          <w:rFonts w:cs="Times"/>
        </w:rPr>
        <w:t xml:space="preserve"> </w:t>
      </w:r>
      <w:r w:rsidR="00906915" w:rsidRPr="00BA3B27">
        <w:rPr>
          <w:rFonts w:cs="Times"/>
        </w:rPr>
        <w:t xml:space="preserve">Quantum chemical modeling using density functional theory (DFT) was employed to simulate the molecular hyperpolarizability of CNCs. The study reduced the complex first hyperpolarizability tensor of the CNCs to two key components,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zzz</m:t>
            </m:r>
          </m:sub>
        </m:sSub>
      </m:oMath>
      <w:r w:rsidR="00906915" w:rsidRPr="00BA3B27">
        <w:rPr>
          <w:rFonts w:cs="Times"/>
        </w:rPr>
        <w:t xml:space="preserve"> and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zyy</m:t>
            </m:r>
          </m:sub>
        </m:sSub>
      </m:oMath>
      <w:r w:rsidR="00906915" w:rsidRPr="00BA3B27">
        <w:rPr>
          <w:rFonts w:cs="Times"/>
        </w:rPr>
        <w:t>. An electrostatic model was applied to account for the CNCs' shape and dielectric properties, leading to strong agreement with the experimental data. Our findings highlight the potential of CNCs for optoelectronic applications and provide valuable insights for characterizing CNC-based mesomaterials</w:t>
      </w:r>
      <w:r w:rsidR="00AE4E91">
        <w:rPr>
          <w:rFonts w:cs="Times"/>
        </w:rPr>
        <w:t xml:space="preserve"> through </w:t>
      </w:r>
      <w:r w:rsidR="000D0BFF">
        <w:rPr>
          <w:rFonts w:cs="Times"/>
        </w:rPr>
        <w:t>two-photon microscopy</w:t>
      </w:r>
      <w:r w:rsidR="00906915" w:rsidRPr="00BA3B27">
        <w:rPr>
          <w:rFonts w:cs="Times"/>
        </w:rPr>
        <w:t>.</w:t>
      </w:r>
    </w:p>
    <w:p w14:paraId="69EDA6B4" w14:textId="715E0CDA" w:rsidR="00DC65F5" w:rsidRPr="00DC65F5" w:rsidRDefault="00DC65F5" w:rsidP="00DC65F5">
      <w:pPr>
        <w:pStyle w:val="TAMainText"/>
      </w:pPr>
    </w:p>
    <w:p w14:paraId="58DF7A70" w14:textId="77777777" w:rsidR="001C00B3" w:rsidRPr="00B82375" w:rsidRDefault="001C00B3" w:rsidP="00B82375">
      <w:pPr>
        <w:pStyle w:val="TAMainText"/>
        <w:rPr>
          <w:b/>
          <w:bCs/>
        </w:rPr>
      </w:pPr>
    </w:p>
    <w:p w14:paraId="7EB3BED5" w14:textId="77777777" w:rsidR="00855758" w:rsidRDefault="00855758">
      <w:pPr>
        <w:spacing w:after="0"/>
        <w:jc w:val="left"/>
        <w:rPr>
          <w:b/>
          <w:bCs/>
        </w:rPr>
      </w:pPr>
      <w:r>
        <w:rPr>
          <w:b/>
          <w:bCs/>
        </w:rPr>
        <w:br w:type="page"/>
      </w:r>
    </w:p>
    <w:p w14:paraId="067B8A32" w14:textId="515D2DD2" w:rsidR="001C00B3" w:rsidRPr="00B82375" w:rsidRDefault="001C00B3" w:rsidP="00B82375">
      <w:pPr>
        <w:pStyle w:val="TAMainText"/>
        <w:rPr>
          <w:b/>
          <w:bCs/>
        </w:rPr>
      </w:pPr>
      <w:r w:rsidRPr="00B82375">
        <w:rPr>
          <w:b/>
          <w:bCs/>
        </w:rPr>
        <w:lastRenderedPageBreak/>
        <w:t>Part I : Introduction</w:t>
      </w:r>
    </w:p>
    <w:p w14:paraId="223553CB" w14:textId="3F240316" w:rsidR="001E5636" w:rsidRDefault="00BA296C" w:rsidP="00625A53">
      <w:pPr>
        <w:pStyle w:val="TAMainText"/>
      </w:pPr>
      <w:r w:rsidRPr="00B82375">
        <w:t xml:space="preserve">Non centrosymmetric (NCS) </w:t>
      </w:r>
      <w:r w:rsidR="002872E6">
        <w:t>materials</w:t>
      </w:r>
      <w:r w:rsidR="002872E6" w:rsidRPr="00B82375">
        <w:t xml:space="preserve"> </w:t>
      </w:r>
      <w:r w:rsidRPr="00B82375">
        <w:t xml:space="preserve">are the subject of extensive research in the development of </w:t>
      </w:r>
      <w:r w:rsidR="002872E6">
        <w:t>second</w:t>
      </w:r>
      <w:r w:rsidR="00BE7B2D">
        <w:t>-</w:t>
      </w:r>
      <w:r w:rsidR="002872E6">
        <w:t>order nonlin</w:t>
      </w:r>
      <w:r w:rsidR="00401521">
        <w:t xml:space="preserve">ear optical (SONLO) </w:t>
      </w:r>
      <w:r w:rsidRPr="00B82375">
        <w:t xml:space="preserve">applications </w:t>
      </w:r>
      <w:r w:rsidR="00401521">
        <w:t>including</w:t>
      </w:r>
      <w:r w:rsidRPr="00B82375">
        <w:t xml:space="preserve"> electro-optical switching, laser technologies and bioimaging.</w:t>
      </w:r>
      <w:r w:rsidR="00A51175">
        <w:fldChar w:fldCharType="begin" w:fldLock="1"/>
      </w:r>
      <w:r w:rsidR="00FE5C24">
        <w:instrText>ADDIN CSL_CITATION {"citationItems":[{"id":"ITEM-1","itemData":{"DOI":"10.1038/nbt899","ISSN":"10870156","PMID":"14595365","abstract":"Multiphoton microscopy (MPM) has found a niche in the world of biological imaging as the best noninvasive means of fluorescence microscopy in tissue explants and living animals. Coupled with transgenic mouse models of disease and 'smart' genetically encoded fluorescent indicators, its use is now increasing exponentially. Properly applied, it is capable of measuring calcium transients 500 μm deep in a mouse brain, or quantifying blood flow by imaging shadows of blood cells as they race through capillaries. With the multitude of possibilities afforded by variations of nonlinear optics and localized photochemistry, it is possible to image collagen fibrils directly within tissue through nonlinear scattering, or release caged compounds in subfemtoliter volumes.","author":[{"dropping-particle":"","family":"Zipfel","given":"Warren R.","non-dropping-particle":"","parse-names":false,"suffix":""},{"dropping-particle":"","family":"Williams","given":"Rebecca M.","non-dropping-particle":"","parse-names":false,"suffix":""},{"dropping-particle":"","family":"Webb","given":"Watt W.","non-dropping-particle":"","parse-names":false,"suffix":""}],"container-title":"Nature Biotechnology","id":"ITEM-1","issue":"11","issued":{"date-parts":[["2003"]]},"page":"1369-1377","title":"Nonlinear magic: Multiphoton microscopy in the biosciences","type":"article-journal","volume":"21"},"uris":["http://www.mendeley.com/documents/?uuid=09bf9dc4-24f6-4aae-b59f-4da7e06de553"]},{"id":"ITEM-2","itemData":{"DOI":"10.1038/nmeth818","ISSN":"15487091","PMID":"16299478","abstract":"With few exceptions biological tissues strongly scatter light, making high-resolution deep imaging impossible for traditional - including confocal - fluorescence microscopy. Nonlinear optical microscopy, in particular two photon-excited fluorescence microscopy, has overcome this limitation, providing large depth penetration mainly because even multiply scattered signal photons can be assigned to their origin as the result of localized nonlinear signal generation. Two-photon microscopy thus allows cellular imaging several hundred microns deep in various organs of living animals. Here we review fundamental concepts of nonlinear microscopy and discuss conditions relevant for achieving large imaging depths in intact tissue. © 2005 Nature Publishing Group.","author":[{"dropping-particle":"","family":"Helmchen","given":"Fritjof","non-dropping-particle":"","parse-names":false,"suffix":""},{"dropping-particle":"","family":"Denk","given":"Winfried","non-dropping-particle":"","parse-names":false,"suffix":""}],"container-title":"Nature Methods","id":"ITEM-2","issue":"12","issued":{"date-parts":[["2005"]]},"page":"932-940","title":"Deep tissue two-photon microscopy","type":"article-journal","volume":"2"},"uris":["http://www.mendeley.com/documents/?uuid=594531b5-2a35-4b3c-913f-60abb21c9489"]},{"id":"ITEM-3","itemData":{"DOI":"10.1021/jp302665t","ISSN":"19327447","abstract":"Organic microcrystals obtained from an octupolar molecule are studied by polarized nonlinear optical microscopy. While two-photon fluorescence microscopy is employed to verify the monocrystallinity of the analyzed domains, second-harmonic generation microscopy allowed determination of the point group symmetry of the crystallites. This combined analysis revealed that the achiral, octupolar molecules form chiral and polar conglomerate structures; the former are confirmed by circular dichroism spectroscopy. We additionally present a convenient and straightforward image analysis protocol, based on polarization dependent second-harmonic generation microscopy. This allows assessing the local organization and homogeneity of crystalline structures, which is highly relevant for technological applications, with high resolution and sensitivity. © 2012 American Chemical Society.","author":[{"dropping-particle":"","family":"Cleuvenbergen","given":"Stijn","non-dropping-particle":"Van","parse-names":false,"suffix":""},{"dropping-particle":"","family":"Hennrich","given":"Gunther","non-dropping-particle":"","parse-names":false,"suffix":""},{"dropping-particle":"","family":"Willot","given":"Pieter","non-dropping-particle":"","parse-names":false,"suffix":""},{"dropping-particle":"","family":"Koeckelberghs","given":"Guy","non-dropping-particle":"","parse-names":false,"suffix":""},{"dropping-particle":"","family":"Clays","given":"Koen","non-dropping-particle":"","parse-names":false,"suffix":""},{"dropping-particle":"","family":"Verbiest","given":"Thierry","non-dropping-particle":"","parse-names":false,"suffix":""},{"dropping-particle":"","family":"Veen","given":"Monique A.","non-dropping-particle":"Van Der","parse-names":false,"suffix":""}],"container-title":"Journal of Physical Chemistry C","id":"ITEM-3","issue":"22","issued":{"date-parts":[["2012"]]},"note":"mypublication-article2","page":"12219-12225","title":"All optical determination of microscopic and macroscopic structure of chiral, polar microcrystals from achiral, nonpolar molecules","type":"article-journal","volume":"116"},"uris":["http://www.mendeley.com/documents/?uuid=4cbd83a0-9069-4351-8656-8a4199449a3a"]},{"id":"ITEM-4","itemData":{"DOI":"10.1364/oe.16.011310","ISSN":"10944087","PMID":"18648450","abstract":"Organic nonlinear optical materials have proven to possess high and extremely fast nonlinearities compared to conventional inorganic crystals, allowing for sub-1-V driving voltages and modulation bandwidths of over 100 GHz. Compared to more widely studied poled electro-optic polymers, organic electro-optic crystals exhibit orders of magnitude better thermal and photochemical stability. The lack of available structuring techniques for organic crystals has been the major drawback for exploring their potential for photonic structures. Here we present a new approach to fabricate high-quality electrooptic single crystal waveguides and nanowires of configurationally locked polyene DAT2 (2-(3-(2-(4-dimethylaminophenyl)vinyl)-5,5- dimethylcyclohex-2-enylidene)malononitrile). The high-index-contrast waveguides (Δn = 0.54 {\\textpm}0.04) are grown from the melt between two anodically bonded borosilicate glass wafers, which are structured and equipped with electrodes prior to bonding. Electro-optic phase modulation is demonstrated for the first time in the non-centrosymmetric DAT2 single crystalline channel waveguides at a wavelength of 1.55 μm. We also show that this technique in combination with DAT2 material allows for the fabrication of single-crystalline nanostructures inside large-area devices with crystal thicknesses below 30 nm and lengths of above 7 mm.","author":[{"dropping-particle":"","family":"Figi","given":"Harry","non-dropping-particle":"","parse-names":false,"suffix":""},{"dropping-particle":"","family":"Jazbinšek","given":"Mojca","non-dropping-particle":"","parse-names":false,"suffix":""},{"dropping-particle":"","family":"Hunziker","given":"Christoph","non-dropping-particle":"","parse-names":false,"suffix":""},{"dropping-particle":"","family":"Koechlin","given":"Manuel","non-dropping-particle":"","parse-names":false,"suffix":""},{"dropping-particle":"","family":"Günter","given":"Peter","non-dropping-particle":"","parse-names":false,"suffix":""}],"container-title":"Optics Express","id":"ITEM-4","issue":"15","issued":{"date-parts":[["2008"]]},"page":"11310","title":"Electro-optic single-crystalline organic waveguides and nanowires grown from the melt","type":"article-journal","volume":"16"},"uris":["http://www.mendeley.com/documents/?uuid=4c4f48d8-ca65-446a-af70-c1b8fbf5c98e"]},{"id":"ITEM-5","itemData":{"DOI":"10.1039/c5dt04632g","ISSN":"14779234","abstract":"Polar metal-organic frameworks have potential applications as functional non-linear optical, piezoelectric, pyroelectric and ferroelectric materials. Using second harmonic generation microscopy we found that fluoride doping of the microporous iron(iii) terephthalate MOF MIL-53(Fe) induces a polar organization in its structure, which was not previously detected with XRD. The polar order is only observed when both fluoride and guest molecules are present, and may be related to a complex interplay between the adsorbates and the framework, leading to a modification of the positioning of fluoride in the inorganic Fe-chains. Combined polarized second harmonic generation microscopy and scanning pyroelectric microscopy show that the polar axis is unidirectional and of the same sense over the whole crystal, extending up to 100 micrometers. This finding shows how MOF materials can be endowed with useful properties by doping MOFs with fluoride.","author":[{"dropping-particle":"","family":"Markey","given":"Karen","non-dropping-particle":"","parse-names":false,"suffix":""},{"dropping-particle":"","family":"Putzeys","given":"Tristan","non-dropping-particle":"","parse-names":false,"suffix":""},{"dropping-particle":"","family":"Horcajada","given":"Patricia","non-dropping-particle":"","parse-names":false,"suffix":""},{"dropping-particle":"","family":"Devic","given":"Thomas","non-dropping-particle":"","parse-names":false,"suffix":""},{"dropping-particle":"","family":"Guillou","given":"Nathalie","non-dropping-particle":"","parse-names":false,"suffix":""},{"dropping-particle":"","family":"Wübbenhorst","given":"Michael","non-dropping-particle":"","parse-names":false,"suffix":""},{"dropping-particle":"","family":"Cleuvenbergen","given":"Stijn","non-dropping-particle":"Van","parse-names":false,"suffix":""},{"dropping-particle":"","family":"Verbiest","given":"Thierry","non-dropping-particle":"","parse-names":false,"suffix":""},{"dropping-particle":"","family":"Vos","given":"Dirk E.","non-dropping-particle":"De","parse-names":false,"suffix":""},{"dropping-particle":"","family":"Veen","given":"Monique A.","non-dropping-particle":"Van Der","parse-names":false,"suffix":""}],"container-title":"Dalton Transactions","id":"ITEM-5","issue":"10","issued":{"date-parts":[["2016"]]},"page":"4401-4406","publisher":"Royal Society of Chemistry","title":"Second harmonic generation microscopy reveals hidden polar organization in fluoride doped MIL-53(Fe)","type":"article-journal","volume":"45"},"uris":["http://www.mendeley.com/documents/?uuid=3e80f9e5-4419-401a-a85c-7ec61987ceac"]}],"mendeley":{"formattedCitation":"&lt;sup&gt;1–5&lt;/sup&gt;","plainTextFormattedCitation":"1–5","previouslyFormattedCitation":"&lt;sup&gt;1–5&lt;/sup&gt;"},"properties":{"noteIndex":0},"schema":"https://github.com/citation-style-language/schema/raw/master/csl-citation.json"}</w:instrText>
      </w:r>
      <w:r w:rsidR="00A51175">
        <w:fldChar w:fldCharType="separate"/>
      </w:r>
      <w:r w:rsidR="0032246C" w:rsidRPr="0032246C">
        <w:rPr>
          <w:noProof/>
          <w:vertAlign w:val="superscript"/>
        </w:rPr>
        <w:t>1–5</w:t>
      </w:r>
      <w:r w:rsidR="00A51175">
        <w:fldChar w:fldCharType="end"/>
      </w:r>
      <w:r w:rsidRPr="00B82375">
        <w:t xml:space="preserve"> Commonly used materials in these applications involve nonlinear optical inorganic crystals such as LiNbO</w:t>
      </w:r>
      <w:r w:rsidRPr="009031FA">
        <w:rPr>
          <w:vertAlign w:val="subscript"/>
        </w:rPr>
        <w:t>3</w:t>
      </w:r>
      <w:r w:rsidRPr="00B82375">
        <w:t xml:space="preserve"> and BaTiO</w:t>
      </w:r>
      <w:r w:rsidRPr="009031FA">
        <w:rPr>
          <w:vertAlign w:val="subscript"/>
        </w:rPr>
        <w:t>3</w:t>
      </w:r>
      <w:r w:rsidRPr="00B82375">
        <w:t xml:space="preserve"> for electro-optical modulators or KNbO</w:t>
      </w:r>
      <w:r w:rsidRPr="009031FA">
        <w:rPr>
          <w:vertAlign w:val="subscript"/>
        </w:rPr>
        <w:t>3</w:t>
      </w:r>
      <w:r w:rsidRPr="00B82375">
        <w:t xml:space="preserve"> for frequency locking in laser devices, amongst others.</w:t>
      </w:r>
      <w:r w:rsidRPr="00B82375">
        <w:fldChar w:fldCharType="begin" w:fldLock="1"/>
      </w:r>
      <w:r w:rsidR="00FE5C24">
        <w:instrText>ADDIN CSL_CITATION {"citationItems":[{"id":"ITEM-1","itemData":{"DOI":"10.1021/acsami.1c03406","ISSN":"19448252","PMID":"33856188","abstract":"Electro-optic (EO) modulation is of interest to impart information onto an optical carrier. Inorganic crystals - most notably LiNbO3 and BaTiO3 - exhibit EO modulation and good stability, but are difficult to integrate with silicon photonic technology. Solution-processed organic EO materials are readily integrated but suffer from thermal degradation at the temperatures required in operating conditions for accelerated reliability studies. Hybrid organic-inorganic metal halide perovskites have the potential to overcome these limitations; however, these have so far relied on heavy metals such as lead and cadmium. Here, we report linear EO modulation using metal-free perovskites, which maintain the crystalline features of the inorganic EO materials and incorporate the flexible functionality of organic EO chromophores. We find that, by introducing a deficiency of cations, we reduce the symmetry in the perovskite crystal and produce thereby an increased EO response. The best-engineered perovskites reported herein showcase an EO coefficient of 14 pm V-1 at a modulation frequency of 80 kHz, an order of magnitude higher than in the nondefective materials. We observe split peaks in the X-ray diffraction and neutron diffraction patterns of the defective sample, indicating that the crystalline structure has been distorted and the symmetry reduced. Density functional theory (DFT) studies link this decreased symmetry to NH4+ deficiencies. This demonstration of EO from metal-free perovskites highlights their potential in next-generation optical information transmission.","author":[{"dropping-particle":"","family":"Gao","given":"Yuan","non-dropping-particle":"","parse-names":false,"suffix":""},{"dropping-particle":"","family":"Meshkat","given":"Shadi","non-dropping-particle":"","parse-names":false,"suffix":""},{"dropping-particle":"","family":"Johnston","given":"Andrew","non-dropping-particle":"","parse-names":false,"suffix":""},{"dropping-particle":"","family":"Zheng","given":"Chao","non-dropping-particle":"","parse-names":false,"suffix":""},{"dropping-particle":"","family":"Walters","given":"Grant","non-dropping-particle":"","parse-names":false,"suffix":""},{"dropping-particle":"","family":"Feng","given":"Qixin","non-dropping-particle":"","parse-names":false,"suffix":""},{"dropping-particle":"","family":"Wang","given":"Xiaoping","non-dropping-particle":"","parse-names":false,"suffix":""},{"dropping-particle":"","family":"Sun","given":"Meng Jia","non-dropping-particle":"","parse-names":false,"suffix":""},{"dropping-particle":"","family":"Najarian","given":"Amin Morteza","non-dropping-particle":"","parse-names":false,"suffix":""},{"dropping-particle":"","family":"Xue","given":"Dingjiang","non-dropping-particle":"","parse-names":false,"suffix":""},{"dropping-particle":"","family":"Wang","given":"Ya Kun","non-dropping-particle":"","parse-names":false,"suffix":""},{"dropping-particle":"","family":"Saidaminov","given":"Makhsud I.","non-dropping-particle":"","parse-names":false,"suffix":""},{"dropping-particle":"","family":"Voznyy","given":"Oleksandr","non-dropping-particle":"","parse-names":false,"suffix":""},{"dropping-particle":"","family":"Hoogland","given":"Sjoerd","non-dropping-particle":"","parse-names":false,"suffix":""},{"dropping-particle":"","family":"Sargent","given":"Edward H.","non-dropping-particle":"","parse-names":false,"suffix":""}],"container-title":"ACS Applied Materials and Interfaces","id":"ITEM-1","issue":"16","issued":{"date-parts":[["2021"]]},"page":"19042-19047","title":"Electro-Optic Modulation Using Metal-Free Perovskites","type":"article-journal","volume":"13"},"uris":["http://www.mendeley.com/documents/?uuid=efcb0d57-e4ec-40f1-80ed-c0c085a5889c"]},{"id":"ITEM-2","itemData":{"DOI":"10.1364/ol.19.001183","ISSN":"0146-9592","abstract":"Second-harmonic generation of a semiconductor distributed-feedback laser at 1560nm is described. It is produced by use of a 4.8-mm-long KNbO3 crystalat room temperature. As much as 2.2 nW of power at 780 nm is obtained for 11.3mW of fundamental power incident upon the crystal. This signal is used tointerrogate a component of the linear absorption profile of the D2line in 87Rb (780.241 nm) and to produce an error signal used tofrequency lock the 1560-nm distributed-feedback laser. Such a system cantherefore be a candidate for establishing an absolute wavelength standard at1560 nm.","author":[{"dropping-particle":"","family":"Poulin","given":"M.","non-dropping-particle":"","parse-names":false,"suffix":""},{"dropping-particle":"","family":"Latrasse","given":"C.","non-dropping-particle":"","parse-names":false,"suffix":""},{"dropping-particle":"","family":"Têtu","given":"M.","non-dropping-particle":"","parse-names":false,"suffix":""},{"dropping-particle":"","family":"Breton","given":"M.","non-dropping-particle":"","parse-names":false,"suffix":""}],"container-title":"Optics Letters","id":"ITEM-2","issue":"16","issued":{"date-parts":[["1994"]]},"page":"1183","title":"Second-harmonic generation of a 1560-nm distributed-feedback laser by use of a KNbO_3 crystal for frequency locking to the ^87Rb D_2 line at 780 nm","type":"article-journal","volume":"19"},"uris":["http://www.mendeley.com/documents/?uuid=da5c418d-042f-4b88-bba4-1286856c9328"]}],"mendeley":{"formattedCitation":"&lt;sup&gt;6,7&lt;/sup&gt;","plainTextFormattedCitation":"6,7","previouslyFormattedCitation":"&lt;sup&gt;6,7&lt;/sup&gt;"},"properties":{"noteIndex":0},"schema":"https://github.com/citation-style-language/schema/raw/master/csl-citation.json"}</w:instrText>
      </w:r>
      <w:r w:rsidRPr="00B82375">
        <w:fldChar w:fldCharType="separate"/>
      </w:r>
      <w:r w:rsidR="0032246C" w:rsidRPr="0032246C">
        <w:rPr>
          <w:noProof/>
          <w:vertAlign w:val="superscript"/>
        </w:rPr>
        <w:t>6,7</w:t>
      </w:r>
      <w:r w:rsidRPr="00B82375">
        <w:fldChar w:fldCharType="end"/>
      </w:r>
      <w:r w:rsidRPr="00B82375">
        <w:t xml:space="preserve"> </w:t>
      </w:r>
      <w:r w:rsidR="00373BE5" w:rsidRPr="00373BE5">
        <w:t>Another route for developing functional CNC-based NLO organics is through the use of liquid crystalline material</w:t>
      </w:r>
      <w:r w:rsidR="0010108C">
        <w:t>.</w:t>
      </w:r>
      <w:r w:rsidR="00A04BE2">
        <w:fldChar w:fldCharType="begin" w:fldLock="1"/>
      </w:r>
      <w:r w:rsidR="003C532D">
        <w:instrText>ADDIN CSL_CITATION {"citationItems":[{"id":"ITEM-1","itemData":{"DOI":"10.1002/ange.201705138","ISSN":"0044-8249","abstract":" The design of efficient noncentrosymmetric materials remains the ultimate goal in the field of organic second‐order nonlinear optics. Unlike inorganic crystals currently used in second‐order nonlinear optical applications, organic materials are an attractive alternative owing to their fast electro‐optical response and processability, but their alignment into noncentrosymmetric film remains challenging. Here, symmetry breaking by judicious functionalization of 3D organic octupoles allows the emergence of multifunctional liquid crystalline chromophores which can easily be processed into large, flexible, thin, and self‐oriented films with second harmonic generation responses competitive to the prototypical inorganic KH 2 PO 4 crystals. The liquid‐crystalline nature of these chiral organic films also permits the modulation of the nonlinear optical properties owing to the sensitivity of the supramolecular organization to temperature, leading to the development of tunable macroscopic materials. ","author":[{"dropping-particle":"","family":"Cleuvenbergen","given":"Stijn","non-dropping-particle":"van","parse-names":false,"suffix":""},{"dropping-particle":"","family":"Kędziora","given":"Przemysław","non-dropping-particle":"","parse-names":false,"suffix":""},{"dropping-particle":"","family":"Fillaut","given":"Jean‐Luc","non-dropping-particle":"","parse-names":false,"suffix":""},{"dropping-particle":"","family":"Verbiest","given":"Thierry","non-dropping-particle":"","parse-names":false,"suffix":""},{"dropping-particle":"","family":"Clays","given":"Koen","non-dropping-particle":"","parse-names":false,"suffix":""},{"dropping-particle":"","family":"Akdas‐Kilig","given":"Huriye","non-dropping-particle":"","parse-names":false,"suffix":""},{"dropping-particle":"","family":"Camerel","given":"Franck","non-dropping-particle":"","parse-names":false,"suffix":""}],"container-title":"Angewandte Chemie","id":"ITEM-1","issue":"32","issued":{"date-parts":[["2017"]]},"page":"9674-9678","title":"Chiral Side Groups Trigger Second Harmonic Generation Activity in 3D Octupolar Bipyrimidine‐Based Organic Liquid Crystals","type":"article-journal","volume":"129"},"uris":["http://www.mendeley.com/documents/?uuid=8e4ba1f0-2fdd-41b4-96df-3a5cf0b6d9b2"]},{"id":"ITEM-2","itemData":{"DOI":"10.1021/jo302297j","ISSN":"15206904","abstract":"A set of chiral discotic phenylacetylenes have been synthesized by 3-fold Sonogashira coupling between different ethynylbenzenes and triiodobenzenes. The resultant bulk materials are fully characterized by polarized optical microscopy (POM), differential scanning calorimetry (DSC), and X-ray diffraction. The octopolar nature of the target compounds is studied by UVa-vis absorption spectroscopy and hyper-Raleigh scattering in solution. Optimization of the donora-acceptor substitution yields both high hyperpolarizability values and appreciable mesomorphic properties. A simple thin film device for second harmonic generation has been prepared from the nitro-substituted liquid crystalline derivative. © 2012 American Chemical Society.","author":[{"dropping-particle":"","family":"Vega","given":"Laura","non-dropping-particle":"De","parse-names":false,"suffix":""},{"dropping-particle":"","family":"Cleuvenbergen","given":"Stijn","non-dropping-particle":"Van","parse-names":false,"suffix":""},{"dropping-particle":"","family":"Depotter","given":"Griet","non-dropping-particle":"","parse-names":false,"suffix":""},{"dropping-particle":"","family":"García-Frutos","given":"Eva M.","non-dropping-particle":"","parse-names":false,"suffix":""},{"dropping-particle":"","family":"Gómez-Lor","given":"Berta","non-dropping-particle":"","parse-names":false,"suffix":""},{"dropping-particle":"","family":"Omenat","given":"Ana","non-dropping-particle":"","parse-names":false,"suffix":""},{"dropping-particle":"","family":"Tejedor","given":"Rosa M.","non-dropping-particle":"","parse-names":false,"suffix":""},{"dropping-particle":"","family":"Serrano","given":"José Luis","non-dropping-particle":"","parse-names":false,"suffix":""},{"dropping-particle":"","family":"Hennrich","given":"Gunther","non-dropping-particle":"","parse-names":false,"suffix":""},{"dropping-particle":"","family":"Clays","given":"Koen","non-dropping-particle":"","parse-names":false,"suffix":""}],"container-title":"Journal of Organic Chemistry","id":"ITEM-2","issue":"23","issued":{"date-parts":[["2012"]]},"page":"10891-10896","title":"Nonlinear optical thin film device from a chiral octopolar phenylacetylene liquid crystal","type":"article-journal","volume":"77"},"uris":["http://www.mendeley.com/documents/?uuid=30bd032f-9423-49b2-aad8-217c6bd5b180"]},{"id":"ITEM-3","itemData":{"DOI":"10.1016/j.molliq.2021.115328","ISSN":"01677322","abstract":"Nonlinear optical (NLO) properties of three chiral smectic liquid crystals were investigated by Hyper-Rayleigh Scattering (HRS) and the Second-Harmonic Generation (SHG) methods. The HRS measurements of two compounds (MHPOBC and D16), with the biphenyl unit in their center, in solution demonstrate the quadratic NLO activity. The third compound (D17), having three isolated phenyl rings in the core, does not exhibit the NLO activity. The NLO properties in smectic phases of all investigated compounds have been also studied by wide-field second-harmonic and two-photon fluorescence microscopy confirming noncentrosymmetry for compounds with biphenyl π coupling (MHPOBC and D16).","author":[{"dropping-particle":"","family":"Cleuvenbergen","given":"Stijn","non-dropping-particle":"van","parse-names":false,"suffix":""},{"dropping-particle":"","family":"Depotter","given":"Griet","non-dropping-particle":"","parse-names":false,"suffix":""},{"dropping-particle":"","family":"Clays","given":"Koen","non-dropping-particle":"","parse-names":false,"suffix":""},{"dropping-particle":"","family":"Kędziora","given":"Przemysław","non-dropping-particle":"","parse-names":false,"suffix":""}],"container-title":"Journal of Molecular Liquids","id":"ITEM-3","issued":{"date-parts":[["2021"]]},"title":"Second-order NLO response in chiral ferroelectric liquid crystals: Molecular and bulk consideration","type":"article-journal","volume":"326"},"uris":["http://www.mendeley.com/documents/?uuid=6c8cadba-3fda-412d-8cf9-ac420a5e7ba3"]}],"mendeley":{"formattedCitation":"&lt;sup&gt;8–10&lt;/sup&gt;","plainTextFormattedCitation":"8–10","previouslyFormattedCitation":"&lt;sup&gt;8–10&lt;/sup&gt;"},"properties":{"noteIndex":0},"schema":"https://github.com/citation-style-language/schema/raw/master/csl-citation.json"}</w:instrText>
      </w:r>
      <w:r w:rsidR="00A04BE2">
        <w:fldChar w:fldCharType="separate"/>
      </w:r>
      <w:r w:rsidR="00374347" w:rsidRPr="00374347">
        <w:rPr>
          <w:noProof/>
          <w:vertAlign w:val="superscript"/>
        </w:rPr>
        <w:t>8–10</w:t>
      </w:r>
      <w:r w:rsidR="00A04BE2">
        <w:fldChar w:fldCharType="end"/>
      </w:r>
      <w:r w:rsidRPr="00B82375">
        <w:t xml:space="preserve"> </w:t>
      </w:r>
      <w:r w:rsidR="008F227E">
        <w:t>Through extensive research</w:t>
      </w:r>
      <w:r w:rsidRPr="00B82375">
        <w:t xml:space="preserve">, organic </w:t>
      </w:r>
      <w:r w:rsidR="002D46E4">
        <w:t xml:space="preserve">compounds, </w:t>
      </w:r>
      <w:r w:rsidR="002D46E4" w:rsidRPr="00B82375">
        <w:t>typically based on D-π-A motifs</w:t>
      </w:r>
      <w:r w:rsidR="002D46E4">
        <w:t>,</w:t>
      </w:r>
      <w:r w:rsidR="000417E6">
        <w:t xml:space="preserve"> have surpassed their inorganic counterparts, </w:t>
      </w:r>
      <w:r w:rsidR="008C4699">
        <w:t xml:space="preserve">showing higher </w:t>
      </w:r>
      <w:r w:rsidR="00E4760F">
        <w:t>nonlinearities</w:t>
      </w:r>
      <w:r w:rsidR="000D018C">
        <w:t xml:space="preserve"> and faster responses</w:t>
      </w:r>
      <w:r w:rsidR="00E4760F">
        <w:t>.</w:t>
      </w:r>
      <w:r w:rsidR="00DB4D1F">
        <w:fldChar w:fldCharType="begin" w:fldLock="1"/>
      </w:r>
      <w:r w:rsidR="003C532D">
        <w:instrText>ADDIN CSL_CITATION {"citationItems":[{"id":"ITEM-1","itemData":{"DOI":"10.1002/adma.202104174","ISSN":"15214095","PMID":"34545643","abstract":"High performance organic electro-optic (OEO) materials enable ultrahigh bandwidth, small footprint, and extremely low drive voltage in silicon-organic hybrid and plasmonic-organic hybrid photonic devices. However, practical OEO materials under device-relevant conditions are generally limited to performance of ≈300 pm V−1 (10× the EO response of lithium niobate). By means of theory-guided design, a new series of OEO chromophores is demonstrated, based on strong bis(4-dialkylaminophenyl)phenylamino electron donating groups, capable of EO coefficients (r33) in excess of 1000 pm V−1. Density functional theory modeling and hyper-Rayleigh scattering measurements are performed and confirm the large improvement in hyperpolarizability due to the stronger donor. The EO performance of the exemplar chromophore in the series, BAY1, is evaluated neat and at various concentrations in polymer host and shows a nearly linear increase in r33 and poling efficiency (r33/Ep, Ep is poling field) with increasing chromophore concentration. 25 wt% BAY1/polymer composite shows a higher poling efficiency (3.9 ± 0.1 nm2 V−2) than state-of-the-art neat chromophores. Using a high-ε charge blocking layer with BAY1, a record-high r33 (1100 ± 100 pm V−1) and poling efficiency (17.8 ± 0.8 nm2 V−2) at 1310 nm are achieved. This is the first reported OEO material with electro-optic response larger than thin-film barium titanate.","author":[{"dropping-particle":"","family":"Xu","given":"Huajun","non-dropping-particle":"","parse-names":false,"suffix":""},{"dropping-particle":"","family":"Elder","given":"Delwin L.","non-dropping-particle":"","parse-names":false,"suffix":""},{"dropping-particle":"","family":"Johnson","given":"Lewis E.","non-dropping-particle":"","parse-names":false,"suffix":""},{"dropping-particle":"","family":"Coene","given":"Yovan","non-dropping-particle":"de","parse-names":false,"suffix":""},{"dropping-particle":"","family":"Hammond","given":"Scott R.","non-dropping-particle":"","parse-names":false,"suffix":""},{"dropping-particle":"","family":"Ghinst","given":"Wouter","non-dropping-particle":"Vander","parse-names":false,"suffix":""},{"dropping-particle":"","family":"Clays","given":"Koen","non-dropping-particle":"","parse-names":false,"suffix":""},{"dropping-particle":"","family":"Dalton","given":"Larry R.","non-dropping-particle":"","parse-names":false,"suffix":""},{"dropping-particle":"","family":"Robinson","given":"Bruce H.","non-dropping-particle":"","parse-names":false,"suffix":""}],"container-title":"Advanced Materials","id":"ITEM-1","issue":"45","issued":{"date-parts":[["2021"]]},"page":"1-9","title":"Electro-Optic Activity in Excess of 1000 pm V−1 Achieved via Theory-Guided Organic Chromophore Design","type":"article-journal","volume":"33"},"uris":["http://www.mendeley.com/documents/?uuid=2b1ab404-9547-486d-9af1-d76a4868a380"]},{"id":"ITEM-2","itemData":{"DOI":"10.1039/c4tc00616j","ISSN":"20507526","abstract":"Disubstituted poly(phenanthrene), a conjugated polymer, has been studied by hyper-Rayleigh scattering. Although this compound lacks the donor-acceptor motif that is typically associated with a strong second-order nonlinear optical response, the (intrinsic) hyperpolarizability ranks among the highest ever measured, breaking the longstanding apparent limit. The linear and nonlinear optical properties of the polymer depend strongly on the solvent conditions, affecting the macromolecular organization. An explanation for these unexpected results is postulated and is based on modulation of conjugation along the polymer backbone. As the molecular structure of the compound does not at all fit into the classical paradigms, our observations put these theories into perspective. © 2014 the Partner Organisations.","author":[{"dropping-particle":"","family":"Cleuvenbergen","given":"Stijn","non-dropping-particle":"Van","parse-names":false,"suffix":""},{"dropping-particle":"","family":"Asselberghs","given":"Inge","non-dropping-particle":"","parse-names":false,"suffix":""},{"dropping-particle":"","family":"Vanormelingen","given":"Wouter","non-dropping-particle":"","parse-names":false,"suffix":""},{"dropping-particle":"","family":"Verbiest","given":"Thierry","non-dropping-particle":"","parse-names":false,"suffix":""},{"dropping-particle":"","family":"Franz","given":"Edith","non-dropping-particle":"","parse-names":false,"suffix":""},{"dropping-particle":"","family":"Clays","given":"Koen","non-dropping-particle":"","parse-names":false,"suffix":""},{"dropping-particle":"","family":"Kuzyk","given":"Mark G.","non-dropping-particle":"","parse-names":false,"suffix":""},{"dropping-particle":"","family":"Koeckelberghs","given":"Guy","non-dropping-particle":"","parse-names":false,"suffix":""}],"container-title":"Journal of Materials Chemistry C","id":"ITEM-2","issue":"23","issued":{"date-parts":[["2014"]]},"page":"4533-4538","title":"Record-high hyperpolarizabilities in conjugated polymers","type":"article-journal","volume":"2"},"uris":["http://www.mendeley.com/documents/?uuid=7f57c726-1424-4f72-95a7-70dab8d5bd70"]}],"mendeley":{"formattedCitation":"&lt;sup&gt;11,12&lt;/sup&gt;","plainTextFormattedCitation":"11,12","previouslyFormattedCitation":"&lt;sup&gt;11,12&lt;/sup&gt;"},"properties":{"noteIndex":0},"schema":"https://github.com/citation-style-language/schema/raw/master/csl-citation.json"}</w:instrText>
      </w:r>
      <w:r w:rsidR="00DB4D1F">
        <w:fldChar w:fldCharType="separate"/>
      </w:r>
      <w:r w:rsidR="00374347" w:rsidRPr="00374347">
        <w:rPr>
          <w:noProof/>
          <w:vertAlign w:val="superscript"/>
        </w:rPr>
        <w:t>11,12</w:t>
      </w:r>
      <w:r w:rsidR="00DB4D1F">
        <w:fldChar w:fldCharType="end"/>
      </w:r>
      <w:r w:rsidRPr="00B82375">
        <w:t xml:space="preserve"> These compounds can be processed into high</w:t>
      </w:r>
      <w:r w:rsidR="00D04BB3">
        <w:t xml:space="preserve">ly </w:t>
      </w:r>
      <w:r w:rsidR="00DA2B7E">
        <w:t>performant</w:t>
      </w:r>
      <w:r w:rsidR="00D04BB3">
        <w:t xml:space="preserve"> SONLO </w:t>
      </w:r>
      <w:r w:rsidR="00C97600">
        <w:t>films</w:t>
      </w:r>
      <w:r w:rsidRPr="00B82375">
        <w:t xml:space="preserve"> </w:t>
      </w:r>
      <w:r w:rsidR="00766340">
        <w:t xml:space="preserve">compatible with commercial photonic </w:t>
      </w:r>
      <w:r w:rsidR="0099248D">
        <w:t xml:space="preserve">platforms </w:t>
      </w:r>
      <w:r w:rsidRPr="00B82375">
        <w:t>more easily than their inorganic counterparts through electric field poling</w:t>
      </w:r>
      <w:r w:rsidR="00D04BB3">
        <w:t>, although</w:t>
      </w:r>
      <w:r w:rsidR="008332C3">
        <w:t xml:space="preserve"> t</w:t>
      </w:r>
      <w:r w:rsidR="005C1397">
        <w:t>hey generally exhibit lower</w:t>
      </w:r>
      <w:r w:rsidR="00D04BB3">
        <w:t xml:space="preserve"> </w:t>
      </w:r>
      <w:r w:rsidR="00F647BA">
        <w:t>optical and thermal</w:t>
      </w:r>
      <w:r w:rsidR="00F51D6C">
        <w:t xml:space="preserve"> stability</w:t>
      </w:r>
      <w:r w:rsidRPr="00B82375">
        <w:t>.</w:t>
      </w:r>
      <w:r w:rsidRPr="00B82375">
        <w:fldChar w:fldCharType="begin" w:fldLock="1"/>
      </w:r>
      <w:r w:rsidR="003C532D">
        <w:instrText>ADDIN CSL_CITATION {"citationItems":[{"id":"ITEM-1","itemData":{"DOI":"10.1021/acs.chemmater.9b03725","ISSN":"15205002","abstract":"The development of organic electro-optic (EO) materials that concurrently possess a high electro-optic coefficient (r33), high index of refraction, and long-Term or high-Temperature stability of chromophore alignment has been a crucial goal. To address this challenge, we developed a crosslinkable EO system consisting of two chromophores, HLD1 and HLD2, which can be electric field poled and then thermally crosslinked in situ to form a stable EO material. This approach avoids the necessity for nonlinear optically inactive materials such as polymers or small molecule cross-linkers, thus resulting in high chromophore density (&gt;5 × 1020 molecules/cm3) and high index of refraction (n = 1.89 at 1310 nm) for HLD1/HLD2. Different ratios of HLD1 and HLD2 were evaluated to optimize poling efficiency and thermal stability of the poling-induced order. With 2:1 HLD1/HLD2 (wt/wt), a maximum r33 of 290 ± 30 pm/V was achieved in a cross-linked film. Thermal stability tests showed that after heating to 85 °C for 500 h, greater than 99% of the initial r33 value was maintained. This combination of large EO activity, high index of refraction, and long-Term alignment stability is an important breakthrough in EO materials. HLD1/HLD2 can also be poled without the subsequent cross-linking step, and even larger maximum r33 (460 ± 30 pm/V) and n3r33 figure of merit (3100 ± 200 pm/V) were achieved. Hyperpolarizabilities of HLD and control molecules were analyzed by hyper-Rayleigh scattering and computational modeling with good agreement, and they help explain the high acentric order achieved during poling.","author":[{"dropping-particle":"","family":"Xu","given":"Huajun","non-dropping-particle":"","parse-names":false,"suffix":""},{"dropping-particle":"","family":"Liu","given":"Fenggang","non-dropping-particle":"","parse-names":false,"suffix":""},{"dropping-particle":"","family":"Elder","given":"Delwin L.","non-dropping-particle":"","parse-names":false,"suffix":""},{"dropping-particle":"","family":"Johnson","given":"Lewis E.","non-dropping-particle":"","parse-names":false,"suffix":""},{"dropping-particle":"","family":"Coene","given":"Yovan","non-dropping-particle":"De","parse-names":false,"suffix":""},{"dropping-particle":"","family":"Clays","given":"Koen","non-dropping-particle":"","parse-names":false,"suffix":""},{"dropping-particle":"","family":"Robinson","given":"Bruce H.","non-dropping-particle":"","parse-names":false,"suffix":""},{"dropping-particle":"","family":"Dalton","given":"Larry R.","non-dropping-particle":"","parse-names":false,"suffix":""}],"container-title":"Chemistry of Materials","id":"ITEM-1","issue":"4","issued":{"date-parts":[["2020"]]},"page":"1408-1421","title":"Ultrahigh Electro-Optic Coefficients, High Index of Refraction, and Long-Term Stability from Diels-Alder Cross-Linkable Binary Molecular Glasses","type":"article-journal","volume":"32"},"uris":["http://www.mendeley.com/documents/?uuid=2843b87e-051d-4c2f-a157-037c1dbc0905"]},{"id":"ITEM-2","itemData":{"DOI":"10.3390/molecules29133188","ISSN":"14203049","abstract":"The preparation of high-performance electro-optical materials is one of the key factors determining the application of optoelectronic communication technology such as 5G communication, radar detection, terahertz, and electro-optic modulators. Organic electro-optic materials have the advantage of a high electro-optic coefficient (~1000 pm/V) and could allow the utilization of photonic devices for the chip-scale integration of electronics and photonics, as compared to inorganic electro-optic materials. However, the application of organic nonlinear optical materials to commercial electro-optic modulators and other fields is also facing technical bottlenecks. Obtaining an organic electro-optic chromophore with a large electro-optic coefficient (r33 value), thermal stability, and long-term stability is still a difficulty in the industry. This brief review summarizes recent great progress and the strategies to obtain high-performance OEO materials with a high electro-optic coefficient and/or strong long-term stability. The configuration of D-π-A structure, the types of materials, and the effects of molecular engineering on the electro-optical coefficient and glass transition temperature of chromophores were summarized in detail. The difficulties and future development trends in the practical application of organic electro-optic materials was also discussed.","author":[{"dropping-particle":"","family":"Feng","given":"Shuhui","non-dropping-particle":"","parse-names":false,"suffix":""},{"dropping-particle":"","family":"Wu","given":"Shuangke","non-dropping-particle":"","parse-names":false,"suffix":""},{"dropping-particle":"","family":"Zhang","given":"Weijun","non-dropping-particle":"","parse-names":false,"suffix":""},{"dropping-particle":"","family":"Liu","given":"Fenggang","non-dropping-particle":"","parse-names":false,"suffix":""},{"dropping-particle":"","family":"Wang","given":"Jiahai","non-dropping-particle":"","parse-names":false,"suffix":""}],"container-title":"Molecules","id":"ITEM-2","issue":"13","issued":{"date-parts":[["2024"]]},"title":"Organic Electro-Optic Materials with High Electro-Optic Coefficients and Strong Stability","type":"article-journal","volume":"29"},"uris":["http://www.mendeley.com/documents/?uuid=0fe40ec9-c33c-4234-93f1-3a8d5c723d5b"]}],"mendeley":{"formattedCitation":"&lt;sup&gt;13,14&lt;/sup&gt;","plainTextFormattedCitation":"13,14","previouslyFormattedCitation":"&lt;sup&gt;13,14&lt;/sup&gt;"},"properties":{"noteIndex":0},"schema":"https://github.com/citation-style-language/schema/raw/master/csl-citation.json"}</w:instrText>
      </w:r>
      <w:r w:rsidRPr="00B82375">
        <w:fldChar w:fldCharType="separate"/>
      </w:r>
      <w:r w:rsidR="00374347" w:rsidRPr="00374347">
        <w:rPr>
          <w:noProof/>
          <w:vertAlign w:val="superscript"/>
        </w:rPr>
        <w:t>13,14</w:t>
      </w:r>
      <w:r w:rsidRPr="00B82375">
        <w:fldChar w:fldCharType="end"/>
      </w:r>
      <w:r w:rsidRPr="00B82375">
        <w:t xml:space="preserve"> </w:t>
      </w:r>
    </w:p>
    <w:p w14:paraId="31DF3C0F" w14:textId="1106BF01" w:rsidR="00CD404C" w:rsidRDefault="00383B85" w:rsidP="001E5907">
      <w:pPr>
        <w:pStyle w:val="TAMainText"/>
      </w:pPr>
      <w:r w:rsidRPr="00383B85">
        <w:t xml:space="preserve">Cellulose nanocrystals (CNCs) are </w:t>
      </w:r>
      <w:r w:rsidR="003A5278">
        <w:t xml:space="preserve">highly crystalline </w:t>
      </w:r>
      <w:r w:rsidRPr="00383B85">
        <w:t>r</w:t>
      </w:r>
      <w:r w:rsidR="005A4FA7">
        <w:t>ibbon</w:t>
      </w:r>
      <w:r w:rsidRPr="00383B85">
        <w:t xml:space="preserve">-like nanoparticles </w:t>
      </w:r>
      <w:r w:rsidR="003A5278">
        <w:t>extracted</w:t>
      </w:r>
      <w:r w:rsidR="003A5278" w:rsidRPr="00383B85">
        <w:t xml:space="preserve"> </w:t>
      </w:r>
      <w:r w:rsidRPr="00383B85">
        <w:t>from natural</w:t>
      </w:r>
      <w:r w:rsidR="00FB2552">
        <w:t xml:space="preserve">ly </w:t>
      </w:r>
      <w:r w:rsidR="00AE4C26">
        <w:t>occurring</w:t>
      </w:r>
      <w:r w:rsidRPr="00383B85">
        <w:t xml:space="preserve"> cellulose. </w:t>
      </w:r>
      <w:r w:rsidR="003A5278">
        <w:t>As t</w:t>
      </w:r>
      <w:r w:rsidR="002106C9">
        <w:t>he crystal structure of naturally occurring c</w:t>
      </w:r>
      <w:r w:rsidR="00E260B3">
        <w:t>ellulose</w:t>
      </w:r>
      <w:r w:rsidR="00E260B3" w:rsidRPr="00383B85">
        <w:t xml:space="preserve"> </w:t>
      </w:r>
      <w:r w:rsidR="00B01B7C">
        <w:t>(I</w:t>
      </w:r>
      <w:r w:rsidR="00B01B7C" w:rsidRPr="00AD29EC">
        <w:rPr>
          <w:rFonts w:ascii="Symbol" w:hAnsi="Symbol"/>
          <w:vertAlign w:val="subscript"/>
        </w:rPr>
        <w:t>a</w:t>
      </w:r>
      <w:r w:rsidR="00B01B7C">
        <w:t xml:space="preserve"> and/or I</w:t>
      </w:r>
      <w:r w:rsidR="00B01B7C" w:rsidRPr="00AD29EC">
        <w:rPr>
          <w:rFonts w:ascii="Symbol" w:hAnsi="Symbol"/>
          <w:vertAlign w:val="subscript"/>
        </w:rPr>
        <w:t>b</w:t>
      </w:r>
      <w:r w:rsidR="00B01B7C">
        <w:t xml:space="preserve"> depending on the source material) is</w:t>
      </w:r>
      <w:r w:rsidRPr="00383B85">
        <w:t xml:space="preserve"> non-centrosymmetric (NCS), </w:t>
      </w:r>
      <w:r w:rsidR="00B01B7C">
        <w:t>CNCs</w:t>
      </w:r>
      <w:r w:rsidR="009972B6">
        <w:t xml:space="preserve"> are </w:t>
      </w:r>
      <w:r w:rsidRPr="00383B85">
        <w:t xml:space="preserve">active in </w:t>
      </w:r>
      <w:r w:rsidR="00F46B2F">
        <w:t xml:space="preserve">SONLO </w:t>
      </w:r>
      <w:r w:rsidRPr="00383B85">
        <w:t xml:space="preserve">processes. However, </w:t>
      </w:r>
      <w:r w:rsidR="00CF7858">
        <w:t xml:space="preserve">these </w:t>
      </w:r>
      <w:r w:rsidR="00984C06">
        <w:t>NLO</w:t>
      </w:r>
      <w:r w:rsidRPr="00383B85">
        <w:t xml:space="preserve"> properties have not yet been thoroughly studied.</w:t>
      </w:r>
    </w:p>
    <w:p w14:paraId="0EC10B81" w14:textId="00D9AC63" w:rsidR="00747BA7" w:rsidRDefault="001E5636" w:rsidP="001E5907">
      <w:pPr>
        <w:pStyle w:val="TAMainText"/>
      </w:pPr>
      <w:r w:rsidRPr="00B82375">
        <w:t xml:space="preserve">CNCs </w:t>
      </w:r>
      <w:r w:rsidR="00291C39">
        <w:t>can be aligned</w:t>
      </w:r>
      <w:r w:rsidRPr="00B82375">
        <w:t xml:space="preserve"> through external field poling</w:t>
      </w:r>
      <w:r w:rsidR="00631F62">
        <w:t xml:space="preserve"> thanks to their high dipole moment</w:t>
      </w:r>
      <w:r w:rsidRPr="00B82375">
        <w:t>. Magnetic and electric fields have been found to align the crystals in parallel alignmen</w:t>
      </w:r>
      <w:r w:rsidR="00BF68A9">
        <w:t>t.</w:t>
      </w:r>
      <w:r w:rsidR="005A4EA9">
        <w:fldChar w:fldCharType="begin" w:fldLock="1"/>
      </w:r>
      <w:r w:rsidR="003C532D">
        <w:instrText>ADDIN CSL_CITATION {"citationItems":[{"id":"ITEM-1","itemData":{"DOI":"10.1021/acs.langmuir.6b01827","ISSN":"15205827","abstract":"Cellulose nanocrystals (CNCs) are emerging nanomaterials that form chiral nematic liquid crystals above a critical concentration (C) and additionally orient within electromagnetic fields. The control over CNC alignment is significant for materials processing and end use; to date, magnetic alignment has been demonstrated using only strong fields over extended or arbitrary time scales. This work investigates the effects of comparatively weak magnetic fields (0-1.2 T) and CNC concentration (1.65-8.25 wt %) on the kinetics and degree of CNC ordering using small-angle X-ray scattering. Interparticle spacing, correlation length, and orientation order parameters (n and S) increased with time and field strength following a sigmoidal profile. In a 1.2 T magnetic field for CNC suspensions above C, partial alignment occurred in under 2 min followed by slower cooperative ordering to achieve nearly perfect alignment in under 200 min (S = -0.499 where S = -0.5 indicates perfect antialignment). At 0.56 T, nearly perfect alignment was also achieved, yet the ordering was 36% slower. Outside of a magnetic field, the order parameter plateaued at 52% alignment (S = -0.26) after 5 h, showcasing the drastic effects of relatively weak magnetic fields on CNC alignment. For suspensions below C, no magnetic alignment was detected.","author":[{"dropping-particle":"","family":"France","given":"Kevin J.","non-dropping-particle":"De","parse-names":false,"suffix":""},{"dropping-particle":"","family":"Yager","given":"Kevin G.","non-dropping-particle":"","parse-names":false,"suffix":""},{"dropping-particle":"","family":"Hoare","given":"Todd","non-dropping-particle":"","parse-names":false,"suffix":""},{"dropping-particle":"","family":"Cranston","given":"Emily D.","non-dropping-particle":"","parse-names":false,"suffix":""}],"container-title":"Langmuir","id":"ITEM-1","issue":"30","issued":{"date-parts":[["2016"]]},"page":"7564-7571","title":"Cooperative Ordering and Kinetics of Cellulose Nanocrystal Alignment in a Magnetic Field","type":"article-journal","volume":"32"},"uris":["http://www.mendeley.com/documents/?uuid=6d758398-c28e-486f-bbad-f089c443ce9f"]},{"id":"ITEM-2","itemData":{"DOI":"10.1002/adom.202101659","ISSN":"21951071","abstract":"A new insight into the control of the helix axis direction and pitch of an aqueous suspension of cellulose nanocrystal-derived lyotropic liquid crystals by electric field strength and frequency is presented. At low frequency, liquid crystalline cellulose nanocrystals exhibit anomalous negative birefringence, with the helix axis lying parallel to the electric field, followed by a helix pitch decrease upon increasing the field strength. In contrast, they initially show a positive birefringence at high frequency, with the helix axis perpendicular to the electric field and increasing helix pitch with increasing field strength. When the electric field strength is further increased, the helix axis rotates orthogonally to align parallel to the electric field, producing negative birefringence. Such electric field-induced manipulation of liquid crystalline cellulose nanocrystal helix axis orientation and pitch can set the stage for various fascinating soft matter nanotechnology applications.","author":[{"dropping-particle":"","family":"Qu","given":"Dan","non-dropping-particle":"","parse-names":false,"suffix":""},{"dropping-particle":"","family":"Zussman","given":"Eyal","non-dropping-particle":"","parse-names":false,"suffix":""}],"container-title":"Advanced Optical Materials","id":"ITEM-2","issue":"5","issued":{"date-parts":[["2022"]]},"page":"1-8","title":"Electric Field-Driven Control of Cholesteric Cellulose Nanocrystal Orientation and Morphology","type":"article-journal","volume":"10"},"uris":["http://www.mendeley.com/documents/?uuid=9a85a800-c979-4947-b827-9daf21f93c67"]},{"id":"ITEM-3","itemData":{"DOI":"10.1002/adma.201606208","author":[{"dropping-particle":"","family":"Frka-petesic","given":"Bruno","non-dropping-particle":"","parse-names":false,"suffix":""},{"dropping-particle":"","family":"Radavidson","given":"Harisoa","non-dropping-particle":"","parse-names":false,"suffix":""},{"dropping-particle":"","family":"Jean","given":"Bruno","non-dropping-particle":"","parse-names":false,"suffix":""},{"dropping-particle":"","family":"Heux","given":"Laurent","non-dropping-particle":"","parse-names":false,"suffix":""}],"id":"ITEM-3","issued":{"date-parts":[["2017"]]},"title":"Dynamically Controlled Iridescence of Cholesteric Cellulose Nanocrystal Suspensions Using Electric Fields","type":"article-journal"},"uris":["http://www.mendeley.com/documents/?uuid=3ae79c08-872a-49a4-9b2c-7d7bb2e58f5c"]}],"mendeley":{"formattedCitation":"&lt;sup&gt;15–17&lt;/sup&gt;","plainTextFormattedCitation":"15–17","previouslyFormattedCitation":"&lt;sup&gt;15–17&lt;/sup&gt;"},"properties":{"noteIndex":0},"schema":"https://github.com/citation-style-language/schema/raw/master/csl-citation.json"}</w:instrText>
      </w:r>
      <w:r w:rsidR="005A4EA9">
        <w:fldChar w:fldCharType="separate"/>
      </w:r>
      <w:r w:rsidR="00374347" w:rsidRPr="00374347">
        <w:rPr>
          <w:noProof/>
          <w:vertAlign w:val="superscript"/>
        </w:rPr>
        <w:t>15–17</w:t>
      </w:r>
      <w:r w:rsidR="005A4EA9">
        <w:fldChar w:fldCharType="end"/>
      </w:r>
      <w:r w:rsidR="00DB4D1F">
        <w:t xml:space="preserve"> </w:t>
      </w:r>
      <w:r w:rsidRPr="00B82375">
        <w:t xml:space="preserve">These could then be encapsulated within a transparent </w:t>
      </w:r>
      <w:r w:rsidR="004F70B1">
        <w:t xml:space="preserve">polymer </w:t>
      </w:r>
      <w:r w:rsidRPr="00B82375">
        <w:t xml:space="preserve">matrix providing a material with strong and coherent </w:t>
      </w:r>
      <w:r w:rsidR="00A17AA5">
        <w:t>NLO</w:t>
      </w:r>
      <w:r w:rsidR="00DE7199">
        <w:t xml:space="preserve"> </w:t>
      </w:r>
      <w:r w:rsidRPr="00B82375">
        <w:t>responses.</w:t>
      </w:r>
      <w:r w:rsidR="00DB4D1F">
        <w:fldChar w:fldCharType="begin" w:fldLock="1"/>
      </w:r>
      <w:r w:rsidR="003C532D">
        <w:instrText>ADDIN CSL_CITATION {"citationItems":[{"id":"ITEM-1","itemData":{"DOI":"10.1002/adom.202101659","ISSN":"21951071","abstract":"A new insight into the control of the helix axis direction and pitch of an aqueous suspension of cellulose nanocrystal-derived lyotropic liquid crystals by electric field strength and frequency is presented. At low frequency, liquid crystalline cellulose nanocrystals exhibit anomalous negative birefringence, with the helix axis lying parallel to the electric field, followed by a helix pitch decrease upon increasing the field strength. In contrast, they initially show a positive birefringence at high frequency, with the helix axis perpendicular to the electric field and increasing helix pitch with increasing field strength. When the electric field strength is further increased, the helix axis rotates orthogonally to align parallel to the electric field, producing negative birefringence. Such electric field-induced manipulation of liquid crystalline cellulose nanocrystal helix axis orientation and pitch can set the stage for various fascinating soft matter nanotechnology applications.","author":[{"dropping-particle":"","family":"Qu","given":"Dan","non-dropping-particle":"","parse-names":false,"suffix":""},{"dropping-particle":"","family":"Zussman","given":"Eyal","non-dropping-particle":"","parse-names":false,"suffix":""}],"container-title":"Advanced Optical Materials","id":"ITEM-1","issue":"5","issued":{"date-parts":[["2022"]]},"page":"1-8","title":"Electric Field-Driven Control of Cholesteric Cellulose Nanocrystal Orientation and Morphology","type":"article-journal","volume":"10"},"uris":["http://www.mendeley.com/documents/?uuid=9a85a800-c979-4947-b827-9daf21f93c67"]}],"mendeley":{"formattedCitation":"&lt;sup&gt;16&lt;/sup&gt;","plainTextFormattedCitation":"16","previouslyFormattedCitation":"&lt;sup&gt;16&lt;/sup&gt;"},"properties":{"noteIndex":0},"schema":"https://github.com/citation-style-language/schema/raw/master/csl-citation.json"}</w:instrText>
      </w:r>
      <w:r w:rsidR="00DB4D1F">
        <w:fldChar w:fldCharType="separate"/>
      </w:r>
      <w:r w:rsidR="00374347" w:rsidRPr="00374347">
        <w:rPr>
          <w:noProof/>
          <w:vertAlign w:val="superscript"/>
        </w:rPr>
        <w:t>16</w:t>
      </w:r>
      <w:r w:rsidR="00DB4D1F">
        <w:fldChar w:fldCharType="end"/>
      </w:r>
      <w:r w:rsidRPr="00B82375">
        <w:t xml:space="preserve"> </w:t>
      </w:r>
      <w:r w:rsidR="007658F0" w:rsidRPr="007658F0">
        <w:t>CNC-based SONLO materials would occupy a unique position in the field, bridging the gap between molecular organics and crystalline inorganics</w:t>
      </w:r>
      <w:r w:rsidR="00305401">
        <w:t>.</w:t>
      </w:r>
      <w:r w:rsidRPr="00B82375">
        <w:t xml:space="preserve"> </w:t>
      </w:r>
      <w:r w:rsidR="00305401">
        <w:t>S</w:t>
      </w:r>
      <w:r w:rsidRPr="00B82375">
        <w:t xml:space="preserve">trong mechanical properties, thermal stability, low cost (relative to other nanoparticles) and wide availability are </w:t>
      </w:r>
      <w:r w:rsidR="003332BF">
        <w:t>among the</w:t>
      </w:r>
      <w:r w:rsidR="002D760B">
        <w:t xml:space="preserve"> </w:t>
      </w:r>
      <w:r w:rsidRPr="00B82375">
        <w:t xml:space="preserve">benefits </w:t>
      </w:r>
      <w:r w:rsidR="003332BF">
        <w:t>of</w:t>
      </w:r>
      <w:r w:rsidRPr="00B82375">
        <w:t xml:space="preserve"> CNC.</w:t>
      </w:r>
      <w:r w:rsidRPr="00B82375">
        <w:fldChar w:fldCharType="begin" w:fldLock="1"/>
      </w:r>
      <w:r w:rsidR="003C532D">
        <w:instrText>ADDIN CSL_CITATION {"citationItems":[{"id":"ITEM-1","itemData":{"DOI":"10.1039/c0cs00108b","ISBN":"1765496829","ISSN":"14604744","PMID":"21566801","abstract":"This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 2011 The Royal Society of Chemistry.","author":[{"dropping-particle":"","family":"Moon","given":"Robert J.","non-dropping-particle":"","parse-names":false,"suffix":""},{"dropping-particle":"","family":"Martini","given":"Ashlie","non-dropping-particle":"","parse-names":false,"suffix":""},{"dropping-particle":"","family":"Nairn","given":"John","non-dropping-particle":"","parse-names":false,"suffix":""},{"dropping-particle":"","family":"Simonsen","given":"John","non-dropping-particle":"","parse-names":false,"suffix":""},{"dropping-particle":"","family":"Youngblood","given":"Jeff","non-dropping-particle":"","parse-names":false,"suffix":""}],"container-title":"Chemical Society Reviews","id":"ITEM-1","issue":"7","issued":{"date-parts":[["2011"]]},"number-of-pages":"3941-3994","title":"Cellulose nanomaterials review: Structure, properties and nanocomposites","type":"book","volume":"40"},"uris":["http://www.mendeley.com/documents/?uuid=fac96663-217b-4938-80b8-b6cbfb602cc6"]}],"mendeley":{"formattedCitation":"&lt;sup&gt;18&lt;/sup&gt;","plainTextFormattedCitation":"18","previouslyFormattedCitation":"&lt;sup&gt;18&lt;/sup&gt;"},"properties":{"noteIndex":0},"schema":"https://github.com/citation-style-language/schema/raw/master/csl-citation.json"}</w:instrText>
      </w:r>
      <w:r w:rsidRPr="00B82375">
        <w:fldChar w:fldCharType="separate"/>
      </w:r>
      <w:r w:rsidR="00374347" w:rsidRPr="00374347">
        <w:rPr>
          <w:noProof/>
          <w:vertAlign w:val="superscript"/>
        </w:rPr>
        <w:t>18</w:t>
      </w:r>
      <w:r w:rsidRPr="00B82375">
        <w:fldChar w:fldCharType="end"/>
      </w:r>
      <w:r w:rsidRPr="00B82375">
        <w:t xml:space="preserve"> </w:t>
      </w:r>
      <w:r w:rsidR="00625A53">
        <w:t xml:space="preserve"> </w:t>
      </w:r>
      <w:r w:rsidR="00E176D1" w:rsidRPr="00B82375">
        <w:t>Another route for developing functional</w:t>
      </w:r>
      <w:r w:rsidR="00E176D1">
        <w:t xml:space="preserve"> </w:t>
      </w:r>
      <w:r w:rsidR="00794BA4">
        <w:t>CNC-based</w:t>
      </w:r>
      <w:r w:rsidR="00E176D1" w:rsidRPr="00B82375">
        <w:t xml:space="preserve"> NLO organics </w:t>
      </w:r>
      <w:r w:rsidR="00E176D1">
        <w:lastRenderedPageBreak/>
        <w:t>is</w:t>
      </w:r>
      <w:r w:rsidR="00E176D1" w:rsidRPr="00B82375">
        <w:t xml:space="preserve"> through the use of liquid crystalline materials.</w:t>
      </w:r>
      <w:r w:rsidR="00E176D1" w:rsidRPr="00B82375">
        <w:fldChar w:fldCharType="begin" w:fldLock="1"/>
      </w:r>
      <w:r w:rsidR="003C532D">
        <w:instrText>ADDIN CSL_CITATION {"citationItems":[{"id":"ITEM-1","itemData":{"DOI":"10.1002/anie.201606895","ISSN":"15213773","PMID":"27633941","abstract":"Adding colloidal nanoparticles into liquid-crystal media has become a promising pathway either to enhance or to introduce novel properties for improved device performance. Here we designed and synthesized new colloidal hybrid silica nanoparticles passivated with a mesogenic monolayer on the surface to facilitate their organo-solubility and compatibility in a liquid-crystal host. The resulting nanoparticles were identified by1H NMR spectroscopy, TEM, TGA, and UV/Vis techniques, and the hybrid nanoparticles were doped into a dual-frequency cholesteric liquid-crystal host to appraise both their compatibility with the host and the effect of the doping concentration on their electro-optical properties. Interestingly, the silica-nanoparticle-doped liquid-crystalline nanocomposites were found to be able to dynamically self-organize into a helical configuration and exhibit multi-stability, that is, homeotropic (transparent), focal conic (opaque), and planar states (partially transparent), depending on the frequency applied at sustained low voltage. Significantly, a higher contrast ratio between the transparent state and scattering state was accomplished in the nanoparticle-embedded liquid-crystal systems.","author":[{"dropping-particle":"","family":"Gutierrez-Cuevas","given":"Karla G.","non-dropping-particle":"","parse-names":false,"suffix":""},{"dropping-particle":"","family":"Wang","given":"Ling","non-dropping-particle":"","parse-names":false,"suffix":""},{"dropping-particle":"","family":"Zheng","given":"Zhi Gang","non-dropping-particle":"","parse-names":false,"suffix":""},{"dropping-particle":"","family":"Bisoyi","given":"Hari K.","non-dropping-particle":"","parse-names":false,"suffix":""},{"dropping-particle":"","family":"Li","given":"Guoqiang","non-dropping-particle":"","parse-names":false,"suffix":""},{"dropping-particle":"","family":"Tan","given":"Loon Seng","non-dropping-particle":"","parse-names":false,"suffix":""},{"dropping-particle":"","family":"Vaia","given":"Richard A.","non-dropping-particle":"","parse-names":false,"suffix":""},{"dropping-particle":"","family":"Li","given":"Quan","non-dropping-particle":"","parse-names":false,"suffix":""}],"container-title":"Angewandte Chemie - International Edition","id":"ITEM-1","issue":"42","issued":{"date-parts":[["2016"]]},"page":"13090-13094","title":"Frequency-Driven Self-Organized Helical Superstructures Loaded with Mesogen-Grafted Silica Nanoparticles","type":"article-journal","volume":"55"},"uris":["http://www.mendeley.com/documents/?uuid=b987d288-dea5-4491-9e90-4b6cff22d207"]},{"id":"ITEM-2","itemData":{"DOI":"10.1016/j.physrep.2009.01.001","ISSN":"03701573","abstract":"Liquid crystals occupy an important niche in nonlinear optics as a result of their unique physical and optical properties. Besides their broadband birefringence and transparency, abilities to self-assemble into various crystalline phases and to conform to various flexible forms and shapes, liquid crystals are compatible with almost all other optoelectronic materials and technology platforms. In both isotropic and ordered phases, liquid crystals possess extraordinarily large optical nonlinearities that stretch over multiple time scales. To date, almost all conceivable nonlinear optical phenomena have been observed in a very broad spectrum spanning the entire visible to infrared and beyond. In this review, we present a self-contained complete discussion of the optical nonlinearities of liquid crystals, and a thorough review of a wide range of nonlinear optical processes and phenomena enabled by these unique properties. Starting with a brief historical account of the development of nonlinear optical studies of the mesophases of liquid crystals, we then review various liquid crystalline materials and structures, and their nonlinear optical properties. Emphasis is placed on the nematic phase, which best exemplifies the dual nature of liquid crystals, although frequent references to other phases are also made. We also delve into recent work on novel structures such as photonic crystals, metamaterials and nanostructures and their special characteristics and emergent properties. The mechanisms and complex nonlocal dynamics of optical nonlinearities associated with laser induced director axis reorientation, thermal, density, and order parameter fluctuations, space charge field formation and photorefractivity are critically reviewed as a foundation for the discussions of various nonlinear optical processes detailed in this paper. © 2009 Elsevier B.V. All rights reserved.","author":[{"dropping-particle":"","family":"Khoo","given":"Iam Choon","non-dropping-particle":"","parse-names":false,"suffix":""}],"container-title":"Physics Reports","id":"ITEM-2","issue":"5-6","issued":{"date-parts":[["2009"]]},"page":"221-267","title":"Nonlinear optics of liquid crystalline materials","type":"article-journal","volume":"471"},"uris":["http://www.mendeley.com/documents/?uuid=fd9cd284-ba34-4f3d-abfe-02eb14581097"]},{"id":"ITEM-3","itemData":{"DOI":"10.1002/anie.201407141","ISSN":"15213773","abstract":"Cellulose nanocrystals (CNCs), known for more than 50 years, have attracted attention because of their unique properties such as high specific strength and modulus, high surface area, and fascinating optical properties. Just recently, however, their potential in supramolecular templating was identified by making use of their self-assembly behavior in aqueous dispersions in the presence of compatible precursors. The combination of the mesoporosity, photonic properties, and chiral nematic order of the materials, which are available as freestanding films, has led to a significant number of interesting and promising discoveries towards new functional materials. This Review summarizes the use of cellulose derivatives, especially CNCs, as novel templates and gives an overview of the recent developments toward new functional materials.","author":[{"dropping-particle":"","family":"Giese","given":"Michael","non-dropping-particle":"","parse-names":false,"suffix":""},{"dropping-particle":"","family":"Blusch","given":"Lina K.","non-dropping-particle":"","parse-names":false,"suffix":""},{"dropping-particle":"","family":"Khan","given":"Mostofa K.","non-dropping-particle":"","parse-names":false,"suffix":""},{"dropping-particle":"","family":"MacLachlan","given":"Mark J.","non-dropping-particle":"","parse-names":false,"suffix":""}],"container-title":"Angewandte Chemie - International Edition","id":"ITEM-3","issue":"10","issued":{"date-parts":[["2015"]]},"page":"2888-2910","title":"Functional materials from cellulose-derived liquid-crystal templates","type":"article-journal","volume":"54"},"uris":["http://www.mendeley.com/documents/?uuid=078fea16-d0ef-44b1-883e-9a0a9fc1c289"]}],"mendeley":{"formattedCitation":"&lt;sup&gt;19–21&lt;/sup&gt;","plainTextFormattedCitation":"19–21","previouslyFormattedCitation":"&lt;sup&gt;19–21&lt;/sup&gt;"},"properties":{"noteIndex":0},"schema":"https://github.com/citation-style-language/schema/raw/master/csl-citation.json"}</w:instrText>
      </w:r>
      <w:r w:rsidR="00E176D1" w:rsidRPr="00B82375">
        <w:fldChar w:fldCharType="separate"/>
      </w:r>
      <w:r w:rsidR="00374347" w:rsidRPr="00374347">
        <w:rPr>
          <w:noProof/>
          <w:vertAlign w:val="superscript"/>
        </w:rPr>
        <w:t>19–21</w:t>
      </w:r>
      <w:r w:rsidR="00E176D1" w:rsidRPr="00B82375">
        <w:fldChar w:fldCharType="end"/>
      </w:r>
      <w:r w:rsidR="00E176D1" w:rsidRPr="00B82375">
        <w:t xml:space="preserve"> In order to engineer organic liquid crystalline materials three requirements must be met and these include (1) a large molecular </w:t>
      </w:r>
      <w:r w:rsidR="00F86EAA">
        <w:t xml:space="preserve">first </w:t>
      </w:r>
      <w:r w:rsidR="00E176D1" w:rsidRPr="00B82375">
        <w:t>hyperpolarizability (</w:t>
      </w:r>
      <m:oMath>
        <m:r>
          <m:rPr>
            <m:sty m:val="p"/>
          </m:rPr>
          <w:rPr>
            <w:rFonts w:ascii="Cambria Math" w:hAnsi="Cambria Math"/>
          </w:rPr>
          <m:t>β</m:t>
        </m:r>
      </m:oMath>
      <w:r w:rsidR="00E176D1" w:rsidRPr="00B82375">
        <w:t>)</w:t>
      </w:r>
      <w:r w:rsidR="00224571">
        <w:t>,</w:t>
      </w:r>
      <w:r w:rsidR="00E176D1" w:rsidRPr="00B82375">
        <w:t xml:space="preserve"> (2) liquid-crystalline </w:t>
      </w:r>
      <w:r w:rsidR="00AE4C26" w:rsidRPr="00B82375">
        <w:t>behavior</w:t>
      </w:r>
      <w:r w:rsidR="00E176D1" w:rsidRPr="00B82375">
        <w:t xml:space="preserve"> and</w:t>
      </w:r>
      <w:r w:rsidR="00224571">
        <w:t>,</w:t>
      </w:r>
      <w:r w:rsidR="00E176D1" w:rsidRPr="00B82375">
        <w:t xml:space="preserve"> (3) a supramolecular NCS organization. </w:t>
      </w:r>
      <w:r w:rsidR="006D23D6">
        <w:t>CN</w:t>
      </w:r>
      <w:r w:rsidR="006D2779">
        <w:t xml:space="preserve">C nanoparticles </w:t>
      </w:r>
      <w:r w:rsidR="00E176D1" w:rsidRPr="00B82375">
        <w:t>with NCS bulk</w:t>
      </w:r>
      <w:r w:rsidR="00F5388A">
        <w:t xml:space="preserve"> </w:t>
      </w:r>
      <w:r w:rsidR="00826C18">
        <w:t>can</w:t>
      </w:r>
      <w:r w:rsidR="00826C18" w:rsidRPr="00B82375">
        <w:t xml:space="preserve"> </w:t>
      </w:r>
      <w:r w:rsidR="00E176D1" w:rsidRPr="00B82375">
        <w:t xml:space="preserve">self-align into chiral nematic phases </w:t>
      </w:r>
      <w:r w:rsidR="00826C18">
        <w:t>above</w:t>
      </w:r>
      <w:r w:rsidR="00826C18" w:rsidRPr="00B82375">
        <w:t xml:space="preserve"> </w:t>
      </w:r>
      <w:r w:rsidR="00E176D1" w:rsidRPr="00B82375">
        <w:t xml:space="preserve">a certain critical concentration in water suspension. </w:t>
      </w:r>
      <w:r w:rsidR="00523BB4">
        <w:t>These mesophases can moreover be</w:t>
      </w:r>
      <w:r w:rsidR="00E176D1" w:rsidRPr="00B82375">
        <w:t xml:space="preserve"> processed into films with photonic structures, as demonstrated in numerous papers and research studies.</w:t>
      </w:r>
      <w:r w:rsidR="00E176D1" w:rsidRPr="00B82375">
        <w:fldChar w:fldCharType="begin" w:fldLock="1"/>
      </w:r>
      <w:r w:rsidR="003C532D">
        <w:instrText>ADDIN CSL_CITATION {"citationItems":[{"id":"ITEM-1","itemData":{"DOI":"10.1038/s41467-022-31079-9","ISBN":"4146702231079","ISSN":"20411723","PMID":"35697688","abstract":"When pursuing sustainable approaches to fabricate photonic structures, nature can be used as a source of inspiration for both the nanoarchitecture and the constituent materials. Although several biomaterials have been promised as suitable candidates for photonic materials and pigments, their fabrication processes have been limited to the small to medium-scale production of films. Here, by employing a substrate-free process, structurally coloured microparticles are produced via the confined self-assembly of a cholesteric cellulose nanocrystal (CNC) suspension within emulsified microdroplets. Upon drying, the droplets undergo multiple buckling events, which allow for greater contraction of the nanostructure than predicted for a spherical geometry. This buckling, combined with a solvent or thermal post-treatment, enables the production of dispersions of vibrant red, green, and blue cellulose photonic pigments. The hierarchical structure of these pigments enables the deposition of coatings with angular independent colour, offering a consistent visual appearance across a wide range of viewing angles.","author":[{"dropping-particle":"","family":"Parker","given":"Richard M.","non-dropping-particle":"","parse-names":false,"suffix":""},{"dropping-particle":"","family":"Zhao","given":"Tianheng H.","non-dropping-particle":"","parse-names":false,"suffix":""},{"dropping-particle":"","family":"Frka-Petesic","given":"Bruno","non-dropping-particle":"","parse-names":false,"suffix":""},{"dropping-particle":"","family":"Vignolini","given":"Silvia","non-dropping-particle":"","parse-names":false,"suffix":""}],"container-title":"Nature Communications","id":"ITEM-1","issue":"1","issued":{"date-parts":[["2022"]]},"note":"Publication-article2","page":"1-11","publisher":"Springer US","title":"Cellulose photonic pigments","type":"article-journal","volume":"13"},"uris":["http://www.mendeley.com/documents/?uuid=52ebeba1-cc47-401c-be64-ef12ac440110"]}],"mendeley":{"formattedCitation":"&lt;sup&gt;22&lt;/sup&gt;","plainTextFormattedCitation":"22","previouslyFormattedCitation":"&lt;sup&gt;22&lt;/sup&gt;"},"properties":{"noteIndex":0},"schema":"https://github.com/citation-style-language/schema/raw/master/csl-citation.json"}</w:instrText>
      </w:r>
      <w:r w:rsidR="00E176D1" w:rsidRPr="00B82375">
        <w:fldChar w:fldCharType="separate"/>
      </w:r>
      <w:r w:rsidR="00374347" w:rsidRPr="00374347">
        <w:rPr>
          <w:noProof/>
          <w:vertAlign w:val="superscript"/>
        </w:rPr>
        <w:t>22</w:t>
      </w:r>
      <w:r w:rsidR="00E176D1" w:rsidRPr="00B82375">
        <w:fldChar w:fldCharType="end"/>
      </w:r>
      <w:r w:rsidR="00E176D1" w:rsidRPr="00B82375">
        <w:t xml:space="preserve"> </w:t>
      </w:r>
      <w:r w:rsidR="00780FDB">
        <w:t>Such</w:t>
      </w:r>
      <w:r w:rsidR="00E176D1" w:rsidRPr="00B82375">
        <w:t xml:space="preserve"> films are potential candidates for the creation of organic SHG active films</w:t>
      </w:r>
      <w:r w:rsidR="00E176D1">
        <w:t>, since their</w:t>
      </w:r>
      <w:r w:rsidR="00E176D1" w:rsidRPr="00B82375">
        <w:t xml:space="preserve"> alignment </w:t>
      </w:r>
      <w:r w:rsidR="00095022">
        <w:t>can</w:t>
      </w:r>
      <w:r w:rsidR="00095022" w:rsidRPr="00B82375">
        <w:t xml:space="preserve"> </w:t>
      </w:r>
      <w:r w:rsidR="00E176D1" w:rsidRPr="00B82375">
        <w:t>be preserved through kinetic arrest</w:t>
      </w:r>
      <w:r w:rsidR="00E176D1">
        <w:t xml:space="preserve"> upon drying.</w:t>
      </w:r>
      <w:r w:rsidR="00381C2C">
        <w:t xml:space="preserve"> </w:t>
      </w:r>
    </w:p>
    <w:p w14:paraId="396CD2FB" w14:textId="34824A7A" w:rsidR="00F96648" w:rsidRDefault="00D54F40" w:rsidP="001E5907">
      <w:pPr>
        <w:pStyle w:val="TAMainText"/>
      </w:pPr>
      <w:r w:rsidRPr="00AB4DA8">
        <w:t xml:space="preserve">Besides their potential for applications, SONLO techniques are also commonly used to characterize the structure of biomaterials. </w:t>
      </w:r>
      <w:r w:rsidR="00465D7A" w:rsidRPr="00AB4DA8">
        <w:t>Recent SHG imaging studies have shown that the CNC chiral nematic phase exhibits a strong SONLO response. These studies have provided valuable insights into the three-dimensional microstructure of these phases.</w:t>
      </w:r>
      <w:r w:rsidR="00DC2B5C">
        <w:fldChar w:fldCharType="begin" w:fldLock="1"/>
      </w:r>
      <w:r w:rsidR="009F56C9">
        <w:instrText>ADDIN CSL_CITATION {"citationItems":[{"id":"ITEM-1","itemData":{"DOI":"10.1126/sciadv.adp2384","ISSN":"23752548","PMID":"39475616","abstract":"Cellulose nanocrystals (CNCs) are bio-based nanoparticles that, under the right conditions, self-align into chiral nematic liquid crystals with a helical pitch. In this work, we exploit the inherent confocal effect of second-harmonic generation (SHG) microscopy to acquire highly resolved three-dimensional (3D) images of the chiral nematic phase of CNCs in a label-free manner. An in-depth analysis revealed a direct link between the observed variations in SHG intensity and the pitch. The highly contrasted 3D images provided unprecedented detail into liquid crystal's native structure. Local alignment, morphology, as well as the presence of defects are readily revealed, and a provisional framework relating the SHG response to the orientational distribution of CNC nanorods within the liquid crystal structure is presented. This paper illustrates the numerous benefits of using SHG microscopy for visualizing CNC chiral nematic systems directly in the suspension-liquid phase and paves the road for using SHG microscopy to characterize other types of aligned CNC structures, in wet and dry states.","author":[{"dropping-particle":"","family":"Legat","given":"Thibaut","non-dropping-particle":"","parse-names":false,"suffix":""},{"dropping-particle":"","family":"Grachev","given":"Vladimir","non-dropping-particle":"","parse-names":false,"suffix":""},{"dropping-particle":"","family":"Kabus","given":"Desmond","non-dropping-particle":"","parse-names":false,"suffix":""},{"dropping-particle":"","family":"Lettinga","given":"Minne Paul","non-dropping-particle":"","parse-names":false,"suffix":""},{"dropping-particle":"","family":"Clays","given":"Koen","non-dropping-particle":"","parse-names":false,"suffix":""},{"dropping-particle":"","family":"Verbiest","given":"Thierry","non-dropping-particle":"","parse-names":false,"suffix":""},{"dropping-particle":"","family":"Coene","given":"Yovan","non-dropping-particle":"de","parse-names":false,"suffix":""},{"dropping-particle":"","family":"Thielemans","given":"Wim","non-dropping-particle":"","parse-names":false,"suffix":""},{"dropping-particle":"","family":"Cleuvenbergen","given":"Stijn","non-dropping-particle":"Van","parse-names":false,"suffix":""}],"container-title":"Science advances","id":"ITEM-1","issue":"44","issued":{"date-parts":[["2024"]]},"page":"eadp2384","title":"Imaging with a twist: Three-dimensional insights of the chiral nematic phase of cellulose nanocrystals via SHG microscopy","type":"article-journal","volume":"10"},"uris":["http://www.mendeley.com/documents/?uuid=caa065bf-652e-42c8-bc35-a257ae5dd371"]}],"mendeley":{"formattedCitation":"&lt;sup&gt;23&lt;/sup&gt;","plainTextFormattedCitation":"23","previouslyFormattedCitation":"&lt;sup&gt;23&lt;/sup&gt;"},"properties":{"noteIndex":0},"schema":"https://github.com/citation-style-language/schema/raw/master/csl-citation.json"}</w:instrText>
      </w:r>
      <w:r w:rsidR="00DC2B5C">
        <w:fldChar w:fldCharType="separate"/>
      </w:r>
      <w:r w:rsidR="00DC2B5C" w:rsidRPr="00DC2B5C">
        <w:rPr>
          <w:noProof/>
          <w:vertAlign w:val="superscript"/>
        </w:rPr>
        <w:t>23</w:t>
      </w:r>
      <w:r w:rsidR="00DC2B5C">
        <w:fldChar w:fldCharType="end"/>
      </w:r>
      <w:r w:rsidR="00465D7A" w:rsidRPr="00AB4DA8">
        <w:t xml:space="preserve"> </w:t>
      </w:r>
      <w:r w:rsidR="00FB1770">
        <w:t>D</w:t>
      </w:r>
      <w:r w:rsidR="00465D7A" w:rsidRPr="00AB4DA8">
        <w:t>espite the strong contrasting mechanism generated by SHG microscopy, the origin of the signal intensity is not well understood.</w:t>
      </w:r>
      <w:r w:rsidR="005E5CBB" w:rsidRPr="00AB4DA8">
        <w:t xml:space="preserve"> </w:t>
      </w:r>
      <w:r w:rsidR="009E2E3B" w:rsidRPr="00AB4DA8">
        <w:t xml:space="preserve">A more precise determination of the magnitude and tensorial nature of the SONLO response is needed to </w:t>
      </w:r>
      <w:r w:rsidR="008F74B8" w:rsidRPr="00AB4DA8">
        <w:t xml:space="preserve">relate the </w:t>
      </w:r>
      <w:r w:rsidR="00AA54C0" w:rsidRPr="00AB4DA8">
        <w:t xml:space="preserve">macroscopic </w:t>
      </w:r>
      <w:r w:rsidR="00EF5301" w:rsidRPr="00AB4DA8">
        <w:t xml:space="preserve">SHG signal to the local </w:t>
      </w:r>
      <w:r w:rsidR="00AA54C0" w:rsidRPr="00AB4DA8">
        <w:t>concentration and organization of the CNCs.</w:t>
      </w:r>
      <w:r w:rsidR="00AB4DA8" w:rsidRPr="00AB4DA8">
        <w:t xml:space="preserve"> </w:t>
      </w:r>
      <w:r w:rsidR="00726FD3" w:rsidRPr="00AB4DA8">
        <w:t>This will aid in interpreting SHG images of the chiral nematic mesophase</w:t>
      </w:r>
      <w:r w:rsidR="00FB1770">
        <w:t>s</w:t>
      </w:r>
      <w:r w:rsidR="00726FD3" w:rsidRPr="00AB4DA8">
        <w:t xml:space="preserve"> in terms of local concentration</w:t>
      </w:r>
      <w:r w:rsidR="00726FD3">
        <w:t xml:space="preserve"> or alignment, which will aid researchers in the field to further optimize the fabrication of CNC</w:t>
      </w:r>
      <w:r w:rsidR="00FB1770">
        <w:t>-</w:t>
      </w:r>
      <w:r w:rsidR="00726FD3">
        <w:t>based photonic structures.</w:t>
      </w:r>
    </w:p>
    <w:p w14:paraId="351B0DC2" w14:textId="3A1A543E" w:rsidR="009064D9" w:rsidRPr="00022884" w:rsidRDefault="3141533B" w:rsidP="635E82E4">
      <w:pPr>
        <w:pStyle w:val="TAMainText"/>
      </w:pPr>
      <w:r>
        <w:t>T</w:t>
      </w:r>
      <w:r w:rsidR="7051BF17">
        <w:t>herefore, t</w:t>
      </w:r>
      <w:r>
        <w:t xml:space="preserve">he </w:t>
      </w:r>
      <w:r w:rsidR="5350C19A">
        <w:t xml:space="preserve">first </w:t>
      </w:r>
      <w:r w:rsidR="69381F50">
        <w:t xml:space="preserve">aim of this study is </w:t>
      </w:r>
      <w:r w:rsidR="0F20A4D0">
        <w:t>to</w:t>
      </w:r>
      <w:r w:rsidR="69381F50">
        <w:t xml:space="preserve"> </w:t>
      </w:r>
      <w:r w:rsidR="4A11CDBF">
        <w:t xml:space="preserve">evaluate </w:t>
      </w:r>
      <w:r w:rsidR="55A3B72A">
        <w:t>the</w:t>
      </w:r>
      <w:r w:rsidR="1D6DEB33">
        <w:t xml:space="preserve"> magnitude of the </w:t>
      </w:r>
      <w:r w:rsidR="55A3B72A">
        <w:t>first</w:t>
      </w:r>
      <w:r w:rsidR="55A3B72A" w:rsidRPr="00B82375">
        <w:t xml:space="preserve"> hyperpolarizability</w:t>
      </w:r>
      <m:oMath>
        <m:r>
          <w:rPr>
            <w:rFonts w:ascii="Cambria Math" w:hAnsi="Cambria Math"/>
          </w:rPr>
          <m:t xml:space="preserve"> β</m:t>
        </m:r>
      </m:oMath>
      <w:r w:rsidR="1D6DEB33">
        <w:rPr>
          <w:b/>
          <w:bCs/>
        </w:rPr>
        <w:t xml:space="preserve"> </w:t>
      </w:r>
      <w:r w:rsidR="1D6DEB33" w:rsidRPr="002D760B">
        <w:t>of CNC</w:t>
      </w:r>
      <w:r w:rsidR="0D2358BC">
        <w:rPr>
          <w:b/>
          <w:bCs/>
        </w:rPr>
        <w:t xml:space="preserve">, </w:t>
      </w:r>
      <w:r w:rsidR="0D2358BC" w:rsidRPr="002D760B">
        <w:t xml:space="preserve">the </w:t>
      </w:r>
      <w:r w:rsidR="793582A4">
        <w:t xml:space="preserve">key </w:t>
      </w:r>
      <w:r w:rsidR="0D2358BC" w:rsidRPr="002D760B">
        <w:t>figure of merit</w:t>
      </w:r>
      <w:r w:rsidR="0D2358BC">
        <w:rPr>
          <w:b/>
          <w:bCs/>
        </w:rPr>
        <w:t xml:space="preserve"> </w:t>
      </w:r>
      <w:r w:rsidR="5B95D529">
        <w:t>for SONLO applications</w:t>
      </w:r>
      <w:r w:rsidR="315EE2ED">
        <w:t>.</w:t>
      </w:r>
      <w:r w:rsidR="55A3B72A" w:rsidRPr="00B82375">
        <w:t xml:space="preserve"> </w:t>
      </w:r>
      <w:r w:rsidR="2EA0504A">
        <w:t>The second aim is to provide insight into the tensorial nature of their SONLO response</w:t>
      </w:r>
      <w:r w:rsidR="13A55419">
        <w:t xml:space="preserve">. </w:t>
      </w:r>
      <w:r w:rsidR="18D12D8C">
        <w:t xml:space="preserve">We </w:t>
      </w:r>
      <w:r w:rsidR="4E323F4E">
        <w:t>set out to achiev</w:t>
      </w:r>
      <w:r w:rsidR="488504BD">
        <w:t xml:space="preserve">e this </w:t>
      </w:r>
      <w:r w:rsidR="3FB51DEB">
        <w:t>experimentally through depolarized</w:t>
      </w:r>
      <w:r w:rsidR="488504BD">
        <w:t xml:space="preserve"> </w:t>
      </w:r>
      <w:r w:rsidR="52EE2200">
        <w:t>HRS</w:t>
      </w:r>
      <w:r w:rsidR="0E69EDAA">
        <w:t xml:space="preserve"> and </w:t>
      </w:r>
      <w:r w:rsidR="3FB51DEB">
        <w:t xml:space="preserve">corroborate our results </w:t>
      </w:r>
      <w:r w:rsidR="58A72C15">
        <w:t xml:space="preserve">by </w:t>
      </w:r>
      <w:r w:rsidR="0E69EDAA">
        <w:t xml:space="preserve">quantum </w:t>
      </w:r>
      <w:r w:rsidR="00A17035">
        <w:t>chemical</w:t>
      </w:r>
      <w:r w:rsidR="007F298B">
        <w:t xml:space="preserve"> </w:t>
      </w:r>
      <w:r w:rsidR="0E69EDAA">
        <w:t xml:space="preserve">modeling. </w:t>
      </w:r>
      <w:r w:rsidR="4F680DD1" w:rsidRPr="00B82375">
        <w:t xml:space="preserve">The first part of the paper details the measurement of low concentration CNC suspensions using </w:t>
      </w:r>
      <w:r w:rsidR="33BE372F">
        <w:t>HRS</w:t>
      </w:r>
      <w:r w:rsidR="4F680DD1" w:rsidRPr="00B82375">
        <w:t>.</w:t>
      </w:r>
      <w:r w:rsidR="00823FA2">
        <w:fldChar w:fldCharType="begin" w:fldLock="1"/>
      </w:r>
      <w:r w:rsidR="009F56C9">
        <w:instrText>ADDIN CSL_CITATION {"citationItems":[{"id":"ITEM-1","itemData":{"DOI":"10.1103/PhysRevLett.66.2980","ISSN":"0031-9007","abstract":"Hyper-Rayleigh scattering in solution is used for the determination of the hyperpolarizability of non-linear optical molecules. Obtaining the first hyperpolarizability-beta without having to independently determine the dipole moment-mu and the second hyperpolarizability-gamma is an advantage over the electric-field-induced second-harmonic generation technique. Values of the first hyperpolarizability-beta of 23 x 10(-30) esu for para-nitroaniline, 105 X 10(-30) esu for 4-methoxy-4'-nitrostilbene, and 95 x 10(-30) esu for 4-hydroxy-4'-nitrostilbene dissolved in chloroform have been obtained. The equivalent-internal-field model is shown to hold for small saturated molecules.","author":[{"dropping-particle":"","family":"Clays","given":"Koen","non-dropping-particle":"","parse-names":false,"suffix":""},{"dropping-particle":"","family":"Persoons","given":"André","non-dropping-particle":"","parse-names":false,"suffix":""}],"container-title":"Physical Review Letters","id":"ITEM-1","issue":"23","issued":{"date-parts":[["1991","6"]]},"page":"2980-2983","publisher":"AMERICAN PHYSICAL SOC, ONE PHYSICS ELLIPSE, COLLEGE PK, MD 20740-3844 USA","title":"Hyper-Rayleigh scattering in solution","type":"article-journal","volume":"66"},"uris":["http://www.mendeley.com/documents/?uuid=3812b82d-6621-4986-b87d-5a6c176c2777"]}],"mendeley":{"formattedCitation":"&lt;sup&gt;24&lt;/sup&gt;","plainTextFormattedCitation":"24","previouslyFormattedCitation":"&lt;sup&gt;24&lt;/sup&gt;"},"properties":{"noteIndex":0},"schema":"https://github.com/citation-style-language/schema/raw/master/csl-citation.json"}</w:instrText>
      </w:r>
      <w:r w:rsidR="00823FA2">
        <w:fldChar w:fldCharType="separate"/>
      </w:r>
      <w:r w:rsidR="00DC2B5C" w:rsidRPr="00DC2B5C">
        <w:rPr>
          <w:noProof/>
          <w:vertAlign w:val="superscript"/>
        </w:rPr>
        <w:t>24</w:t>
      </w:r>
      <w:r w:rsidR="00823FA2">
        <w:fldChar w:fldCharType="end"/>
      </w:r>
      <w:r w:rsidR="4F680DD1" w:rsidRPr="00B82375">
        <w:t xml:space="preserve"> </w:t>
      </w:r>
      <w:r w:rsidR="5A2472EB" w:rsidRPr="00B82375">
        <w:t xml:space="preserve">HRS has been </w:t>
      </w:r>
      <w:r w:rsidR="5A2472EB">
        <w:lastRenderedPageBreak/>
        <w:t>widely adopted</w:t>
      </w:r>
      <w:r w:rsidR="5A2472EB" w:rsidRPr="00B82375">
        <w:t xml:space="preserve"> for the determination of the </w:t>
      </w:r>
      <w:r w:rsidR="5A2472EB">
        <w:t xml:space="preserve">first </w:t>
      </w:r>
      <w:r w:rsidR="7884891C">
        <w:t>h</w:t>
      </w:r>
      <w:r w:rsidR="5A2472EB" w:rsidRPr="00B82375">
        <w:t xml:space="preserve">yperpolarizability of </w:t>
      </w:r>
      <w:r w:rsidR="36125400">
        <w:t xml:space="preserve">SONLO </w:t>
      </w:r>
      <w:r w:rsidR="17AD05F8">
        <w:t xml:space="preserve">chromophores, and </w:t>
      </w:r>
      <w:r w:rsidR="12AC21AD">
        <w:t xml:space="preserve">is also frequently applied to </w:t>
      </w:r>
      <w:r w:rsidR="57F5CFA3">
        <w:t xml:space="preserve">nanocrystalline materials such as </w:t>
      </w:r>
      <w:r w:rsidR="00A76D61">
        <w:t>c</w:t>
      </w:r>
      <w:r w:rsidR="00A76D61" w:rsidRPr="00B82375">
        <w:t>ollagen</w:t>
      </w:r>
      <w:r w:rsidR="281DBA6C">
        <w:t>,</w:t>
      </w:r>
      <w:r w:rsidR="5A2472EB" w:rsidRPr="00B82375">
        <w:t xml:space="preserve"> which </w:t>
      </w:r>
      <w:r w:rsidR="281DBA6C">
        <w:t>is structurally similar to CNC</w:t>
      </w:r>
      <w:r w:rsidR="5A2472EB" w:rsidRPr="00B82375">
        <w:t>.</w:t>
      </w:r>
      <w:r w:rsidR="006B0AD0" w:rsidRPr="00B82375">
        <w:fldChar w:fldCharType="begin" w:fldLock="1"/>
      </w:r>
      <w:r w:rsidR="009F56C9">
        <w:instrText>ADDIN CSL_CITATION {"citationItems":[{"id":"ITEM-1","itemData":{"ISBN":"9781424440801","ISSN":"21622701","author":[{"dropping-particle":"","family":"Deniset-Besseau","given":"A.","non-dropping-particle":"","parse-names":false,"suffix":""},{"dropping-particle":"","family":"Duboisset","given":"J.","non-dropping-particle":"","parse-names":false,"suffix":""},{"dropping-particle":"","family":"Loison","given":"C.","non-dropping-particle":"","parse-names":false,"suffix":""},{"dropping-particle":"","family":"Hache","given":"F.","non-dropping-particle":"","parse-names":false,"suffix":""},{"dropping-particle":"","family":"Benichou","given":"E.","non-dropping-particle":"","parse-names":false,"suffix":""},{"dropping-particle":"","family":"Brevet","given":"P. F.","non-dropping-particle":"","parse-names":false,"suffix":""},{"dropping-particle":"","family":"Schanne-Klein","given":"M. C.","non-dropping-particle":"","parse-names":false,"suffix":""}],"container-title":"Optics InfoBase Conference Papers","id":"ITEM-1","issued":{"date-parts":[["2009"]]},"page":"13437-13445","title":"Second order hyperpolarizability of the collagen triple helix: Measurement and determination of its physical origin","type":"article-journal"},"uris":["http://www.mendeley.com/documents/?uuid=d78324e0-baba-4818-8e02-300458be7d8c"]},{"id":"ITEM-2","itemData":{"DOI":"10.1117/12.793236","ISBN":"9780819472694","ISSN":"0277786X","abstract":"Hyper-Rayleigh scattering (HRS) is the only second-order nonlinear optical (NLO) technique allowed in an isotropic solution. Being an even-order technique, it is sensitive to (non-centro)symmetry. Therefore, HRS is a unique tool to determine solution-phase structure, both in a qualitative and a quantitative way. Examples are presented of the elucidation of the actual D2d octopolar structure of highly symmetric, yet non-centrosymmetric chromophores and of the determination of the value for the opening angle of a chromophore-functionalized alkynyl-calix[4]arene cavity.","author":[{"dropping-particle":"","family":"Clays","given":"Koen","non-dropping-particle":"","parse-names":false,"suffix":""},{"dropping-particle":"","family":"Therien","given":"Michael J.","non-dropping-particle":"","parse-names":false,"suffix":""},{"dropping-particle":"","family":"Hennrich","given":"Gunther","non-dropping-particle":"","parse-names":false,"suffix":""}],"container-title":"Linear and Nonlinear Optics of Organic Materials VIII","id":"ITEM-2","issue":"August 2008","issued":{"date-parts":[["2008"]]},"page":"70490B","title":"Hyper-Rayleigh scattering for solution phase structure determination","type":"article-journal","volume":"7049"},"uris":["http://www.mendeley.com/documents/?uuid=bdde2fde-f1ab-40d6-aa70-2fc85de4e088"]},{"id":"ITEM-3","itemData":{"DOI":"10.1039/D1TC02007B","ISSN":"2050-7526","abstract":"Nonlinear optical techniques are emerging as powerful in-situ probes of crystallization processes due to their inherent sensitivity to crystal structure and morphology.","author":[{"dropping-particle":"","family":"Dok","given":"Ahmet R.","non-dropping-particle":"","parse-names":false,"suffix":""},{"dropping-particle":"","family":"Legat","given":"Thibaut","non-dropping-particle":"","parse-names":false,"suffix":""},{"dropping-particle":"","family":"Coene","given":"Yovan","non-dropping-particle":"de","parse-names":false,"suffix":""},{"dropping-particle":"","family":"Veen","given":"M. A.","non-dropping-particle":"van der","parse-names":false,"suffix":""},{"dropping-particle":"","family":"Verbiest","given":"T.","non-dropping-particle":"","parse-names":false,"suffix":""},{"dropping-particle":"","family":"Cleuvenbergen","given":"Stijn","non-dropping-particle":"Van","parse-names":false,"suffix":""}],"container-title":"Journal of Materials Chemistry C","id":"ITEM-3","issue":"35","issued":{"date-parts":[["2021"]]},"page":"11553-11568","publisher":"Royal Society of Chemistry","title":"Nonlinear optical probes of nucleation and crystal growth: recent progress and future prospects","type":"article-journal","volume":"9"},"uris":["http://www.mendeley.com/documents/?uuid=3cd52610-cc3d-4762-a9f3-a406e544ecd6"]},{"id":"ITEM-4","itemData":{"DOI":"10.1039/a703434b","ISSN":"09599428","abstract":"This paper deals with recent and important developments in the field of organic materials for second-order nonlinear optics. Attention is drawn to current trends in chromophore design with a discussion of current progress and problems in this field. A number of important classes of chromophores, such as one-dimensional charge-transfer molecules, octopolar compounds, ionic materials, multichromophore systems and organometallics, are discussed.","author":[{"dropping-particle":"","family":"Verbiest","given":"Thierry","non-dropping-particle":"","parse-names":false,"suffix":""},{"dropping-particle":"","family":"Houbrechts","given":"Stephan","non-dropping-particle":"","parse-names":false,"suffix":""},{"dropping-particle":"","family":"Kauranen","given":"Martti","non-dropping-particle":"","parse-names":false,"suffix":""},{"dropping-particle":"","family":"Clays","given":"Koen","non-dropping-particle":"","parse-names":false,"suffix":""},{"dropping-particle":"","family":"Persoons","given":"André","non-dropping-particle":"","parse-names":false,"suffix":""}],"container-title":"Journal of Materials Chemistry","id":"ITEM-4","issue":"11","issued":{"date-parts":[["1997"]]},"page":"2175-2189","title":"Second-order nonlinear optical materials: Recent advances in chromophore design","type":"article-journal","volume":"7"},"uris":["http://www.mendeley.com/documents/?uuid=6b70feaf-0219-4130-b9b0-ee70c06b683d"]}],"mendeley":{"formattedCitation":"&lt;sup&gt;25–28&lt;/sup&gt;","plainTextFormattedCitation":"25–28","previouslyFormattedCitation":"&lt;sup&gt;25–28&lt;/sup&gt;"},"properties":{"noteIndex":0},"schema":"https://github.com/citation-style-language/schema/raw/master/csl-citation.json"}</w:instrText>
      </w:r>
      <w:r w:rsidR="006B0AD0" w:rsidRPr="00B82375">
        <w:fldChar w:fldCharType="separate"/>
      </w:r>
      <w:r w:rsidR="00DC2B5C" w:rsidRPr="00DC2B5C">
        <w:rPr>
          <w:noProof/>
          <w:vertAlign w:val="superscript"/>
        </w:rPr>
        <w:t>25–28</w:t>
      </w:r>
      <w:r w:rsidR="006B0AD0" w:rsidRPr="00B82375">
        <w:fldChar w:fldCharType="end"/>
      </w:r>
      <w:r w:rsidR="5A2472EB" w:rsidRPr="00B82375">
        <w:t xml:space="preserve">  </w:t>
      </w:r>
      <w:r w:rsidR="0B57B8FD">
        <w:t xml:space="preserve"> </w:t>
      </w:r>
    </w:p>
    <w:p w14:paraId="12425718" w14:textId="50134EE9" w:rsidR="001E5636" w:rsidRPr="009A1CF5" w:rsidRDefault="001E5636" w:rsidP="00B82375">
      <w:pPr>
        <w:pStyle w:val="TAMainText"/>
      </w:pPr>
      <w:r w:rsidRPr="009A1CF5">
        <w:t xml:space="preserve">The second part of the paper concerns quantum </w:t>
      </w:r>
      <w:r w:rsidR="00A17035">
        <w:t>chemical</w:t>
      </w:r>
      <w:r w:rsidRPr="009A1CF5">
        <w:t xml:space="preserve"> modeling which determines values for the </w:t>
      </w:r>
      <w:r w:rsidR="00941BB5" w:rsidRPr="009A1CF5">
        <w:t>first</w:t>
      </w:r>
      <w:r w:rsidR="00B82375" w:rsidRPr="009A1CF5">
        <w:t xml:space="preserve"> hyperpolarizability </w:t>
      </w:r>
      <w:r w:rsidRPr="009A1CF5">
        <w:t xml:space="preserve">tensor components. The values obtained </w:t>
      </w:r>
      <w:r w:rsidR="00A76D61">
        <w:t>are then</w:t>
      </w:r>
      <w:r w:rsidRPr="009A1CF5">
        <w:t xml:space="preserve"> </w:t>
      </w:r>
      <w:r w:rsidR="00D903B8" w:rsidRPr="009A1CF5">
        <w:t>compared</w:t>
      </w:r>
      <w:r w:rsidRPr="009A1CF5">
        <w:t xml:space="preserve"> with the HRS data</w:t>
      </w:r>
      <w:r w:rsidR="005E0E1B" w:rsidRPr="009A1CF5">
        <w:t xml:space="preserve">. </w:t>
      </w:r>
      <w:r w:rsidR="00D903B8" w:rsidRPr="009A1CF5">
        <w:t xml:space="preserve">More precisely, the full tensor of a </w:t>
      </w: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β</m:t>
            </m:r>
          </m:sub>
        </m:sSub>
      </m:oMath>
      <w:r w:rsidR="00D903B8" w:rsidRPr="009A1CF5">
        <w:rPr>
          <w:iCs/>
        </w:rPr>
        <w:t xml:space="preserve"> cellulose </w:t>
      </w:r>
      <w:r w:rsidR="00D903B8" w:rsidRPr="009A1CF5">
        <w:t xml:space="preserve">crystalline unit cell </w:t>
      </w:r>
      <w:r w:rsidR="00A76D61">
        <w:t>is</w:t>
      </w:r>
      <w:r w:rsidR="00D903B8" w:rsidRPr="009A1CF5">
        <w:t xml:space="preserve"> computed at the Density Functional Theory level of approximation, employing Periodic Boundary Conditions, and a classical electrostatic model </w:t>
      </w:r>
      <w:r w:rsidR="00A76D61">
        <w:t>is</w:t>
      </w:r>
      <w:r w:rsidR="00A76D61" w:rsidRPr="009A1CF5">
        <w:t xml:space="preserve"> </w:t>
      </w:r>
      <w:r w:rsidR="00362AF2" w:rsidRPr="009A1CF5">
        <w:t>subsequently used</w:t>
      </w:r>
      <w:r w:rsidR="00D903B8" w:rsidRPr="009A1CF5">
        <w:t xml:space="preserve"> to get the </w:t>
      </w:r>
      <m:oMath>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HRS</m:t>
            </m:r>
          </m:sub>
        </m:sSub>
      </m:oMath>
      <w:r w:rsidR="00D903B8" w:rsidRPr="009A1CF5">
        <w:t xml:space="preserve"> and depolarization ratio of single nanocrystal</w:t>
      </w:r>
      <w:r w:rsidR="00362AF2" w:rsidRPr="009A1CF5">
        <w:t>s</w:t>
      </w:r>
      <w:r w:rsidR="00912F24" w:rsidRPr="009A1CF5">
        <w:t>, taking into account their shape</w:t>
      </w:r>
      <w:r w:rsidR="00D903B8" w:rsidRPr="009A1CF5">
        <w:t>.</w:t>
      </w:r>
    </w:p>
    <w:p w14:paraId="1613F176" w14:textId="5C2DC98D" w:rsidR="001E5636" w:rsidRPr="00B82375" w:rsidRDefault="001E5636" w:rsidP="00B82375">
      <w:pPr>
        <w:pStyle w:val="TAMainText"/>
      </w:pPr>
      <w:r w:rsidRPr="009A1CF5">
        <w:t>The paper is organized as follows. It begins with a description of the structure of cellulose nanocrystals, detailing their geometrical dimensions and crystal structure, which will be referenced throughout the study. In the following sections, theoretical background, results</w:t>
      </w:r>
      <w:r w:rsidR="00802BE3">
        <w:t>, materials and methods</w:t>
      </w:r>
      <w:r w:rsidRPr="009A1CF5">
        <w:t xml:space="preserve"> of both parts (HRS and quantum </w:t>
      </w:r>
      <w:r w:rsidR="00A17035">
        <w:t>chemical</w:t>
      </w:r>
      <w:r w:rsidRPr="009A1CF5">
        <w:t xml:space="preserve"> modeling) are detailed one after the other. Finally, </w:t>
      </w:r>
      <w:r w:rsidR="002E1CC4">
        <w:t>a comparison is made between the</w:t>
      </w:r>
      <w:r w:rsidRPr="009A1CF5">
        <w:t xml:space="preserve"> </w:t>
      </w:r>
      <w:r w:rsidR="00A11FA5">
        <w:t xml:space="preserve">experimental and theoretical </w:t>
      </w:r>
      <w:r w:rsidRPr="009A1CF5">
        <w:t xml:space="preserve">results </w:t>
      </w:r>
      <w:r w:rsidR="00FE499D" w:rsidRPr="00FE499D">
        <w:t>to arrive at a conclusion</w:t>
      </w:r>
      <w:r w:rsidRPr="009A1CF5">
        <w:t xml:space="preserve">. Additional material characterization and complementary calculations are provided </w:t>
      </w:r>
      <w:r w:rsidR="00D54BC6" w:rsidRPr="009A1CF5">
        <w:t>in</w:t>
      </w:r>
      <w:r w:rsidRPr="009A1CF5">
        <w:t xml:space="preserve"> the supporting information (ESI).</w:t>
      </w:r>
    </w:p>
    <w:p w14:paraId="0B68BBCC" w14:textId="77777777" w:rsidR="00BA127E" w:rsidRDefault="00BA127E">
      <w:pPr>
        <w:spacing w:after="0"/>
        <w:jc w:val="left"/>
        <w:rPr>
          <w:b/>
          <w:bCs/>
        </w:rPr>
      </w:pPr>
      <w:r>
        <w:rPr>
          <w:b/>
          <w:bCs/>
        </w:rPr>
        <w:br w:type="page"/>
      </w:r>
    </w:p>
    <w:p w14:paraId="5DC8B766" w14:textId="4F9E6A81" w:rsidR="00E6639A" w:rsidRPr="00B82375" w:rsidRDefault="00E6639A" w:rsidP="00B82375">
      <w:pPr>
        <w:pStyle w:val="TAMainText"/>
        <w:rPr>
          <w:b/>
          <w:bCs/>
        </w:rPr>
      </w:pPr>
      <w:r w:rsidRPr="00B82375">
        <w:rPr>
          <w:b/>
          <w:bCs/>
        </w:rPr>
        <w:lastRenderedPageBreak/>
        <w:t>Part II : Theory</w:t>
      </w:r>
    </w:p>
    <w:p w14:paraId="78309D24" w14:textId="77777777" w:rsidR="00E6639A" w:rsidRPr="00B82375" w:rsidRDefault="00E6639A" w:rsidP="00B82375">
      <w:pPr>
        <w:pStyle w:val="TAMainText"/>
        <w:rPr>
          <w:b/>
          <w:bCs/>
        </w:rPr>
      </w:pPr>
      <w:r w:rsidRPr="00B82375">
        <w:rPr>
          <w:b/>
          <w:bCs/>
        </w:rPr>
        <w:t>The structure of Cellulose Nanocrystals</w:t>
      </w:r>
    </w:p>
    <w:p w14:paraId="3E4DA394" w14:textId="4AE9B068" w:rsidR="002420EA" w:rsidRPr="00B82375" w:rsidRDefault="002420EA" w:rsidP="00B82375">
      <w:pPr>
        <w:pStyle w:val="TAMainText"/>
      </w:pPr>
      <w:r w:rsidRPr="00B82375">
        <w:t xml:space="preserve">CNC are </w:t>
      </w:r>
      <w:r w:rsidR="00397244">
        <w:t>highly crystalline</w:t>
      </w:r>
      <w:r w:rsidR="00397244" w:rsidRPr="00B82375">
        <w:t xml:space="preserve"> r</w:t>
      </w:r>
      <w:r w:rsidR="00397244">
        <w:t>ibbon</w:t>
      </w:r>
      <w:r w:rsidRPr="00B82375">
        <w:t xml:space="preserve">-like nanoparticles. These nanoparticles </w:t>
      </w:r>
      <w:r w:rsidR="00783640">
        <w:t>can be</w:t>
      </w:r>
      <w:r w:rsidR="00783640" w:rsidRPr="00B82375">
        <w:t xml:space="preserve"> </w:t>
      </w:r>
      <w:r w:rsidRPr="00B82375">
        <w:t xml:space="preserve">obtained through </w:t>
      </w:r>
      <w:r w:rsidR="00783640">
        <w:t>an</w:t>
      </w:r>
      <w:r w:rsidR="00783640" w:rsidRPr="00B82375">
        <w:t xml:space="preserve"> </w:t>
      </w:r>
      <w:r w:rsidRPr="00B82375">
        <w:t>acid hydrolysis of natural</w:t>
      </w:r>
      <w:r w:rsidR="00783640">
        <w:t>ly occurring</w:t>
      </w:r>
      <w:r w:rsidRPr="00B82375">
        <w:t xml:space="preserve"> cellulose </w:t>
      </w:r>
      <w:r w:rsidR="00783640">
        <w:t xml:space="preserve">from a wide variety of </w:t>
      </w:r>
      <w:r w:rsidR="00261B8E">
        <w:t>natural source</w:t>
      </w:r>
      <w:r w:rsidRPr="00B82375">
        <w:t>s</w:t>
      </w:r>
      <w:r w:rsidR="00261B8E">
        <w:t xml:space="preserve"> e.g. </w:t>
      </w:r>
      <w:r w:rsidRPr="00B82375">
        <w:t>wood, cotton, linen</w:t>
      </w:r>
      <w:r w:rsidR="00261B8E">
        <w:t>, tunicates, and algae</w:t>
      </w:r>
      <w:r w:rsidRPr="00B82375">
        <w:t xml:space="preserve">. The </w:t>
      </w:r>
      <w:r w:rsidR="007F6CA1">
        <w:t xml:space="preserve">acid hydrolysis </w:t>
      </w:r>
      <w:r w:rsidRPr="00B82375">
        <w:t xml:space="preserve">process </w:t>
      </w:r>
      <w:r w:rsidR="007F6CA1">
        <w:t xml:space="preserve">preferentially hydrolyses the dislocated regions thereby releasing </w:t>
      </w:r>
      <w:r w:rsidRPr="00B82375">
        <w:t>the crystalline regions</w:t>
      </w:r>
      <w:r w:rsidR="003B1695">
        <w:t>, resulting in the CNCs</w:t>
      </w:r>
      <w:r w:rsidRPr="00B82375">
        <w:t xml:space="preserve">. </w:t>
      </w:r>
      <w:r w:rsidR="003B1695">
        <w:t>Using sul</w:t>
      </w:r>
      <w:r w:rsidR="0034767F">
        <w:t>f</w:t>
      </w:r>
      <w:r w:rsidR="003B1695">
        <w:t>uric acid</w:t>
      </w:r>
      <w:r w:rsidR="003B1695" w:rsidRPr="00B82375">
        <w:t xml:space="preserve"> </w:t>
      </w:r>
      <w:r w:rsidRPr="00B82375">
        <w:t>results in sulfate groups being grafted to the surface of the CNCs which provides them with colloidal stability</w:t>
      </w:r>
      <w:r w:rsidR="003B1695">
        <w:t xml:space="preserve"> in aqueous suspension</w:t>
      </w:r>
      <w:r w:rsidRPr="00B82375">
        <w:t xml:space="preserve">. </w:t>
      </w:r>
    </w:p>
    <w:p w14:paraId="43892940" w14:textId="77A7CB30" w:rsidR="002420EA" w:rsidRPr="00B82375" w:rsidRDefault="002420EA" w:rsidP="00B82375">
      <w:pPr>
        <w:pStyle w:val="TAMainText"/>
      </w:pPr>
      <w:r w:rsidRPr="00B82375">
        <w:t xml:space="preserve">In order to characterize the </w:t>
      </w:r>
      <w:r w:rsidR="00FE6E33">
        <w:t>SONLO</w:t>
      </w:r>
      <w:r w:rsidRPr="00B82375">
        <w:t xml:space="preserve"> response, described by the first hyperpolarizability </w:t>
      </w:r>
      <w:r w:rsidR="009F01F5">
        <w:t>tensor o</w:t>
      </w:r>
      <w:r w:rsidRPr="00B82375">
        <w:t>f CNC, it is crucial to understand their chemical composition</w:t>
      </w:r>
      <w:r w:rsidR="003B1695">
        <w:t>, crystal structure,</w:t>
      </w:r>
      <w:r w:rsidRPr="00B82375">
        <w:t xml:space="preserve"> and their geometric shape. Due to the </w:t>
      </w:r>
      <w:r w:rsidR="00090F6C">
        <w:t xml:space="preserve">NCS </w:t>
      </w:r>
      <w:r w:rsidR="00F44DAB">
        <w:t>structure</w:t>
      </w:r>
      <w:r w:rsidRPr="00B82375">
        <w:t xml:space="preserve"> of the </w:t>
      </w:r>
      <w:r w:rsidR="00F44DAB">
        <w:t>crystal lattice</w:t>
      </w:r>
      <w:r w:rsidRPr="00B82375">
        <w:t>, the response</w:t>
      </w:r>
      <w:r w:rsidR="00FE6E33">
        <w:t xml:space="preserve"> </w:t>
      </w:r>
      <w:r w:rsidR="00714EE0">
        <w:t xml:space="preserve">can be approximated </w:t>
      </w:r>
      <w:r w:rsidR="00A7639E">
        <w:t>as originating</w:t>
      </w:r>
      <w:r w:rsidRPr="00B82375">
        <w:t xml:space="preserve"> from the contributions of a well-defined crystal point group in the bulk of the cellulose, </w:t>
      </w:r>
      <w:r w:rsidR="00F63353">
        <w:t>while</w:t>
      </w:r>
      <w:r w:rsidRPr="00B82375">
        <w:t xml:space="preserve"> interface effects </w:t>
      </w:r>
      <w:r w:rsidR="00F63353">
        <w:t xml:space="preserve">can be </w:t>
      </w:r>
      <w:r w:rsidR="009D0320">
        <w:t>neglected</w:t>
      </w:r>
      <w:r w:rsidRPr="00B82375">
        <w:t xml:space="preserve">. </w:t>
      </w:r>
    </w:p>
    <w:p w14:paraId="000056D8" w14:textId="7C3A422E" w:rsidR="002420EA" w:rsidRPr="00B82375" w:rsidRDefault="0053DA4C" w:rsidP="635E82E4">
      <w:pPr>
        <w:pStyle w:val="TAMainText"/>
        <w:rPr>
          <w:rFonts w:eastAsiaTheme="minorEastAsia"/>
        </w:rPr>
      </w:pPr>
      <w:r w:rsidRPr="00B82375">
        <w:t>Cellulose is a linear homopolysaccharide composed of β-D-anhydro</w:t>
      </w:r>
      <w:r w:rsidR="00AE4C26">
        <w:t>-</w:t>
      </w:r>
      <w:r w:rsidRPr="00B82375">
        <w:t xml:space="preserve">glucose units (AGU) linked by β(1-4) ether bonds called glycosidic links. The β-AGU consists of a six-membered heterocycle with an anomeric carbon labelled C1 and with </w:t>
      </w:r>
      <w:r w:rsidR="003E424F">
        <w:t>all</w:t>
      </w:r>
      <w:r w:rsidR="003E424F" w:rsidRPr="00B82375">
        <w:t xml:space="preserve"> </w:t>
      </w:r>
      <w:r w:rsidRPr="00B82375">
        <w:t>hydroxyl group</w:t>
      </w:r>
      <w:r w:rsidR="003E424F">
        <w:t>s</w:t>
      </w:r>
      <w:r w:rsidRPr="00B82375">
        <w:t xml:space="preserve"> located </w:t>
      </w:r>
      <w:r w:rsidR="395FD732" w:rsidRPr="00B82375">
        <w:t xml:space="preserve">in </w:t>
      </w:r>
      <w:r w:rsidRPr="00B82375">
        <w:t xml:space="preserve">the equatorial position. A representation of the cellulose chain is </w:t>
      </w:r>
      <w:r w:rsidR="00E67371">
        <w:t>given</w:t>
      </w:r>
      <w:r w:rsidR="00E67371" w:rsidRPr="00B82375">
        <w:t xml:space="preserve"> </w:t>
      </w:r>
      <w:r w:rsidRPr="00B82375">
        <w:t xml:space="preserve">in </w:t>
      </w:r>
      <w:r w:rsidR="4F1CFF91">
        <w:t>Fig.</w:t>
      </w:r>
      <w:r w:rsidRPr="00B82375">
        <w:t xml:space="preserve"> 1A. The heterocycle is usually found in the chair conformation and due to </w:t>
      </w:r>
      <w:r w:rsidR="00D9724A">
        <w:t xml:space="preserve">equatorial-plane </w:t>
      </w:r>
      <w:r w:rsidRPr="00B82375">
        <w:t>hydrogen bonding</w:t>
      </w:r>
      <w:r w:rsidR="003E424F">
        <w:t xml:space="preserve">, </w:t>
      </w:r>
      <w:r w:rsidR="00D9724A">
        <w:t xml:space="preserve">axial </w:t>
      </w:r>
      <w:r w:rsidR="003E424F">
        <w:t>Van der Waals interactions,</w:t>
      </w:r>
      <w:r w:rsidRPr="00B82375">
        <w:t xml:space="preserve"> cellulose in its solid state can adopt seven distinct allomorphs. These are labelled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β</m:t>
            </m:r>
          </m:sub>
        </m:sSub>
        <m:r>
          <m:rPr>
            <m:sty m:val="p"/>
          </m:rPr>
          <w:rPr>
            <w:rFonts w:ascii="Cambria Math" w:hAnsi="Cambria Math"/>
          </w:rPr>
          <m:t>,II,II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III</m:t>
            </m:r>
          </m:e>
          <m:sub>
            <m:r>
              <m:rPr>
                <m:sty m:val="p"/>
              </m:rPr>
              <w:rPr>
                <w:rFonts w:ascii="Cambria Math" w:hAnsi="Cambria Math"/>
              </w:rPr>
              <m:t>II</m:t>
            </m:r>
          </m:sub>
        </m:sSub>
        <m:r>
          <m:rPr>
            <m:sty m:val="p"/>
          </m:rPr>
          <w:rPr>
            <w:rFonts w:ascii="Cambria Math" w:hAnsi="Cambria Math"/>
          </w:rPr>
          <m:t>, I</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,I</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II</m:t>
            </m:r>
          </m:sub>
        </m:sSub>
        <m:r>
          <m:rPr>
            <m:sty m:val="p"/>
          </m:rPr>
          <w:rPr>
            <w:rFonts w:ascii="Cambria Math" w:hAnsi="Cambria Math"/>
          </w:rPr>
          <m:t>.</m:t>
        </m:r>
      </m:oMath>
      <w:r w:rsidRPr="635E82E4">
        <w:rPr>
          <w:rFonts w:eastAsiaTheme="minorEastAsia"/>
        </w:rPr>
        <w:t xml:space="preserve"> </w:t>
      </w:r>
      <w:r w:rsidR="002420EA" w:rsidRPr="00B82375">
        <w:fldChar w:fldCharType="begin" w:fldLock="1"/>
      </w:r>
      <w:r w:rsidR="009F56C9">
        <w:instrText>ADDIN CSL_CITATION {"citationItems":[{"id":"ITEM-1","itemData":{"DOI":"10.1039/C4NR01756K","ISSN":"2040-3364","abstract":"This review takes an in-depth look at the chemical modifications that have been carried out on nanocrystalline cellulose.","author":[{"dropping-particle":"","family":"Eyley","given":"Samuel","non-dropping-particle":"","parse-names":false,"suffix":""},{"dropping-particle":"","family":"Thielemans","given":"Wim","non-dropping-particle":"","parse-names":false,"suffix":""}],"container-title":"Nanoscale","id":"ITEM-1","issue":"14","issued":{"date-parts":[["2014"]]},"page":"7764-7779","title":"Surface modification of cellulose nanocrystals","type":"article-journal","volume":"6"},"uris":["http://www.mendeley.com/documents/?uuid=673db1f1-822d-409c-8b79-76f8a47ae3ab"]},{"id":"ITEM-2","itemData":{"DOI":"10.1021/cr900339w","ISSN":"00092665","PMID":"20201500","author":[{"dropping-particle":"","family":"Habibi","given":"Youssef","non-dropping-particle":"","parse-names":false,"suffix":""},{"dropping-particle":"","family":"Lucia","given":"Lucian A.","non-dropping-particle":"","parse-names":false,"suffix":""},{"dropping-particle":"","family":"Rojas","given":"Orlando J.","non-dropping-particle":"","parse-names":false,"suffix":""}],"container-title":"Chemical Reviews","id":"ITEM-2","issue":"6","issued":{"date-parts":[["2010"]]},"page":"3479-3500","title":"Cellulose nanocrystals: Chemistry, self-assembly, and applications","type":"article-journal","volume":"110"},"uris":["http://www.mendeley.com/documents/?uuid=8f936f43-f094-4c1c-8b78-cc41c85205aa"]}],"mendeley":{"formattedCitation":"&lt;sup&gt;29,30&lt;/sup&gt;","plainTextFormattedCitation":"29,30","previouslyFormattedCitation":"&lt;sup&gt;29,30&lt;/sup&gt;"},"properties":{"noteIndex":0},"schema":"https://github.com/citation-style-language/schema/raw/master/csl-citation.json"}</w:instrText>
      </w:r>
      <w:r w:rsidR="002420EA" w:rsidRPr="00B82375">
        <w:fldChar w:fldCharType="separate"/>
      </w:r>
      <w:r w:rsidR="00DC2B5C" w:rsidRPr="00DC2B5C">
        <w:rPr>
          <w:noProof/>
          <w:vertAlign w:val="superscript"/>
        </w:rPr>
        <w:t>29,30</w:t>
      </w:r>
      <w:r w:rsidR="002420EA" w:rsidRPr="00B82375">
        <w:fldChar w:fldCharType="end"/>
      </w:r>
      <w:r w:rsidR="00677B62">
        <w:t xml:space="preserve"> Only I</w:t>
      </w:r>
      <w:r w:rsidR="00677B62" w:rsidRPr="00CD7FA7">
        <w:rPr>
          <w:rFonts w:ascii="Symbol" w:hAnsi="Symbol"/>
          <w:vertAlign w:val="subscript"/>
        </w:rPr>
        <w:t>a</w:t>
      </w:r>
      <w:r w:rsidR="00677B62">
        <w:t xml:space="preserve"> and I</w:t>
      </w:r>
      <w:r w:rsidR="00677B62" w:rsidRPr="00CD7FA7">
        <w:rPr>
          <w:rFonts w:ascii="Symbol" w:hAnsi="Symbol"/>
          <w:vertAlign w:val="subscript"/>
        </w:rPr>
        <w:t>b</w:t>
      </w:r>
      <w:r w:rsidR="00677B62">
        <w:t xml:space="preserve"> occur naturally with the other allomorphs </w:t>
      </w:r>
      <w:r w:rsidR="00EA6281">
        <w:t xml:space="preserve">formed by </w:t>
      </w:r>
      <w:r w:rsidR="00386FE8">
        <w:t>either dissolving and recrystallizing (II), treating with gaseous or liquid ammonia (III</w:t>
      </w:r>
      <w:r w:rsidR="006A7546" w:rsidRPr="00CD7FA7">
        <w:rPr>
          <w:vertAlign w:val="subscript"/>
        </w:rPr>
        <w:t>I</w:t>
      </w:r>
      <w:r w:rsidR="006A7546">
        <w:t xml:space="preserve"> and III</w:t>
      </w:r>
      <w:r w:rsidR="006A7546" w:rsidRPr="00CD7FA7">
        <w:rPr>
          <w:vertAlign w:val="subscript"/>
        </w:rPr>
        <w:t>II</w:t>
      </w:r>
      <w:r w:rsidR="00386FE8">
        <w:t>)</w:t>
      </w:r>
      <w:r w:rsidR="00B70DCD">
        <w:t>, or heating in glycerol (IV</w:t>
      </w:r>
      <w:r w:rsidR="00B70DCD" w:rsidRPr="00CD7FA7">
        <w:rPr>
          <w:vertAlign w:val="subscript"/>
        </w:rPr>
        <w:t>I</w:t>
      </w:r>
      <w:r w:rsidR="00B70DCD">
        <w:t xml:space="preserve"> and IV</w:t>
      </w:r>
      <w:r w:rsidR="00B70DCD" w:rsidRPr="00CD7FA7">
        <w:rPr>
          <w:vertAlign w:val="subscript"/>
        </w:rPr>
        <w:t>II</w:t>
      </w:r>
      <w:r w:rsidR="00B70DCD">
        <w:t xml:space="preserve">). </w:t>
      </w:r>
    </w:p>
    <w:p w14:paraId="281040BC" w14:textId="4B21600D" w:rsidR="002420EA" w:rsidRPr="00182316" w:rsidRDefault="002420EA" w:rsidP="00182316">
      <w:pPr>
        <w:pStyle w:val="TAMainText"/>
        <w:rPr>
          <w:rFonts w:eastAsiaTheme="minorEastAsia"/>
        </w:rPr>
      </w:pPr>
      <w:r w:rsidRPr="00B82375">
        <w:lastRenderedPageBreak/>
        <w:t xml:space="preserve">Cellulose synthesized by nature are formed in bundles of microfibrils containing crystalline and </w:t>
      </w:r>
      <w:r w:rsidR="00544AA8">
        <w:t>dislocated region</w:t>
      </w:r>
      <w:r w:rsidRPr="00B82375">
        <w:t xml:space="preserve"> and consist primarily of a mixture of the allomorphs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Pr="00B82375">
        <w:rPr>
          <w:rFonts w:eastAsiaTheme="minorEastAsia"/>
        </w:rPr>
        <w:t xml:space="preserve"> and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A triclinic lattice with </w:t>
      </w:r>
      <w:r w:rsidR="00CF3627">
        <w:rPr>
          <w:rFonts w:eastAsiaTheme="minorEastAsia"/>
        </w:rPr>
        <w:t>two</w:t>
      </w:r>
      <w:r w:rsidR="00CF3627" w:rsidRPr="00B82375">
        <w:rPr>
          <w:rFonts w:eastAsiaTheme="minorEastAsia"/>
        </w:rPr>
        <w:t xml:space="preserve"> </w:t>
      </w:r>
      <w:r w:rsidR="00544AA8">
        <w:rPr>
          <w:rFonts w:eastAsiaTheme="minorEastAsia"/>
        </w:rPr>
        <w:t>anhydro</w:t>
      </w:r>
      <w:r w:rsidR="006167AC">
        <w:rPr>
          <w:rFonts w:eastAsiaTheme="minorEastAsia"/>
        </w:rPr>
        <w:t>-</w:t>
      </w:r>
      <w:r w:rsidR="00544AA8">
        <w:rPr>
          <w:rFonts w:eastAsiaTheme="minorEastAsia"/>
        </w:rPr>
        <w:t>glucose</w:t>
      </w:r>
      <w:r w:rsidR="00544AA8" w:rsidRPr="00B82375">
        <w:rPr>
          <w:rFonts w:eastAsiaTheme="minorEastAsia"/>
        </w:rPr>
        <w:t xml:space="preserve"> </w:t>
      </w:r>
      <w:r w:rsidRPr="00B82375">
        <w:rPr>
          <w:rFonts w:eastAsiaTheme="minorEastAsia"/>
        </w:rPr>
        <w:t>chain</w:t>
      </w:r>
      <w:r w:rsidR="00CF3627">
        <w:rPr>
          <w:rFonts w:eastAsiaTheme="minorEastAsia"/>
        </w:rPr>
        <w:t>s</w:t>
      </w:r>
      <w:r w:rsidRPr="00B82375">
        <w:rPr>
          <w:rFonts w:eastAsiaTheme="minorEastAsia"/>
        </w:rPr>
        <w:t xml:space="preserve"> per unit cell is assigned to the</w:t>
      </w:r>
      <m:oMath>
        <m:r>
          <m:rPr>
            <m:sty m:val="p"/>
          </m:rPr>
          <w:rPr>
            <w:rFonts w:ascii="Cambria Math" w:eastAsiaTheme="minorEastAsia"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Pr="00B82375">
        <w:rPr>
          <w:rFonts w:eastAsiaTheme="minorEastAsia"/>
        </w:rPr>
        <w:t xml:space="preserve"> form and a monoclinic lattice with </w:t>
      </w:r>
      <w:r w:rsidR="00A8637E">
        <w:rPr>
          <w:rFonts w:eastAsiaTheme="minorEastAsia"/>
        </w:rPr>
        <w:t>four</w:t>
      </w:r>
      <w:r w:rsidR="00A8637E" w:rsidRPr="00B82375">
        <w:rPr>
          <w:rFonts w:eastAsiaTheme="minorEastAsia"/>
        </w:rPr>
        <w:t xml:space="preserve"> </w:t>
      </w:r>
      <w:r w:rsidR="00544AA8">
        <w:rPr>
          <w:rFonts w:eastAsiaTheme="minorEastAsia"/>
        </w:rPr>
        <w:t>anhydro</w:t>
      </w:r>
      <w:r w:rsidR="006167AC">
        <w:rPr>
          <w:rFonts w:eastAsiaTheme="minorEastAsia"/>
        </w:rPr>
        <w:t>-</w:t>
      </w:r>
      <w:r w:rsidR="00544AA8">
        <w:rPr>
          <w:rFonts w:eastAsiaTheme="minorEastAsia"/>
        </w:rPr>
        <w:t>glucose</w:t>
      </w:r>
      <w:r w:rsidRPr="00B82375">
        <w:rPr>
          <w:rFonts w:eastAsiaTheme="minorEastAsia"/>
        </w:rPr>
        <w:t xml:space="preserve"> chains per unit cell is assigned to the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form.</w:t>
      </w:r>
      <w:r w:rsidRPr="00B82375">
        <w:rPr>
          <w:rFonts w:eastAsiaTheme="minorEastAsia"/>
        </w:rPr>
        <w:fldChar w:fldCharType="begin" w:fldLock="1"/>
      </w:r>
      <w:r w:rsidR="009F56C9">
        <w:rPr>
          <w:rFonts w:eastAsiaTheme="minorEastAsia"/>
        </w:rPr>
        <w:instrText>ADDIN CSL_CITATION {"citationItems":[{"id":"ITEM-1","itemData":{"DOI":"10.1016/S0926-2040(99)00042-9","ISSN":"09262040","PMID":"10903080","abstract":"Published spectroscopic observations pertaining to the crystal structure of native celluloses are reviewed for the purpose of defining our current level of understanding about crystalline polymorphism in these materials. Emphasis is placed on observations from solid state 13C nuclear magnetic resonance (NMR), which first led to the postulate that most native, semicrystalline celluloses are composites of two crystalline allomorphs, labeled Iα and Iβ. Historical background is presented, highlighting the structural controversies which mainly arose because different native celluloses were used, each one representing a different mixture of allomorphs. Input from Raman, infrared (IR) and electron diffraction data is included in the discussion of our current understanding of polymorphism in native celluloses. Also noted is the input from more recently studied celluloses (e.g., Halocynthia) as well as from newer processes that convert the Iα to the Iβ form. On the basis of Raman and IR observations, it is argued that the Iα and Iβ allomorphs differ in hydrogen bonding patterns only and that backbone conformations are nearly identical. Also, the point is made that the absence of correlation field splittings in the Raman spectra calls into question (although it does not disprove) whether the normal two-chain-per-unit-cell, monoclinic Iβ allomorph really possesses two equivalent chains. Considerable discussion is devoted to the allomorphic composition of cellulose crystallites in higher plants. Published methods of NMR lineshape analysis for the higher plant celluloses are reviewed and critiqued, both from the point of view of lineshape theory and from the point of view of self-consistency of inferences that are based on lineshape analyses for different carbons (particularly C1 and C4). It is concluded that higher plant celluloses most likely possess a minor amount of the Iα allomorph where the Iα/Iβ ratio is probably less than 0.25. © 1999 Elsevier Science B.V. All rights reserved.","author":[{"dropping-particle":"","family":"Atalla","given":"R. H.","non-dropping-particle":"","parse-names":false,"suffix":""},{"dropping-particle":"","family":"VanderHart","given":"D. L.","non-dropping-particle":"","parse-names":false,"suffix":""}],"container-title":"Solid State Nuclear Magnetic Resonance","id":"ITEM-1","issue":"1","issued":{"date-parts":[["1999"]]},"page":"1-19","title":"The role of solid state 13C NMR spectroscopy in studies of the nature of native celluloses","type":"article-journal","volume":"15"},"uris":["http://www.mendeley.com/documents/?uuid=c7a5154c-732f-4b67-92ef-59d79f1e6e5a"]}],"mendeley":{"formattedCitation":"&lt;sup&gt;31&lt;/sup&gt;","plainTextFormattedCitation":"31","previouslyFormattedCitation":"&lt;sup&gt;31&lt;/sup&gt;"},"properties":{"noteIndex":0},"schema":"https://github.com/citation-style-language/schema/raw/master/csl-citation.json"}</w:instrText>
      </w:r>
      <w:r w:rsidRPr="00B82375">
        <w:rPr>
          <w:rFonts w:eastAsiaTheme="minorEastAsia"/>
        </w:rPr>
        <w:fldChar w:fldCharType="separate"/>
      </w:r>
      <w:r w:rsidR="00DC2B5C" w:rsidRPr="00DC2B5C">
        <w:rPr>
          <w:rFonts w:eastAsiaTheme="minorEastAsia"/>
          <w:noProof/>
          <w:vertAlign w:val="superscript"/>
        </w:rPr>
        <w:t>31</w:t>
      </w:r>
      <w:r w:rsidRPr="00B82375">
        <w:rPr>
          <w:rFonts w:eastAsiaTheme="minorEastAsia"/>
        </w:rPr>
        <w:fldChar w:fldCharType="end"/>
      </w:r>
      <w:r w:rsidRPr="00B82375">
        <w:rPr>
          <w:rFonts w:eastAsiaTheme="minorEastAsia"/>
        </w:rPr>
        <w:t xml:space="preserve"> </w:t>
      </w:r>
      <w:r w:rsidR="006C443B">
        <w:rPr>
          <w:rFonts w:eastAsiaTheme="minorEastAsia"/>
        </w:rPr>
        <w:t xml:space="preserve"> </w:t>
      </w:r>
      <w:r w:rsidRPr="00B82375">
        <w:rPr>
          <w:rFonts w:eastAsiaTheme="minorEastAsia"/>
        </w:rPr>
        <w:t xml:space="preserve">Both these allomorphs can coexist within the same microfibril, alternating in their arrangement with the ratio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Pr="00B82375">
        <w:rPr>
          <w:rFonts w:eastAsiaTheme="minorEastAsia"/>
        </w:rPr>
        <w:t xml:space="preserve"> /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being source dependent.</w:t>
      </w:r>
      <w:r w:rsidRPr="00B82375">
        <w:rPr>
          <w:rFonts w:eastAsiaTheme="minorEastAsia"/>
        </w:rPr>
        <w:fldChar w:fldCharType="begin" w:fldLock="1"/>
      </w:r>
      <w:r w:rsidR="009F56C9">
        <w:rPr>
          <w:rFonts w:eastAsiaTheme="minorEastAsia"/>
        </w:rPr>
        <w:instrText>ADDIN CSL_CITATION {"citationItems":[{"id":"ITEM-1","itemData":{"DOI":"10.1021/bm4001734","ISSN":"15264602","PMID":"23544667","abstract":"Cellulose nanocrystals and cellulose nanofibers with I and II crystalline allomorphs (designated as CNC I, CNC II, CNF I, and CNF II) were isolated from bleached wood fibers by alkaline pretreatment and acid hydrolysis. The effects of concentration, particle size, surface charge, and crystal structure on the lyophilization-induced self-assembly of cellulose particles in aqueous suspensions were studied. Within the concentration range of 0.5 to 1.0 wt %, cellulose particles self-organized into lamellar structured foam composed of aligned membrane layers with widths between 0.5 and 3 μm. At 0.05 wt %, CNC I, CNF I, CNC II, and CNF II self-assembled into oriented ultrafine fibers with mean diameters of 0.57, 1.02, 1.50, and 1.00 μm, respectively. The size of self-assembled fibers became larger when more hydroxyl groups and fewer sulfates (weaker electrostatic repulsion) were on cellulose surfaces. Possible formation mechanism was inferred from ice growth and interaction between cellulose nanoparticles in liquid-crystalline suspensions. © 2013 American Chemical Society.","author":[{"dropping-particle":"","family":"Han","given":"Jingquan","non-dropping-particle":"","parse-names":false,"suffix":""},{"dropping-particle":"","family":"Zhou","given":"Chengjun","non-dropping-particle":"","parse-names":false,"suffix":""},{"dropping-particle":"","family":"Wu","given":"Yiqiang","non-dropping-particle":"","parse-names":false,"suffix":""},{"dropping-particle":"","family":"Liu","given":"Fangyang","non-dropping-particle":"","parse-names":false,"suffix":""},{"dropping-particle":"","family":"Wu","given":"Qinglin","non-dropping-particle":"","parse-names":false,"suffix":""}],"container-title":"Biomacromolecules","id":"ITEM-1","issue":"5","issued":{"date-parts":[["2013"]]},"page":"1529-1540","title":"Self-assembling behavior of cellulose nanoparticles during freeze-drying: Effect of suspension concentration, particle size, crystal structure, and surface charge","type":"article-journal","volume":"14"},"uris":["http://www.mendeley.com/documents/?uuid=877edaed-0530-43a2-89ec-b354d4cde7aa"]}],"mendeley":{"formattedCitation":"&lt;sup&gt;32&lt;/sup&gt;","plainTextFormattedCitation":"32","previouslyFormattedCitation":"&lt;sup&gt;32&lt;/sup&gt;"},"properties":{"noteIndex":0},"schema":"https://github.com/citation-style-language/schema/raw/master/csl-citation.json"}</w:instrText>
      </w:r>
      <w:r w:rsidRPr="00B82375">
        <w:rPr>
          <w:rFonts w:eastAsiaTheme="minorEastAsia"/>
        </w:rPr>
        <w:fldChar w:fldCharType="separate"/>
      </w:r>
      <w:r w:rsidR="00DC2B5C" w:rsidRPr="00DC2B5C">
        <w:rPr>
          <w:rFonts w:eastAsiaTheme="minorEastAsia"/>
          <w:noProof/>
          <w:vertAlign w:val="superscript"/>
        </w:rPr>
        <w:t>32</w:t>
      </w:r>
      <w:r w:rsidRPr="00B82375">
        <w:rPr>
          <w:rFonts w:eastAsiaTheme="minorEastAsia"/>
        </w:rPr>
        <w:fldChar w:fldCharType="end"/>
      </w:r>
      <w:r w:rsidRPr="00B82375">
        <w:rPr>
          <w:rFonts w:eastAsiaTheme="minorEastAsia"/>
        </w:rPr>
        <w:t xml:space="preserve"> In higher order plants, the allomorph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is the dominant structure with the ratio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Pr="00B82375">
        <w:rPr>
          <w:rFonts w:eastAsiaTheme="minorEastAsia"/>
        </w:rPr>
        <w:t xml:space="preserve"> /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r>
          <m:rPr>
            <m:sty m:val="p"/>
          </m:rPr>
          <w:rPr>
            <w:rFonts w:ascii="Cambria Math" w:eastAsiaTheme="minorEastAsia" w:hAnsi="Cambria Math"/>
          </w:rPr>
          <m:t xml:space="preserve"> </m:t>
        </m:r>
      </m:oMath>
      <w:r w:rsidRPr="00B82375">
        <w:rPr>
          <w:rFonts w:eastAsiaTheme="minorEastAsia"/>
        </w:rPr>
        <w:t>typically being less than 0.25.</w:t>
      </w:r>
      <w:r w:rsidR="00FB61A3">
        <w:rPr>
          <w:rFonts w:eastAsiaTheme="minorEastAsia"/>
        </w:rPr>
        <w:t xml:space="preserve"> </w:t>
      </w:r>
      <w:r w:rsidR="006C443B">
        <w:rPr>
          <w:rFonts w:eastAsiaTheme="minorEastAsia"/>
        </w:rPr>
        <w:t>T</w:t>
      </w:r>
      <w:r w:rsidR="00B23123">
        <w:rPr>
          <w:rFonts w:eastAsiaTheme="minorEastAsia"/>
        </w:rPr>
        <w:t>he ratio between both the</w:t>
      </w:r>
      <w:r w:rsidR="00E70191">
        <w:rPr>
          <w:rFonts w:eastAsiaTheme="minorEastAsia"/>
        </w:rPr>
        <w:t>se</w:t>
      </w:r>
      <w:r w:rsidR="00B23123">
        <w:rPr>
          <w:rFonts w:eastAsiaTheme="minorEastAsia"/>
        </w:rPr>
        <w:t xml:space="preserve"> allomorphs </w:t>
      </w:r>
      <w:r w:rsidR="00E70191">
        <w:rPr>
          <w:rFonts w:eastAsiaTheme="minorEastAsia"/>
        </w:rPr>
        <w:t>remains controversial</w:t>
      </w:r>
      <w:r w:rsidR="00572557">
        <w:rPr>
          <w:rFonts w:eastAsiaTheme="minorEastAsia"/>
        </w:rPr>
        <w:t xml:space="preserve"> and the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00572557" w:rsidRPr="00B82375">
        <w:rPr>
          <w:rFonts w:eastAsiaTheme="minorEastAsia"/>
        </w:rPr>
        <w:t xml:space="preserve"> /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00572557" w:rsidRPr="00B82375">
        <w:rPr>
          <w:rFonts w:eastAsiaTheme="minorEastAsia"/>
        </w:rPr>
        <w:t xml:space="preserve"> </w:t>
      </w:r>
      <w:r w:rsidR="00E26B34">
        <w:rPr>
          <w:rFonts w:eastAsiaTheme="minorEastAsia"/>
        </w:rPr>
        <w:t>appears not to be</w:t>
      </w:r>
      <w:r w:rsidR="00572557">
        <w:rPr>
          <w:rFonts w:eastAsiaTheme="minorEastAsia"/>
        </w:rPr>
        <w:t xml:space="preserve"> </w:t>
      </w:r>
      <w:r w:rsidR="006C443B">
        <w:rPr>
          <w:rFonts w:eastAsiaTheme="minorEastAsia"/>
        </w:rPr>
        <w:t xml:space="preserve">a </w:t>
      </w:r>
      <w:r w:rsidR="00572557">
        <w:rPr>
          <w:rFonts w:eastAsiaTheme="minorEastAsia"/>
        </w:rPr>
        <w:t xml:space="preserve">fixed </w:t>
      </w:r>
      <w:r w:rsidR="009E1919">
        <w:rPr>
          <w:rFonts w:eastAsiaTheme="minorEastAsia"/>
        </w:rPr>
        <w:t xml:space="preserve">value </w:t>
      </w:r>
      <w:r w:rsidR="00572557">
        <w:rPr>
          <w:rFonts w:eastAsiaTheme="minorEastAsia"/>
        </w:rPr>
        <w:t>for a given CNC type</w:t>
      </w:r>
      <w:r w:rsidR="009E1919">
        <w:rPr>
          <w:rFonts w:eastAsiaTheme="minorEastAsia"/>
        </w:rPr>
        <w:t>. Th</w:t>
      </w:r>
      <w:r w:rsidR="00D15D8F">
        <w:rPr>
          <w:rFonts w:eastAsiaTheme="minorEastAsia"/>
        </w:rPr>
        <w:t xml:space="preserve">e </w:t>
      </w:r>
      <m:oMath>
        <m:sSub>
          <m:sSubPr>
            <m:ctrlPr>
              <w:rPr>
                <w:rFonts w:ascii="Cambria Math" w:eastAsiaTheme="minorEastAsia" w:hAnsi="Cambria Math"/>
                <w:i/>
              </w:rPr>
            </m:ctrlPr>
          </m:sSubPr>
          <m:e>
            <m:r>
              <w:rPr>
                <w:rFonts w:ascii="Cambria Math" w:eastAsiaTheme="minorEastAsia" w:hAnsi="Cambria Math"/>
              </w:rPr>
              <m:t>I</m:t>
            </m:r>
          </m:e>
          <m:sub>
            <m:r>
              <m:rPr>
                <m:sty m:val="p"/>
              </m:rPr>
              <w:rPr>
                <w:rFonts w:ascii="Cambria Math" w:eastAsiaTheme="minorEastAsia" w:hAnsi="Cambria Math"/>
              </w:rPr>
              <m:t>α</m:t>
            </m:r>
          </m:sub>
        </m:sSub>
      </m:oMath>
      <w:r w:rsidR="00D15D8F">
        <w:rPr>
          <w:rFonts w:eastAsiaTheme="minorEastAsia"/>
        </w:rPr>
        <w:t xml:space="preserve"> is in a metastable state</w:t>
      </w:r>
      <w:r w:rsidR="00C037D1">
        <w:rPr>
          <w:rFonts w:eastAsiaTheme="minorEastAsia"/>
        </w:rPr>
        <w:t xml:space="preserve"> and can </w:t>
      </w:r>
      <w:r w:rsidR="00182316">
        <w:rPr>
          <w:rFonts w:eastAsiaTheme="minorEastAsia"/>
        </w:rPr>
        <w:t xml:space="preserve">be </w:t>
      </w:r>
      <w:r w:rsidR="00C037D1">
        <w:rPr>
          <w:rFonts w:eastAsiaTheme="minorEastAsia"/>
        </w:rPr>
        <w:t>con</w:t>
      </w:r>
      <w:r w:rsidR="00182316">
        <w:rPr>
          <w:rFonts w:eastAsiaTheme="minorEastAsia"/>
        </w:rPr>
        <w:t xml:space="preserve">verted to </w:t>
      </w:r>
      <m:oMath>
        <m:sSub>
          <m:sSubPr>
            <m:ctrlPr>
              <w:rPr>
                <w:rFonts w:ascii="Cambria Math" w:eastAsiaTheme="minorEastAsia" w:hAnsi="Cambria Math"/>
                <w:iCs/>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00572557">
        <w:rPr>
          <w:rFonts w:eastAsiaTheme="minorEastAsia"/>
        </w:rPr>
        <w:t>.</w:t>
      </w:r>
      <w:r w:rsidR="00E21917">
        <w:rPr>
          <w:rFonts w:eastAsiaTheme="minorEastAsia"/>
        </w:rPr>
        <w:fldChar w:fldCharType="begin" w:fldLock="1"/>
      </w:r>
      <w:r w:rsidR="003C532D">
        <w:rPr>
          <w:rFonts w:eastAsiaTheme="minorEastAsia"/>
        </w:rPr>
        <w:instrText>ADDIN CSL_CITATION {"citationItems":[{"id":"ITEM-1","itemData":{"DOI":"10.1039/c0cs00108b","ISBN":"1765496829","ISSN":"14604744","PMID":"21566801","abstract":"This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 2011 The Royal Society of Chemistry.","author":[{"dropping-particle":"","family":"Moon","given":"Robert J.","non-dropping-particle":"","parse-names":false,"suffix":""},{"dropping-particle":"","family":"Martini","given":"Ashlie","non-dropping-particle":"","parse-names":false,"suffix":""},{"dropping-particle":"","family":"Nairn","given":"John","non-dropping-particle":"","parse-names":false,"suffix":""},{"dropping-particle":"","family":"Simonsen","given":"John","non-dropping-particle":"","parse-names":false,"suffix":""},{"dropping-particle":"","family":"Youngblood","given":"Jeff","non-dropping-particle":"","parse-names":false,"suffix":""}],"container-title":"Chemical Society Reviews","id":"ITEM-1","issue":"7","issued":{"date-parts":[["2011"]]},"number-of-pages":"3941-3994","title":"Cellulose nanomaterials review: Structure, properties and nanocomposites","type":"book","volume":"40"},"uris":["http://www.mendeley.com/documents/?uuid=fac96663-217b-4938-80b8-b6cbfb602cc6"]}],"mendeley":{"formattedCitation":"&lt;sup&gt;18&lt;/sup&gt;","plainTextFormattedCitation":"18","previouslyFormattedCitation":"&lt;sup&gt;18&lt;/sup&gt;"},"properties":{"noteIndex":0},"schema":"https://github.com/citation-style-language/schema/raw/master/csl-citation.json"}</w:instrText>
      </w:r>
      <w:r w:rsidR="00E21917">
        <w:rPr>
          <w:rFonts w:eastAsiaTheme="minorEastAsia"/>
        </w:rPr>
        <w:fldChar w:fldCharType="separate"/>
      </w:r>
      <w:r w:rsidR="00374347" w:rsidRPr="00374347">
        <w:rPr>
          <w:rFonts w:eastAsiaTheme="minorEastAsia"/>
          <w:noProof/>
          <w:vertAlign w:val="superscript"/>
        </w:rPr>
        <w:t>18</w:t>
      </w:r>
      <w:r w:rsidR="00E21917">
        <w:rPr>
          <w:rFonts w:eastAsiaTheme="minorEastAsia"/>
        </w:rPr>
        <w:fldChar w:fldCharType="end"/>
      </w:r>
      <w:r w:rsidR="00572557">
        <w:rPr>
          <w:rFonts w:eastAsiaTheme="minorEastAsia"/>
        </w:rPr>
        <w:t xml:space="preserve"> </w:t>
      </w:r>
      <w:r w:rsidRPr="00B82375">
        <w:rPr>
          <w:rFonts w:eastAsiaTheme="minorEastAsia"/>
        </w:rPr>
        <w:t xml:space="preserve"> </w:t>
      </w:r>
      <w:r w:rsidR="002D3175">
        <w:rPr>
          <w:rFonts w:eastAsiaTheme="minorEastAsia"/>
        </w:rPr>
        <w:t>We</w:t>
      </w:r>
      <w:r w:rsidRPr="00B82375">
        <w:rPr>
          <w:rFonts w:eastAsiaTheme="minorEastAsia"/>
        </w:rPr>
        <w:t xml:space="preserve"> focus on the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structure since it is the most dominant one in </w:t>
      </w:r>
      <w:r w:rsidR="00E26B34" w:rsidRPr="00B82375">
        <w:rPr>
          <w:rFonts w:eastAsiaTheme="minorEastAsia"/>
        </w:rPr>
        <w:t>cotton</w:t>
      </w:r>
      <w:r w:rsidR="00E26B34">
        <w:rPr>
          <w:rFonts w:eastAsiaTheme="minorEastAsia"/>
        </w:rPr>
        <w:t>-</w:t>
      </w:r>
      <w:r w:rsidRPr="00B82375">
        <w:rPr>
          <w:rFonts w:eastAsiaTheme="minorEastAsia"/>
        </w:rPr>
        <w:t>sourced cellulose nanocrystals.</w:t>
      </w:r>
      <w:r w:rsidRPr="00B82375">
        <w:rPr>
          <w:rFonts w:eastAsiaTheme="minorEastAsia"/>
        </w:rPr>
        <w:fldChar w:fldCharType="begin" w:fldLock="1"/>
      </w:r>
      <w:r w:rsidR="009F56C9">
        <w:rPr>
          <w:rFonts w:eastAsiaTheme="minorEastAsia"/>
        </w:rPr>
        <w:instrText>ADDIN CSL_CITATION {"citationItems":[{"id":"ITEM-1","itemData":{"DOI":"10.1016/S0079-6700(01)00019-3","ISSN":"00796700","abstract":"An overview of conformation and packing arrangements of crystalline cellulose allomorphs (cellulose Iβ, II, III1, IV1, IV2, complexes with ethylenediamine, water, Na) is provided and basic data are presented in figures and in tables, i.e. invariants derived from model compounds, hydrogen bonding schemes, corrected and relabeled coordinates including hydrogen atoms for further evaluation and graphic representation. Cellobiose represents the basic translational unit for all of these allomorphs and leads to a repeat distance along the cellulose chains or fiber axis of ca. 10.3 Å. All the celluloses show a ribbon like shape, and these ribbons are arranged almost flat in so called intrasheets which are piled up to form the crystalline structure of the materials. © 2001 Elsevier Science Ltd. All rights reserved.","author":[{"dropping-particle":"","family":"Zugenmaier","given":"Peter","non-dropping-particle":"","parse-names":false,"suffix":""}],"container-title":"Progress in Polymer Science (Oxford)","id":"ITEM-1","issue":"9","issued":{"date-parts":[["2001"]]},"page":"1341-1417","title":"Conformation and packing of various crystalline cellulose fibers","type":"article-journal","volume":"26"},"uris":["http://www.mendeley.com/documents/?uuid=1b9ccd4c-e31f-4c55-9a6d-186bdd02c102"]}],"mendeley":{"formattedCitation":"&lt;sup&gt;33&lt;/sup&gt;","plainTextFormattedCitation":"33","previouslyFormattedCitation":"&lt;sup&gt;33&lt;/sup&gt;"},"properties":{"noteIndex":0},"schema":"https://github.com/citation-style-language/schema/raw/master/csl-citation.json"}</w:instrText>
      </w:r>
      <w:r w:rsidRPr="00B82375">
        <w:rPr>
          <w:rFonts w:eastAsiaTheme="minorEastAsia"/>
        </w:rPr>
        <w:fldChar w:fldCharType="separate"/>
      </w:r>
      <w:r w:rsidR="00DC2B5C" w:rsidRPr="00DC2B5C">
        <w:rPr>
          <w:rFonts w:eastAsiaTheme="minorEastAsia"/>
          <w:noProof/>
          <w:vertAlign w:val="superscript"/>
        </w:rPr>
        <w:t>33</w:t>
      </w:r>
      <w:r w:rsidRPr="00B82375">
        <w:rPr>
          <w:rFonts w:eastAsiaTheme="minorEastAsia"/>
        </w:rPr>
        <w:fldChar w:fldCharType="end"/>
      </w:r>
      <w:r w:rsidRPr="00B82375">
        <w:rPr>
          <w:rFonts w:eastAsiaTheme="minorEastAsia"/>
        </w:rPr>
        <w:t xml:space="preserve"> </w:t>
      </w:r>
      <w:r w:rsidR="00333B48" w:rsidRPr="00B82375">
        <w:rPr>
          <w:rFonts w:eastAsiaTheme="minorEastAsia"/>
        </w:rPr>
        <w:t xml:space="preserve"> </w:t>
      </w:r>
      <w:r w:rsidRPr="00B82375">
        <w:rPr>
          <w:rFonts w:eastAsiaTheme="minorEastAsia"/>
        </w:rPr>
        <w:t xml:space="preserve">Specifically, the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B82375">
        <w:rPr>
          <w:rFonts w:eastAsiaTheme="minorEastAsia"/>
        </w:rPr>
        <w:t xml:space="preserve"> point group is monoclinic </w:t>
      </w:r>
      <m:oMath>
        <m:sSub>
          <m:sSubPr>
            <m:ctrlPr>
              <w:rPr>
                <w:rFonts w:ascii="Cambria Math" w:hAnsi="Cambria Math"/>
                <w:i/>
              </w:rPr>
            </m:ctrlPr>
          </m:sSubPr>
          <m:e>
            <m:r>
              <w:rPr>
                <w:rFonts w:ascii="Cambria Math" w:hAnsi="Cambria Math"/>
              </w:rPr>
              <m:t>P2</m:t>
            </m:r>
          </m:e>
          <m:sub>
            <m:r>
              <w:rPr>
                <w:rFonts w:ascii="Cambria Math" w:hAnsi="Cambria Math"/>
              </w:rPr>
              <m:t>1</m:t>
            </m:r>
          </m:sub>
        </m:sSub>
      </m:oMath>
      <w:r w:rsidRPr="00B82375">
        <w:rPr>
          <w:rFonts w:eastAsiaTheme="minorEastAsia"/>
        </w:rPr>
        <w:t xml:space="preserve">. </w:t>
      </w:r>
    </w:p>
    <w:p w14:paraId="129042D8" w14:textId="1E39FC0B" w:rsidR="002420EA" w:rsidRPr="00B82375" w:rsidRDefault="0053DA4C" w:rsidP="00B82375">
      <w:pPr>
        <w:pStyle w:val="TAMainText"/>
      </w:pPr>
      <w:r>
        <w:t xml:space="preserve">Using the reference crystal structure determined by X-ray and neutron diffraction study carried out by Nishiyama </w:t>
      </w:r>
      <w:r w:rsidRPr="000806F7">
        <w:rPr>
          <w:i/>
          <w:iCs/>
        </w:rPr>
        <w:t>et al</w:t>
      </w:r>
      <w:r w:rsidR="00E26B34" w:rsidRPr="000806F7">
        <w:rPr>
          <w:i/>
          <w:iCs/>
        </w:rPr>
        <w:t>.</w:t>
      </w:r>
      <w:r>
        <w:t xml:space="preserve"> the lattice parameters are defined as a=7.78 Å, b=8.20 Å and c=10.38 Å </w:t>
      </w:r>
      <w:r w:rsidR="00E26B34">
        <w:t xml:space="preserve">with c being </w:t>
      </w:r>
      <w:r>
        <w:t>the fib</w:t>
      </w:r>
      <w:r w:rsidR="002F40A3">
        <w:t>er</w:t>
      </w:r>
      <w:r>
        <w:t xml:space="preserve"> axis.</w:t>
      </w:r>
      <w:r w:rsidR="002420EA">
        <w:fldChar w:fldCharType="begin" w:fldLock="1"/>
      </w:r>
      <w:r w:rsidR="009F56C9">
        <w:instrText>ADDIN CSL_CITATION {"citationItems":[{"id":"ITEM-1","itemData":{"DOI":"10.1021/ja0257319","ISSN":"0002-7863","PMID":"14624578","abstract":"The crystal and molecular structure, together with the hydrogen-bonding system in cellulose I(alpha), has been determined using atomic-resolution synchrotron and neutron diffraction data recorded from oriented fibrous samples prepared by aligning cellulose microcrystals from the cell wall of the freshwater alga Glaucocystis nostochinearum. The X-ray data were used to determine the C and O atom positions. The resulting structure is a one-chain triclinic unit cell with all glucosyl linkages and hydroxymethyl groups (tg) identical. However, adjacent sugar rings alternate in conformation giving the chain a cellobiosyl repeat. The chains organize in sheets packed in a \"parallel-up\" fashion. The positions of hydrogen atoms involved in hydrogen-bonding were determined from a Fourier-difference analysis using neutron diffraction data collected from hydrogenated and deuterated samples. The differences between the structure and hydrogen-bonding reported here for cellulose I(alpha) and previously for cellulose I(beta) provide potential explanations for the solid-state conversion of I(alpha) --&gt; I(beta) and for the occurrence of two crystal phases in naturally occurring cellulose.","author":[{"dropping-particle":"","family":"Nishiyama","given":"Yoshiharu","non-dropping-particle":"","parse-names":false,"suffix":""},{"dropping-particle":"","family":"Langan","given":"Paul","non-dropping-particle":"","parse-names":false,"suffix":""},{"dropping-particle":"","family":"Chanzy","given":"Henri","non-dropping-particle":"","parse-names":false,"suffix":""}],"container-title":"Journal of the American Chemical Society","id":"ITEM-1","issue":"31","issued":{"date-parts":[["2002","8","1"]]},"page":"9074-9082","title":"Crystal Structure and Hydrogen-Bonding System in Cellulose Iβ from Synchrotron X-ray and Neutron Fiber Diffraction","type":"article-journal","volume":"124"},"uris":["http://www.mendeley.com/documents/?uuid=3f9e4e0b-c440-4dfb-a4f7-0ffc777517dd"]}],"mendeley":{"formattedCitation":"&lt;sup&gt;34&lt;/sup&gt;","plainTextFormattedCitation":"34","previouslyFormattedCitation":"&lt;sup&gt;34&lt;/sup&gt;"},"properties":{"noteIndex":0},"schema":"https://github.com/citation-style-language/schema/raw/master/csl-citation.json"}</w:instrText>
      </w:r>
      <w:r w:rsidR="002420EA">
        <w:fldChar w:fldCharType="separate"/>
      </w:r>
      <w:r w:rsidR="00DC2B5C" w:rsidRPr="00DC2B5C">
        <w:rPr>
          <w:noProof/>
          <w:vertAlign w:val="superscript"/>
        </w:rPr>
        <w:t>34</w:t>
      </w:r>
      <w:r w:rsidR="002420EA">
        <w:fldChar w:fldCharType="end"/>
      </w:r>
      <w:r>
        <w:t xml:space="preserve">  The exact coordinates of the crystalline phase </w:t>
      </w:r>
      <w:r w:rsidR="029C5E71">
        <w:t>have</w:t>
      </w:r>
      <w:r>
        <w:t xml:space="preserve"> been expressed in detail by </w:t>
      </w:r>
      <w:proofErr w:type="spellStart"/>
      <w:r>
        <w:t>Zugenmaier</w:t>
      </w:r>
      <w:proofErr w:type="spellEnd"/>
      <w:r>
        <w:t xml:space="preserve"> </w:t>
      </w:r>
      <w:r w:rsidRPr="000806F7">
        <w:rPr>
          <w:i/>
          <w:iCs/>
        </w:rPr>
        <w:t>et al</w:t>
      </w:r>
      <w:r>
        <w:t>.</w:t>
      </w:r>
      <w:r w:rsidR="002420EA">
        <w:fldChar w:fldCharType="begin" w:fldLock="1"/>
      </w:r>
      <w:r w:rsidR="009F56C9">
        <w:instrText>ADDIN CSL_CITATION {"citationItems":[{"id":"ITEM-1","itemData":{"DOI":"10.1016/S0079-6700(01)00019-3","ISSN":"00796700","abstract":"An overview of conformation and packing arrangements of crystalline cellulose allomorphs (cellulose Iβ, II, III1, IV1, IV2, complexes with ethylenediamine, water, Na) is provided and basic data are presented in figures and in tables, i.e. invariants derived from model compounds, hydrogen bonding schemes, corrected and relabeled coordinates including hydrogen atoms for further evaluation and graphic representation. Cellobiose represents the basic translational unit for all of these allomorphs and leads to a repeat distance along the cellulose chains or fiber axis of ca. 10.3 Å. All the celluloses show a ribbon like shape, and these ribbons are arranged almost flat in so called intrasheets which are piled up to form the crystalline structure of the materials. © 2001 Elsevier Science Ltd. All rights reserved.","author":[{"dropping-particle":"","family":"Zugenmaier","given":"Peter","non-dropping-particle":"","parse-names":false,"suffix":""}],"container-title":"Progress in Polymer Science (Oxford)","id":"ITEM-1","issue":"9","issued":{"date-parts":[["2001"]]},"page":"1341-1417","title":"Conformation and packing of various crystalline cellulose fibers","type":"article-journal","volume":"26"},"uris":["http://www.mendeley.com/documents/?uuid=1b9ccd4c-e31f-4c55-9a6d-186bdd02c102"]}],"mendeley":{"formattedCitation":"&lt;sup&gt;33&lt;/sup&gt;","plainTextFormattedCitation":"33","previouslyFormattedCitation":"&lt;sup&gt;33&lt;/sup&gt;"},"properties":{"noteIndex":0},"schema":"https://github.com/citation-style-language/schema/raw/master/csl-citation.json"}</w:instrText>
      </w:r>
      <w:r w:rsidR="002420EA">
        <w:fldChar w:fldCharType="separate"/>
      </w:r>
      <w:r w:rsidR="00DC2B5C" w:rsidRPr="00DC2B5C">
        <w:rPr>
          <w:noProof/>
          <w:vertAlign w:val="superscript"/>
        </w:rPr>
        <w:t>33</w:t>
      </w:r>
      <w:r w:rsidR="002420EA">
        <w:fldChar w:fldCharType="end"/>
      </w:r>
      <w:r>
        <w:t xml:space="preserve"> </w:t>
      </w:r>
      <w:r w:rsidR="0059547B">
        <w:t xml:space="preserve">The cross section </w:t>
      </w:r>
      <w:r w:rsidR="00431D27">
        <w:t xml:space="preserve">of </w:t>
      </w:r>
      <w:r w:rsidR="00160ABD">
        <w:t xml:space="preserve">CNCs also seems to depend on the source material and </w:t>
      </w:r>
      <w:r w:rsidR="003A28D0">
        <w:t xml:space="preserve">is still under intense investigation. As the </w:t>
      </w:r>
      <w:r w:rsidR="002C20BC">
        <w:t xml:space="preserve">SONLO response </w:t>
      </w:r>
      <w:r w:rsidR="00550245">
        <w:t xml:space="preserve">is </w:t>
      </w:r>
      <w:r w:rsidR="00173236">
        <w:t xml:space="preserve">based on the bulk crystal structure and interface effects are neglected, the exact cross section is not important for our analysis and a rectangular cross section is assumed for simplicity. </w:t>
      </w:r>
    </w:p>
    <w:p w14:paraId="436111DD" w14:textId="31D23400" w:rsidR="002420EA" w:rsidRPr="00020AF3" w:rsidRDefault="000A14F8" w:rsidP="00020AF3">
      <w:pPr>
        <w:pStyle w:val="TAMainText"/>
        <w:rPr>
          <w:rFonts w:eastAsiaTheme="minorEastAsia"/>
        </w:rPr>
      </w:pPr>
      <w:r>
        <w:t>Using a rectangular cross-section, t</w:t>
      </w:r>
      <w:r w:rsidRPr="00B82375">
        <w:t xml:space="preserve">he </w:t>
      </w:r>
      <m:oMath>
        <m:sSub>
          <m:sSubPr>
            <m:ctrlPr>
              <w:rPr>
                <w:rFonts w:ascii="Cambria Math" w:hAnsi="Cambria Math"/>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002420EA" w:rsidRPr="00B82375">
        <w:rPr>
          <w:rFonts w:eastAsiaTheme="minorEastAsia"/>
        </w:rPr>
        <w:t xml:space="preserve"> </w:t>
      </w:r>
      <w:r w:rsidR="002420EA" w:rsidRPr="00B82375">
        <w:t xml:space="preserve">crystalline CNC ribbons </w:t>
      </w:r>
      <w:r w:rsidR="002420EA" w:rsidRPr="00B82375">
        <w:rPr>
          <w:rFonts w:eastAsiaTheme="minorEastAsia"/>
        </w:rPr>
        <w:t>have their shorts edges along the faces</w:t>
      </w:r>
      <w:r w:rsidR="00BD6ABC">
        <w:rPr>
          <w:rFonts w:eastAsiaTheme="minorEastAsia"/>
        </w:rPr>
        <w:t xml:space="preserve"> </w:t>
      </w:r>
      <m:oMath>
        <m:d>
          <m:dPr>
            <m:ctrlPr>
              <w:rPr>
                <w:rFonts w:ascii="Cambria Math" w:hAnsi="Cambria Math"/>
              </w:rPr>
            </m:ctrlPr>
          </m:dPr>
          <m:e>
            <m:r>
              <m:rPr>
                <m:sty m:val="p"/>
              </m:rPr>
              <w:rPr>
                <w:rFonts w:ascii="Cambria Math" w:eastAsiaTheme="minorEastAsia" w:hAnsi="Cambria Math"/>
              </w:rPr>
              <m:t>110</m:t>
            </m:r>
          </m:e>
        </m:d>
      </m:oMath>
      <w:r w:rsidR="002420EA" w:rsidRPr="00B82375">
        <w:rPr>
          <w:rFonts w:eastAsiaTheme="minorEastAsia"/>
        </w:rPr>
        <w:t xml:space="preserve"> and </w:t>
      </w:r>
      <m:oMath>
        <m:d>
          <m:dPr>
            <m:ctrlPr>
              <w:rPr>
                <w:rFonts w:ascii="Cambria Math" w:hAnsi="Cambria Math"/>
              </w:rPr>
            </m:ctrlPr>
          </m:dPr>
          <m:e>
            <m:r>
              <m:rPr>
                <m:sty m:val="p"/>
              </m:rPr>
              <w:rPr>
                <w:rFonts w:ascii="Cambria Math" w:eastAsiaTheme="minorEastAsia" w:hAnsi="Cambria Math"/>
              </w:rPr>
              <m:t>1</m:t>
            </m:r>
            <m:bar>
              <m:barPr>
                <m:pos m:val="top"/>
                <m:ctrlPr>
                  <w:rPr>
                    <w:rFonts w:ascii="Cambria Math" w:hAnsi="Cambria Math"/>
                  </w:rPr>
                </m:ctrlPr>
              </m:barPr>
              <m:e>
                <m:r>
                  <m:rPr>
                    <m:sty m:val="p"/>
                  </m:rPr>
                  <w:rPr>
                    <w:rFonts w:ascii="Cambria Math" w:eastAsiaTheme="minorEastAsia" w:hAnsi="Cambria Math"/>
                  </w:rPr>
                  <m:t>1</m:t>
                </m:r>
              </m:e>
            </m:bar>
            <m:r>
              <m:rPr>
                <m:sty m:val="p"/>
              </m:rPr>
              <w:rPr>
                <w:rFonts w:ascii="Cambria Math" w:eastAsiaTheme="minorEastAsia" w:hAnsi="Cambria Math"/>
              </w:rPr>
              <m:t>0</m:t>
            </m:r>
          </m:e>
        </m:d>
      </m:oMath>
      <w:r w:rsidR="002420EA" w:rsidRPr="00B82375">
        <w:rPr>
          <w:rFonts w:eastAsiaTheme="minorEastAsia"/>
        </w:rPr>
        <w:t xml:space="preserve">. </w:t>
      </w:r>
      <w:r w:rsidR="002420EA" w:rsidRPr="00B82375">
        <w:t>Therefore</w:t>
      </w:r>
      <w:r>
        <w:t>,</w:t>
      </w:r>
      <w:r w:rsidR="002420EA" w:rsidRPr="00B82375">
        <w:t xml:space="preserve"> the plane spacing distances </w:t>
      </w:r>
      <m:oMath>
        <m:sSub>
          <m:sSubPr>
            <m:ctrlPr>
              <w:rPr>
                <w:rFonts w:ascii="Cambria Math" w:hAnsi="Cambria Math"/>
              </w:rPr>
            </m:ctrlPr>
          </m:sSubPr>
          <m:e>
            <m:r>
              <w:rPr>
                <w:rFonts w:ascii="Cambria Math" w:hAnsi="Cambria Math"/>
              </w:rPr>
              <m:t>d</m:t>
            </m:r>
          </m:e>
          <m:sub>
            <m:d>
              <m:dPr>
                <m:ctrlPr>
                  <w:rPr>
                    <w:rFonts w:ascii="Cambria Math" w:hAnsi="Cambria Math"/>
                  </w:rPr>
                </m:ctrlPr>
              </m:dPr>
              <m:e>
                <m:r>
                  <m:rPr>
                    <m:sty m:val="p"/>
                  </m:rPr>
                  <w:rPr>
                    <w:rFonts w:ascii="Cambria Math" w:hAnsi="Cambria Math"/>
                  </w:rPr>
                  <m:t>110</m:t>
                </m:r>
              </m:e>
            </m:d>
          </m:sub>
        </m:sSub>
      </m:oMath>
      <w:r w:rsidR="002420EA" w:rsidRPr="00B82375">
        <w:t xml:space="preserve"> and </w:t>
      </w:r>
      <m:oMath>
        <m:sSub>
          <m:sSubPr>
            <m:ctrlPr>
              <w:rPr>
                <w:rFonts w:ascii="Cambria Math" w:hAnsi="Cambria Math"/>
              </w:rPr>
            </m:ctrlPr>
          </m:sSubPr>
          <m:e>
            <m:r>
              <w:rPr>
                <w:rFonts w:ascii="Cambria Math" w:hAnsi="Cambria Math"/>
              </w:rPr>
              <m:t>d</m:t>
            </m:r>
          </m:e>
          <m:sub>
            <m:d>
              <m:dPr>
                <m:ctrlPr>
                  <w:rPr>
                    <w:rFonts w:ascii="Cambria Math" w:hAnsi="Cambria Math"/>
                  </w:rPr>
                </m:ctrlPr>
              </m:dPr>
              <m:e>
                <m:r>
                  <m:rPr>
                    <m:sty m:val="p"/>
                  </m:rPr>
                  <w:rPr>
                    <w:rFonts w:ascii="Cambria Math" w:hAnsi="Cambria Math"/>
                  </w:rPr>
                  <m:t>1</m:t>
                </m:r>
                <m:bar>
                  <m:barPr>
                    <m:pos m:val="top"/>
                    <m:ctrlPr>
                      <w:rPr>
                        <w:rFonts w:ascii="Cambria Math" w:hAnsi="Cambria Math"/>
                      </w:rPr>
                    </m:ctrlPr>
                  </m:barPr>
                  <m:e>
                    <m:r>
                      <m:rPr>
                        <m:sty m:val="p"/>
                      </m:rPr>
                      <w:rPr>
                        <w:rFonts w:ascii="Cambria Math" w:hAnsi="Cambria Math"/>
                      </w:rPr>
                      <m:t>1</m:t>
                    </m:r>
                  </m:e>
                </m:bar>
                <m:r>
                  <m:rPr>
                    <m:sty m:val="p"/>
                  </m:rPr>
                  <w:rPr>
                    <w:rFonts w:ascii="Cambria Math" w:hAnsi="Cambria Math"/>
                  </w:rPr>
                  <m:t>0</m:t>
                </m:r>
              </m:e>
            </m:d>
          </m:sub>
        </m:sSub>
      </m:oMath>
      <w:r w:rsidR="002420EA" w:rsidRPr="00B82375">
        <w:t xml:space="preserve"> are also employed to count the number of cellulose chains within a specific rod. </w:t>
      </w:r>
      <m:oMath>
        <m:sSub>
          <m:sSubPr>
            <m:ctrlPr>
              <w:rPr>
                <w:rFonts w:ascii="Cambria Math" w:hAnsi="Cambria Math"/>
              </w:rPr>
            </m:ctrlPr>
          </m:sSubPr>
          <m:e>
            <m:r>
              <w:rPr>
                <w:rFonts w:ascii="Cambria Math" w:hAnsi="Cambria Math"/>
              </w:rPr>
              <m:t>d</m:t>
            </m:r>
          </m:e>
          <m:sub>
            <m:d>
              <m:dPr>
                <m:ctrlPr>
                  <w:rPr>
                    <w:rFonts w:ascii="Cambria Math" w:hAnsi="Cambria Math"/>
                  </w:rPr>
                </m:ctrlPr>
              </m:dPr>
              <m:e>
                <m:r>
                  <m:rPr>
                    <m:sty m:val="p"/>
                  </m:rPr>
                  <w:rPr>
                    <w:rFonts w:ascii="Cambria Math" w:hAnsi="Cambria Math"/>
                  </w:rPr>
                  <m:t>110</m:t>
                </m:r>
              </m:e>
            </m:d>
          </m:sub>
        </m:sSub>
      </m:oMath>
      <w:r w:rsidR="002420EA" w:rsidRPr="00B82375">
        <w:t xml:space="preserve"> and </w:t>
      </w:r>
      <m:oMath>
        <m:sSub>
          <m:sSubPr>
            <m:ctrlPr>
              <w:rPr>
                <w:rFonts w:ascii="Cambria Math" w:hAnsi="Cambria Math"/>
              </w:rPr>
            </m:ctrlPr>
          </m:sSubPr>
          <m:e>
            <m:r>
              <w:rPr>
                <w:rFonts w:ascii="Cambria Math" w:hAnsi="Cambria Math"/>
              </w:rPr>
              <m:t>d</m:t>
            </m:r>
          </m:e>
          <m:sub>
            <m:d>
              <m:dPr>
                <m:ctrlPr>
                  <w:rPr>
                    <w:rFonts w:ascii="Cambria Math" w:hAnsi="Cambria Math"/>
                  </w:rPr>
                </m:ctrlPr>
              </m:dPr>
              <m:e>
                <m:r>
                  <m:rPr>
                    <m:sty m:val="p"/>
                  </m:rPr>
                  <w:rPr>
                    <w:rFonts w:ascii="Cambria Math" w:hAnsi="Cambria Math"/>
                  </w:rPr>
                  <m:t>1</m:t>
                </m:r>
                <m:bar>
                  <m:barPr>
                    <m:pos m:val="top"/>
                    <m:ctrlPr>
                      <w:rPr>
                        <w:rFonts w:ascii="Cambria Math" w:hAnsi="Cambria Math"/>
                      </w:rPr>
                    </m:ctrlPr>
                  </m:barPr>
                  <m:e>
                    <m:r>
                      <m:rPr>
                        <m:sty m:val="p"/>
                      </m:rPr>
                      <w:rPr>
                        <w:rFonts w:ascii="Cambria Math" w:hAnsi="Cambria Math"/>
                      </w:rPr>
                      <m:t>1</m:t>
                    </m:r>
                  </m:e>
                </m:bar>
                <m:r>
                  <m:rPr>
                    <m:sty m:val="p"/>
                  </m:rPr>
                  <w:rPr>
                    <w:rFonts w:ascii="Cambria Math" w:hAnsi="Cambria Math"/>
                  </w:rPr>
                  <m:t>0</m:t>
                </m:r>
              </m:e>
            </m:d>
          </m:sub>
        </m:sSub>
      </m:oMath>
      <w:r w:rsidR="002420EA" w:rsidRPr="00B82375">
        <w:t xml:space="preserve"> are equal to 5.32 Å and 5.96 Å respectively. </w:t>
      </w:r>
      <w:r w:rsidR="002420EA" w:rsidRPr="00B82375">
        <w:rPr>
          <w:rFonts w:eastAsiaTheme="minorEastAsia"/>
        </w:rPr>
        <w:t xml:space="preserve">In Fig 1D, the brown boxes show the end of individual cellulose </w:t>
      </w:r>
      <w:r w:rsidR="002420EA" w:rsidRPr="00B82375">
        <w:rPr>
          <w:rFonts w:eastAsiaTheme="minorEastAsia"/>
        </w:rPr>
        <w:lastRenderedPageBreak/>
        <w:t>chains, with the variables</w:t>
      </w:r>
      <w:r w:rsidR="00020AF3">
        <w:rPr>
          <w:rFonts w:eastAsiaTheme="minor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oMath>
      <w:r w:rsidR="00020AF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3</m:t>
            </m:r>
          </m:sub>
        </m:sSub>
      </m:oMath>
      <w:r w:rsidR="00020AF3">
        <w:rPr>
          <w:rFonts w:eastAsiaTheme="minorEastAsia"/>
        </w:rPr>
        <w:t xml:space="preserve"> </w:t>
      </w:r>
      <w:r w:rsidR="002420EA" w:rsidRPr="00B82375">
        <w:rPr>
          <w:rFonts w:eastAsiaTheme="minorEastAsia"/>
        </w:rPr>
        <w:t>representing the height, width</w:t>
      </w:r>
      <w:r>
        <w:rPr>
          <w:rFonts w:eastAsiaTheme="minorEastAsia"/>
        </w:rPr>
        <w:t>,</w:t>
      </w:r>
      <w:r w:rsidR="002420EA" w:rsidRPr="00B82375">
        <w:rPr>
          <w:rFonts w:eastAsiaTheme="minorEastAsia"/>
        </w:rPr>
        <w:t xml:space="preserve"> and length of the nanocrystal respectively.  </w:t>
      </w:r>
    </w:p>
    <w:p w14:paraId="5EBC926B" w14:textId="51D11D0D" w:rsidR="00B82375" w:rsidRPr="001D140A" w:rsidRDefault="230A2DE4" w:rsidP="635E82E4">
      <w:pPr>
        <w:pStyle w:val="TAMainText"/>
        <w:rPr>
          <w:rFonts w:eastAsiaTheme="minorEastAsia"/>
        </w:rPr>
      </w:pPr>
      <w:r w:rsidRPr="635E82E4">
        <w:rPr>
          <w:rFonts w:eastAsiaTheme="minorEastAsia"/>
        </w:rPr>
        <w:t>Furthermore,</w:t>
      </w:r>
      <w:r w:rsidR="4EC20327" w:rsidRPr="635E82E4">
        <w:rPr>
          <w:rFonts w:eastAsiaTheme="minorEastAsia"/>
        </w:rPr>
        <w:t xml:space="preserve"> it is also possible to calculate the number of repeating units within a nanorod. For the crystal point group of </w:t>
      </w:r>
      <m:oMath>
        <m:sSub>
          <m:sSubPr>
            <m:ctrlPr>
              <w:rPr>
                <w:rFonts w:ascii="Cambria Math" w:eastAsiaTheme="minorEastAsia" w:hAnsi="Cambria Math"/>
                <w:iCs/>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r>
          <w:rPr>
            <w:rFonts w:ascii="Cambria Math" w:eastAsiaTheme="minorEastAsia" w:hAnsi="Cambria Math"/>
          </w:rPr>
          <m:t xml:space="preserve">, </m:t>
        </m:r>
      </m:oMath>
      <w:r w:rsidR="4EC20327" w:rsidRPr="635E82E4">
        <w:rPr>
          <w:rFonts w:eastAsiaTheme="minorEastAsia"/>
        </w:rPr>
        <w:t xml:space="preserve">the </w:t>
      </w:r>
      <w:r w:rsidR="00A659D1">
        <w:rPr>
          <w:rFonts w:eastAsiaTheme="minorEastAsia"/>
        </w:rPr>
        <w:t>number</w:t>
      </w:r>
      <w:r w:rsidR="00A659D1" w:rsidRPr="635E82E4">
        <w:rPr>
          <w:rFonts w:eastAsiaTheme="minorEastAsia"/>
        </w:rPr>
        <w:t xml:space="preserve"> </w:t>
      </w:r>
      <w:r w:rsidR="4EC20327" w:rsidRPr="635E82E4">
        <w:rPr>
          <w:rFonts w:eastAsiaTheme="minorEastAsia"/>
        </w:rPr>
        <w:t xml:space="preserve">of </w:t>
      </w:r>
      <w:r w:rsidR="003C176F">
        <w:rPr>
          <w:rFonts w:eastAsiaTheme="minorEastAsia"/>
        </w:rPr>
        <w:t>anhydro</w:t>
      </w:r>
      <w:r w:rsidR="00E11A5D">
        <w:rPr>
          <w:rFonts w:eastAsiaTheme="minorEastAsia"/>
        </w:rPr>
        <w:t>-</w:t>
      </w:r>
      <w:r w:rsidR="003C176F">
        <w:rPr>
          <w:rFonts w:eastAsiaTheme="minorEastAsia"/>
        </w:rPr>
        <w:t>glucose</w:t>
      </w:r>
      <w:r w:rsidR="003C176F" w:rsidRPr="635E82E4">
        <w:rPr>
          <w:rFonts w:eastAsiaTheme="minorEastAsia"/>
        </w:rPr>
        <w:t xml:space="preserve"> </w:t>
      </w:r>
      <w:r w:rsidR="4EC20327" w:rsidRPr="635E82E4">
        <w:rPr>
          <w:rFonts w:eastAsiaTheme="minorEastAsia"/>
        </w:rPr>
        <w:t xml:space="preserve">units can be derived from the dimensions of the rod, the plane spacing distances and the cell parameter c. This is expressed through </w:t>
      </w:r>
      <w:proofErr w:type="spellStart"/>
      <w:r w:rsidR="4EC20327" w:rsidRPr="635E82E4">
        <w:rPr>
          <w:rFonts w:eastAsiaTheme="minorEastAsia"/>
        </w:rPr>
        <w:t>eqn</w:t>
      </w:r>
      <w:proofErr w:type="spellEnd"/>
      <w:r w:rsidR="4EC20327" w:rsidRPr="635E82E4">
        <w:rPr>
          <w:rFonts w:eastAsiaTheme="minorEastAsia"/>
        </w:rPr>
        <w:t xml:space="preserve"> (1) below:</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602"/>
      </w:tblGrid>
      <w:tr w:rsidR="00B82375" w:rsidRPr="005401E0" w14:paraId="7ABB7698" w14:textId="77777777">
        <w:trPr>
          <w:trHeight w:val="964"/>
        </w:trPr>
        <w:tc>
          <w:tcPr>
            <w:tcW w:w="9036" w:type="dxa"/>
            <w:vAlign w:val="center"/>
          </w:tcPr>
          <w:p w14:paraId="0349FC99" w14:textId="282C537D" w:rsidR="00B82375" w:rsidRPr="005401E0" w:rsidRDefault="00000000">
            <w:pPr>
              <w:pStyle w:val="TAMainText"/>
            </w:pPr>
            <m:oMathPara>
              <m:oMath>
                <m:sSub>
                  <m:sSubPr>
                    <m:ctrlPr>
                      <w:rPr>
                        <w:rFonts w:ascii="Cambria Math" w:hAnsi="Cambria Math"/>
                        <w:i/>
                      </w:rPr>
                    </m:ctrlPr>
                  </m:sSubPr>
                  <m:e>
                    <m:r>
                      <w:rPr>
                        <w:rFonts w:ascii="Cambria Math" w:hAnsi="Cambria Math"/>
                      </w:rPr>
                      <m:t>n</m:t>
                    </m:r>
                  </m:e>
                  <m:sub>
                    <m:r>
                      <w:rPr>
                        <w:rFonts w:ascii="Cambria Math" w:hAnsi="Cambria Math"/>
                      </w:rPr>
                      <m:t>AGU</m:t>
                    </m:r>
                  </m:sub>
                </m:sSub>
                <m:r>
                  <w:rPr>
                    <w:rFonts w:ascii="Cambria Math" w:hAnsi="Cambria Math"/>
                  </w:rPr>
                  <m:t>=2</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ctrlPr>
                      <w:rPr>
                        <w:rFonts w:ascii="Cambria Math" w:hAnsi="Cambria Math"/>
                        <w:i/>
                      </w:rPr>
                    </m:ctrlPr>
                  </m:num>
                  <m:den>
                    <m:sSub>
                      <m:sSubPr>
                        <m:ctrlPr>
                          <w:rPr>
                            <w:rFonts w:ascii="Cambria Math" w:hAnsi="Cambria Math"/>
                            <w:i/>
                          </w:rPr>
                        </m:ctrlPr>
                      </m:sSubPr>
                      <m:e>
                        <m:r>
                          <w:rPr>
                            <w:rFonts w:ascii="Cambria Math" w:hAnsi="Cambria Math"/>
                          </w:rPr>
                          <m:t>d</m:t>
                        </m:r>
                      </m:e>
                      <m:sub>
                        <m:r>
                          <w:rPr>
                            <w:rFonts w:ascii="Cambria Math" w:hAnsi="Cambria Math"/>
                          </w:rPr>
                          <m:t>(1</m:t>
                        </m:r>
                        <m:bar>
                          <m:barPr>
                            <m:pos m:val="top"/>
                            <m:ctrlPr>
                              <w:rPr>
                                <w:rFonts w:ascii="Cambria Math" w:hAnsi="Cambria Math"/>
                              </w:rPr>
                            </m:ctrlPr>
                          </m:barPr>
                          <m:e>
                            <m:r>
                              <w:rPr>
                                <w:rFonts w:ascii="Cambria Math" w:hAnsi="Cambria Math"/>
                              </w:rPr>
                              <m:t>1</m:t>
                            </m:r>
                          </m:e>
                        </m:bar>
                        <m:r>
                          <w:rPr>
                            <w:rFonts w:ascii="Cambria Math" w:hAnsi="Cambria Math"/>
                          </w:rPr>
                          <m:t>0)</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ctrlPr>
                      <w:rPr>
                        <w:rFonts w:ascii="Cambria Math" w:hAnsi="Cambria Math"/>
                        <w:i/>
                      </w:rPr>
                    </m:ctrlPr>
                  </m:num>
                  <m:den>
                    <m:sSub>
                      <m:sSubPr>
                        <m:ctrlPr>
                          <w:rPr>
                            <w:rFonts w:ascii="Cambria Math" w:hAnsi="Cambria Math"/>
                            <w:i/>
                          </w:rPr>
                        </m:ctrlPr>
                      </m:sSubPr>
                      <m:e>
                        <m:r>
                          <w:rPr>
                            <w:rFonts w:ascii="Cambria Math" w:hAnsi="Cambria Math"/>
                          </w:rPr>
                          <m:t>d</m:t>
                        </m:r>
                      </m:e>
                      <m:sub>
                        <m:r>
                          <w:rPr>
                            <w:rFonts w:ascii="Cambria Math" w:hAnsi="Cambria Math"/>
                          </w:rPr>
                          <m:t>(110)</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3</m:t>
                        </m:r>
                      </m:sub>
                    </m:sSub>
                    <m:ctrlPr>
                      <w:rPr>
                        <w:rFonts w:ascii="Cambria Math" w:hAnsi="Cambria Math"/>
                        <w:i/>
                      </w:rPr>
                    </m:ctrlPr>
                  </m:num>
                  <m:den>
                    <m:r>
                      <w:rPr>
                        <w:rFonts w:ascii="Cambria Math" w:hAnsi="Cambria Math"/>
                      </w:rPr>
                      <m:t>c</m:t>
                    </m:r>
                    <m:ctrlPr>
                      <w:rPr>
                        <w:rFonts w:ascii="Cambria Math" w:hAnsi="Cambria Math"/>
                        <w:i/>
                      </w:rPr>
                    </m:ctrlPr>
                  </m:den>
                </m:f>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uc</m:t>
                    </m:r>
                  </m:sub>
                </m:sSub>
              </m:oMath>
            </m:oMathPara>
          </w:p>
        </w:tc>
        <w:tc>
          <w:tcPr>
            <w:tcW w:w="602" w:type="dxa"/>
            <w:vAlign w:val="center"/>
          </w:tcPr>
          <w:p w14:paraId="486C385F" w14:textId="77777777" w:rsidR="00B82375" w:rsidRPr="005401E0" w:rsidRDefault="00000000">
            <w:pPr>
              <w:pStyle w:val="TAMainText"/>
            </w:pPr>
            <m:oMathPara>
              <m:oMath>
                <m:d>
                  <m:dPr>
                    <m:ctrlPr>
                      <w:rPr>
                        <w:rFonts w:ascii="Cambria Math" w:hAnsi="Cambria Math"/>
                        <w:i/>
                      </w:rPr>
                    </m:ctrlPr>
                  </m:dPr>
                  <m:e>
                    <m:r>
                      <w:rPr>
                        <w:rFonts w:ascii="Cambria Math" w:hAnsi="Cambria Math"/>
                      </w:rPr>
                      <m:t>1</m:t>
                    </m:r>
                  </m:e>
                </m:d>
              </m:oMath>
            </m:oMathPara>
          </w:p>
        </w:tc>
      </w:tr>
    </w:tbl>
    <w:p w14:paraId="7F10E5EB" w14:textId="5AAF2493" w:rsidR="00AA3FC0" w:rsidRPr="00B82375" w:rsidRDefault="00AA3FC0" w:rsidP="0080488C">
      <w:pPr>
        <w:pStyle w:val="TAMainText"/>
        <w:rPr>
          <w:rFonts w:eastAsiaTheme="minorEastAsia"/>
        </w:rPr>
      </w:pPr>
    </w:p>
    <w:p w14:paraId="7DF72A5E" w14:textId="77777777" w:rsidR="002420EA" w:rsidRPr="005401E0" w:rsidRDefault="002420EA" w:rsidP="002420EA">
      <w:pPr>
        <w:keepNext/>
        <w:jc w:val="center"/>
        <w:rPr>
          <w:rFonts w:ascii="Palatino Linotype" w:hAnsi="Palatino Linotype"/>
        </w:rPr>
      </w:pPr>
      <w:r w:rsidRPr="0072531F">
        <w:rPr>
          <w:rFonts w:ascii="Palatino Linotype" w:hAnsi="Palatino Linotype"/>
          <w:noProof/>
        </w:rPr>
        <w:drawing>
          <wp:inline distT="0" distB="0" distL="0" distR="0" wp14:anchorId="1F52F366" wp14:editId="0D7C6AD3">
            <wp:extent cx="6056780" cy="2186503"/>
            <wp:effectExtent l="0" t="0" r="1270" b="4445"/>
            <wp:docPr id="6" name="Afbeelding 6" descr="A diagram of a structure&#10;&#10;Description automatically generated">
              <a:extLst xmlns:a="http://schemas.openxmlformats.org/drawingml/2006/main">
                <a:ext uri="{FF2B5EF4-FFF2-40B4-BE49-F238E27FC236}">
                  <a16:creationId xmlns:a16="http://schemas.microsoft.com/office/drawing/2014/main" id="{14DA717F-6EFE-DC00-9BB8-B0EA64163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 diagram of a structure&#10;&#10;Description automatically generated">
                      <a:extLst>
                        <a:ext uri="{FF2B5EF4-FFF2-40B4-BE49-F238E27FC236}">
                          <a16:creationId xmlns:a16="http://schemas.microsoft.com/office/drawing/2014/main" id="{14DA717F-6EFE-DC00-9BB8-B0EA64163F8A}"/>
                        </a:ext>
                      </a:extLst>
                    </pic:cNvPr>
                    <pic:cNvPicPr>
                      <a:picLocks noChangeAspect="1"/>
                    </pic:cNvPicPr>
                  </pic:nvPicPr>
                  <pic:blipFill>
                    <a:blip r:embed="rId13"/>
                    <a:stretch>
                      <a:fillRect/>
                    </a:stretch>
                  </pic:blipFill>
                  <pic:spPr>
                    <a:xfrm>
                      <a:off x="0" y="0"/>
                      <a:ext cx="6070208" cy="2191350"/>
                    </a:xfrm>
                    <a:prstGeom prst="rect">
                      <a:avLst/>
                    </a:prstGeom>
                  </pic:spPr>
                </pic:pic>
              </a:graphicData>
            </a:graphic>
          </wp:inline>
        </w:drawing>
      </w:r>
    </w:p>
    <w:p w14:paraId="0E21453F" w14:textId="7A3A9942" w:rsidR="002420EA" w:rsidRPr="00D74239" w:rsidRDefault="002420EA" w:rsidP="0075470A">
      <w:pPr>
        <w:pStyle w:val="VAFigureCaption"/>
        <w:rPr>
          <w:i/>
          <w:iCs/>
        </w:rPr>
      </w:pPr>
      <w:r w:rsidRPr="00FD6283">
        <w:rPr>
          <w:b/>
          <w:bCs/>
          <w:i/>
          <w:iCs/>
        </w:rPr>
        <w:t xml:space="preserve">Figure 1: </w:t>
      </w:r>
      <w:r w:rsidRPr="00FD6283">
        <w:rPr>
          <w:b/>
          <w:bCs/>
          <w:i/>
          <w:iCs/>
          <w:noProof/>
        </w:rPr>
        <w:t xml:space="preserve"> Cellulose molecule and cellulose nanocrystals</w:t>
      </w:r>
      <w:r w:rsidR="000F6057">
        <w:rPr>
          <w:b/>
          <w:bCs/>
          <w:i/>
          <w:iCs/>
          <w:noProof/>
        </w:rPr>
        <w:t xml:space="preserve"> structure</w:t>
      </w:r>
      <w:r w:rsidRPr="00FD6283">
        <w:rPr>
          <w:b/>
          <w:bCs/>
          <w:i/>
          <w:iCs/>
          <w:noProof/>
        </w:rPr>
        <w:t>.</w:t>
      </w:r>
      <w:r w:rsidRPr="00FD6283">
        <w:rPr>
          <w:i/>
          <w:iCs/>
        </w:rPr>
        <w:t xml:space="preserve"> (</w:t>
      </w:r>
      <w:r w:rsidRPr="00FD6283">
        <w:rPr>
          <w:b/>
          <w:bCs/>
          <w:i/>
          <w:iCs/>
        </w:rPr>
        <w:t>A)</w:t>
      </w:r>
      <w:r w:rsidRPr="00FD6283">
        <w:rPr>
          <w:i/>
          <w:iCs/>
        </w:rPr>
        <w:t xml:space="preserve"> Representation of a cellulose chain showing the </w:t>
      </w:r>
      <w:r w:rsidR="00AC2419" w:rsidRPr="00FD6283">
        <w:rPr>
          <w:i/>
          <w:iCs/>
        </w:rPr>
        <w:t>anhydr</w:t>
      </w:r>
      <w:r w:rsidR="007B3414">
        <w:rPr>
          <w:i/>
          <w:iCs/>
        </w:rPr>
        <w:t>o-</w:t>
      </w:r>
      <w:r w:rsidR="00AC2419" w:rsidRPr="00FD6283">
        <w:rPr>
          <w:i/>
          <w:iCs/>
        </w:rPr>
        <w:t>glucose</w:t>
      </w:r>
      <w:r w:rsidRPr="00FD6283">
        <w:rPr>
          <w:i/>
          <w:iCs/>
        </w:rPr>
        <w:t xml:space="preserve"> units in the chair conformation. (</w:t>
      </w:r>
      <w:r w:rsidRPr="00FD6283">
        <w:rPr>
          <w:b/>
          <w:bCs/>
          <w:i/>
          <w:iCs/>
        </w:rPr>
        <w:t>B)</w:t>
      </w:r>
      <w:r w:rsidRPr="00FD6283">
        <w:rPr>
          <w:i/>
          <w:iCs/>
        </w:rPr>
        <w:t xml:space="preserve"> YZ view of the </w:t>
      </w:r>
      <m:oMath>
        <m:sSub>
          <m:sSubPr>
            <m:ctrlPr>
              <w:rPr>
                <w:rFonts w:ascii="Cambria Math" w:hAnsi="Cambria Math"/>
                <w:i/>
                <w:iCs/>
              </w:rPr>
            </m:ctrlPr>
          </m:sSubPr>
          <m:e>
            <m:r>
              <w:rPr>
                <w:rFonts w:ascii="Cambria Math" w:hAnsi="Cambria Math"/>
              </w:rPr>
              <m:t>I</m:t>
            </m:r>
          </m:e>
          <m:sub>
            <m:r>
              <m:rPr>
                <m:sty m:val="p"/>
              </m:rPr>
              <w:rPr>
                <w:rFonts w:ascii="Cambria Math" w:hAnsi="Cambria Math"/>
              </w:rPr>
              <m:t>β</m:t>
            </m:r>
          </m:sub>
        </m:sSub>
      </m:oMath>
      <w:r w:rsidR="00D74239">
        <w:rPr>
          <w:i/>
          <w:iCs/>
        </w:rPr>
        <w:t xml:space="preserve"> </w:t>
      </w:r>
      <w:r w:rsidRPr="00FD6283">
        <w:rPr>
          <w:i/>
          <w:iCs/>
        </w:rPr>
        <w:t>cellulose crystal. (</w:t>
      </w:r>
      <w:r w:rsidRPr="00FD6283">
        <w:rPr>
          <w:b/>
          <w:bCs/>
          <w:i/>
          <w:iCs/>
        </w:rPr>
        <w:t>C)</w:t>
      </w:r>
      <w:r w:rsidRPr="00FD6283">
        <w:rPr>
          <w:i/>
          <w:iCs/>
        </w:rPr>
        <w:t xml:space="preserve"> XY view of the </w:t>
      </w:r>
      <m:oMath>
        <m:sSub>
          <m:sSubPr>
            <m:ctrlPr>
              <w:rPr>
                <w:rFonts w:ascii="Cambria Math" w:hAnsi="Cambria Math"/>
                <w:i/>
                <w:iCs/>
              </w:rPr>
            </m:ctrlPr>
          </m:sSubPr>
          <m:e>
            <m:r>
              <w:rPr>
                <w:rFonts w:ascii="Cambria Math" w:hAnsi="Cambria Math"/>
              </w:rPr>
              <m:t>I</m:t>
            </m:r>
          </m:e>
          <m:sub>
            <m:r>
              <m:rPr>
                <m:sty m:val="p"/>
              </m:rPr>
              <w:rPr>
                <w:rFonts w:ascii="Cambria Math" w:hAnsi="Cambria Math"/>
              </w:rPr>
              <m:t>β</m:t>
            </m:r>
          </m:sub>
        </m:sSub>
      </m:oMath>
      <w:r w:rsidRPr="00FD6283">
        <w:rPr>
          <w:i/>
          <w:iCs/>
        </w:rPr>
        <w:t xml:space="preserve"> cellulose crystal. (</w:t>
      </w:r>
      <w:r w:rsidRPr="00FD6283">
        <w:rPr>
          <w:b/>
          <w:bCs/>
          <w:i/>
          <w:iCs/>
        </w:rPr>
        <w:t>D)</w:t>
      </w:r>
      <w:r w:rsidRPr="00FD6283">
        <w:rPr>
          <w:i/>
          <w:iCs/>
        </w:rPr>
        <w:t xml:space="preserve"> Model representation of the packing of cellulose chains in a cellulose nanocrystal. The unit cell is described with the lattice parameters a and b and the exposed facets at the edge of the crystal correspond to the planes</w:t>
      </w:r>
      <m:oMath>
        <m:r>
          <w:rPr>
            <w:rFonts w:ascii="Cambria Math" w:hAnsi="Cambria Math"/>
          </w:rPr>
          <m:t xml:space="preserve"> </m:t>
        </m:r>
        <m:d>
          <m:dPr>
            <m:ctrlPr>
              <w:rPr>
                <w:rFonts w:ascii="Cambria Math" w:hAnsi="Cambria Math"/>
                <w:i/>
                <w:iCs/>
              </w:rPr>
            </m:ctrlPr>
          </m:dPr>
          <m:e>
            <m:r>
              <w:rPr>
                <w:rFonts w:ascii="Cambria Math" w:hAnsi="Cambria Math"/>
              </w:rPr>
              <m:t>110</m:t>
            </m:r>
          </m:e>
        </m:d>
      </m:oMath>
      <w:r w:rsidRPr="00FD6283">
        <w:rPr>
          <w:i/>
          <w:iCs/>
        </w:rPr>
        <w:t xml:space="preserve"> and (</w:t>
      </w:r>
      <m:oMath>
        <m:r>
          <w:rPr>
            <w:rFonts w:ascii="Cambria Math" w:hAnsi="Cambria Math"/>
          </w:rPr>
          <m:t>1</m:t>
        </m:r>
        <m:bar>
          <m:barPr>
            <m:pos m:val="top"/>
            <m:ctrlPr>
              <w:rPr>
                <w:rFonts w:ascii="Cambria Math" w:hAnsi="Cambria Math"/>
                <w:i/>
                <w:iCs/>
              </w:rPr>
            </m:ctrlPr>
          </m:barPr>
          <m:e>
            <m:r>
              <w:rPr>
                <w:rFonts w:ascii="Cambria Math" w:hAnsi="Cambria Math"/>
              </w:rPr>
              <m:t>1</m:t>
            </m:r>
          </m:e>
        </m:bar>
        <m:r>
          <w:rPr>
            <w:rFonts w:ascii="Cambria Math" w:hAnsi="Cambria Math"/>
          </w:rPr>
          <m:t>0</m:t>
        </m:r>
      </m:oMath>
      <w:r w:rsidRPr="00FD6283">
        <w:rPr>
          <w:i/>
          <w:iCs/>
        </w:rPr>
        <w:t xml:space="preserve">). The distances </w:t>
      </w:r>
      <m:oMath>
        <m:sSub>
          <m:sSubPr>
            <m:ctrlPr>
              <w:rPr>
                <w:rFonts w:ascii="Cambria Math" w:hAnsi="Cambria Math"/>
                <w:i/>
                <w:iCs/>
              </w:rPr>
            </m:ctrlPr>
          </m:sSubPr>
          <m:e>
            <m:r>
              <w:rPr>
                <w:rFonts w:ascii="Cambria Math" w:hAnsi="Cambria Math"/>
              </w:rPr>
              <m:t>d</m:t>
            </m:r>
          </m:e>
          <m:sub>
            <m:d>
              <m:dPr>
                <m:ctrlPr>
                  <w:rPr>
                    <w:rFonts w:ascii="Cambria Math" w:hAnsi="Cambria Math"/>
                    <w:i/>
                    <w:iCs/>
                  </w:rPr>
                </m:ctrlPr>
              </m:dPr>
              <m:e>
                <m:r>
                  <w:rPr>
                    <w:rFonts w:ascii="Cambria Math" w:hAnsi="Cambria Math"/>
                  </w:rPr>
                  <m:t>110</m:t>
                </m:r>
              </m:e>
            </m:d>
          </m:sub>
        </m:sSub>
      </m:oMath>
      <w:r w:rsidRPr="00FD6283">
        <w:rPr>
          <w:i/>
          <w:iCs/>
        </w:rPr>
        <w:t xml:space="preserve"> and</w:t>
      </w:r>
      <w:r w:rsidRPr="00FD6283">
        <w:rPr>
          <w:rFonts w:eastAsiaTheme="minorEastAsia"/>
          <w:i/>
          <w:iCs/>
        </w:rPr>
        <w:t xml:space="preserve"> </w:t>
      </w:r>
      <m:oMath>
        <m:sSub>
          <m:sSubPr>
            <m:ctrlPr>
              <w:rPr>
                <w:rFonts w:ascii="Cambria Math" w:eastAsiaTheme="minorEastAsia" w:hAnsi="Cambria Math"/>
                <w:i/>
                <w:iCs/>
              </w:rPr>
            </m:ctrlPr>
          </m:sSubPr>
          <m:e>
            <m:r>
              <w:rPr>
                <w:rFonts w:ascii="Cambria Math" w:eastAsiaTheme="minorEastAsia" w:hAnsi="Cambria Math"/>
              </w:rPr>
              <m:t>d</m:t>
            </m:r>
          </m:e>
          <m:sub>
            <m:d>
              <m:dPr>
                <m:ctrlPr>
                  <w:rPr>
                    <w:rFonts w:ascii="Cambria Math" w:eastAsiaTheme="minorEastAsia" w:hAnsi="Cambria Math"/>
                    <w:i/>
                    <w:iCs/>
                  </w:rPr>
                </m:ctrlPr>
              </m:dPr>
              <m:e>
                <m:r>
                  <w:rPr>
                    <w:rFonts w:ascii="Cambria Math" w:eastAsiaTheme="minorEastAsia" w:hAnsi="Cambria Math"/>
                  </w:rPr>
                  <m:t>1</m:t>
                </m:r>
                <m:bar>
                  <m:barPr>
                    <m:pos m:val="top"/>
                    <m:ctrlPr>
                      <w:rPr>
                        <w:rFonts w:ascii="Cambria Math" w:eastAsiaTheme="minorEastAsia" w:hAnsi="Cambria Math"/>
                        <w:i/>
                        <w:iCs/>
                      </w:rPr>
                    </m:ctrlPr>
                  </m:barPr>
                  <m:e>
                    <m:r>
                      <w:rPr>
                        <w:rFonts w:ascii="Cambria Math" w:eastAsiaTheme="minorEastAsia" w:hAnsi="Cambria Math"/>
                      </w:rPr>
                      <m:t>1</m:t>
                    </m:r>
                  </m:e>
                </m:bar>
                <m:r>
                  <w:rPr>
                    <w:rFonts w:ascii="Cambria Math" w:eastAsiaTheme="minorEastAsia" w:hAnsi="Cambria Math"/>
                  </w:rPr>
                  <m:t>0</m:t>
                </m:r>
              </m:e>
            </m:d>
          </m:sub>
        </m:sSub>
      </m:oMath>
      <w:r w:rsidRPr="00FD6283">
        <w:rPr>
          <w:rFonts w:eastAsiaTheme="minorEastAsia"/>
          <w:i/>
          <w:iCs/>
        </w:rPr>
        <w:t xml:space="preserve"> are used to calculate the </w:t>
      </w:r>
      <w:r w:rsidR="00E0751D">
        <w:rPr>
          <w:rFonts w:eastAsiaTheme="minorEastAsia"/>
          <w:i/>
          <w:iCs/>
        </w:rPr>
        <w:t>number</w:t>
      </w:r>
      <w:r w:rsidRPr="00FD6283">
        <w:rPr>
          <w:rFonts w:eastAsiaTheme="minorEastAsia"/>
          <w:i/>
          <w:iCs/>
        </w:rPr>
        <w:t xml:space="preserve"> of cellulose chains in the CNC with known physical dimensions L</w:t>
      </w:r>
      <w:r w:rsidRPr="00E0751D">
        <w:rPr>
          <w:rFonts w:eastAsiaTheme="minorEastAsia"/>
          <w:i/>
          <w:iCs/>
          <w:vertAlign w:val="subscript"/>
        </w:rPr>
        <w:t>1</w:t>
      </w:r>
      <w:r w:rsidRPr="00FD6283">
        <w:rPr>
          <w:rFonts w:eastAsiaTheme="minorEastAsia"/>
          <w:i/>
          <w:iCs/>
        </w:rPr>
        <w:t>, L</w:t>
      </w:r>
      <w:r w:rsidRPr="00E0751D">
        <w:rPr>
          <w:rFonts w:eastAsiaTheme="minorEastAsia"/>
          <w:i/>
          <w:iCs/>
          <w:vertAlign w:val="subscript"/>
        </w:rPr>
        <w:t>2</w:t>
      </w:r>
      <w:r w:rsidR="0080488C">
        <w:rPr>
          <w:rFonts w:eastAsiaTheme="minorEastAsia"/>
          <w:i/>
          <w:iCs/>
        </w:rPr>
        <w:t>,</w:t>
      </w:r>
      <w:r w:rsidRPr="00FD6283">
        <w:rPr>
          <w:rFonts w:eastAsiaTheme="minorEastAsia"/>
          <w:i/>
          <w:iCs/>
        </w:rPr>
        <w:t xml:space="preserve"> and L</w:t>
      </w:r>
      <w:r w:rsidRPr="00E0751D">
        <w:rPr>
          <w:rFonts w:eastAsiaTheme="minorEastAsia"/>
          <w:i/>
          <w:iCs/>
          <w:vertAlign w:val="subscript"/>
        </w:rPr>
        <w:t>3</w:t>
      </w:r>
      <w:r w:rsidRPr="00FD6283">
        <w:rPr>
          <w:rFonts w:eastAsiaTheme="minorEastAsia"/>
          <w:i/>
          <w:iCs/>
        </w:rPr>
        <w:t>.</w:t>
      </w:r>
    </w:p>
    <w:p w14:paraId="29F461A6" w14:textId="4D8A2246" w:rsidR="002420EA" w:rsidRDefault="002420EA" w:rsidP="00CB637C">
      <w:pPr>
        <w:pStyle w:val="TAMainText"/>
        <w:rPr>
          <w:rFonts w:eastAsiaTheme="minorEastAsia"/>
        </w:rPr>
      </w:pPr>
      <w:r w:rsidRPr="00CA31C7">
        <w:rPr>
          <w:rFonts w:eastAsiaTheme="minorEastAsia"/>
        </w:rPr>
        <w:lastRenderedPageBreak/>
        <w:t xml:space="preserve">Considering that the nanorods have been modified with sulfate half-ester groups, these should </w:t>
      </w:r>
      <w:r>
        <w:rPr>
          <w:rFonts w:eastAsiaTheme="minorEastAsia"/>
        </w:rPr>
        <w:t xml:space="preserve">in principle </w:t>
      </w:r>
      <w:r w:rsidRPr="00CA31C7">
        <w:rPr>
          <w:rFonts w:eastAsiaTheme="minorEastAsia"/>
        </w:rPr>
        <w:t xml:space="preserve">also be </w:t>
      </w:r>
      <w:r>
        <w:rPr>
          <w:rFonts w:eastAsiaTheme="minorEastAsia"/>
        </w:rPr>
        <w:t>taken into account</w:t>
      </w:r>
      <w:r w:rsidRPr="00CA31C7">
        <w:rPr>
          <w:rFonts w:eastAsiaTheme="minorEastAsia"/>
        </w:rPr>
        <w:t>.</w:t>
      </w:r>
      <w:r>
        <w:rPr>
          <w:rFonts w:eastAsiaTheme="minorEastAsia"/>
        </w:rPr>
        <w:t xml:space="preserve"> </w:t>
      </w:r>
      <w:r w:rsidRPr="00241697">
        <w:rPr>
          <w:rFonts w:eastAsiaTheme="minorEastAsia"/>
        </w:rPr>
        <w:t xml:space="preserve">However, since the contribution to the </w:t>
      </w:r>
      <w:r w:rsidR="00FE0491">
        <w:rPr>
          <w:rFonts w:eastAsiaTheme="minorEastAsia"/>
        </w:rPr>
        <w:t>SONLO</w:t>
      </w:r>
      <w:r w:rsidRPr="00241697">
        <w:rPr>
          <w:rFonts w:eastAsiaTheme="minorEastAsia"/>
        </w:rPr>
        <w:t xml:space="preserve"> signal of well-aligned NCS </w:t>
      </w:r>
      <w:r>
        <w:rPr>
          <w:rFonts w:eastAsiaTheme="minorEastAsia"/>
        </w:rPr>
        <w:t xml:space="preserve">bulk </w:t>
      </w:r>
      <w:r w:rsidRPr="00241697">
        <w:rPr>
          <w:rFonts w:eastAsiaTheme="minorEastAsia"/>
        </w:rPr>
        <w:t>cellulose chains increases quadratically</w:t>
      </w:r>
      <w:r>
        <w:rPr>
          <w:rFonts w:eastAsiaTheme="minorEastAsia"/>
        </w:rPr>
        <w:t xml:space="preserve"> with their number</w:t>
      </w:r>
      <w:r w:rsidRPr="00241697">
        <w:rPr>
          <w:rFonts w:eastAsiaTheme="minorEastAsia"/>
        </w:rPr>
        <w:t xml:space="preserve">, </w:t>
      </w:r>
      <w:r>
        <w:rPr>
          <w:rFonts w:eastAsiaTheme="minorEastAsia"/>
        </w:rPr>
        <w:t>the contribution of</w:t>
      </w:r>
      <w:r w:rsidRPr="00241697">
        <w:rPr>
          <w:rFonts w:eastAsiaTheme="minorEastAsia"/>
        </w:rPr>
        <w:t xml:space="preserve"> individual grafted moieties at the surface </w:t>
      </w:r>
      <w:r>
        <w:rPr>
          <w:rFonts w:eastAsiaTheme="minorEastAsia"/>
        </w:rPr>
        <w:t xml:space="preserve">is not expected to </w:t>
      </w:r>
      <w:r w:rsidRPr="00241697">
        <w:rPr>
          <w:rFonts w:eastAsiaTheme="minorEastAsia"/>
        </w:rPr>
        <w:t>influence the overall second order response</w:t>
      </w:r>
      <w:r>
        <w:rPr>
          <w:rFonts w:eastAsiaTheme="minorEastAsia"/>
        </w:rPr>
        <w:t xml:space="preserve"> greatly</w:t>
      </w:r>
      <w:r w:rsidRPr="00241697">
        <w:rPr>
          <w:rFonts w:eastAsiaTheme="minorEastAsia"/>
        </w:rPr>
        <w:t xml:space="preserve">.  A more detailed calculation for the characterization of the </w:t>
      </w:r>
      <w:r>
        <w:rPr>
          <w:rFonts w:eastAsiaTheme="minorEastAsia"/>
        </w:rPr>
        <w:t xml:space="preserve">surface </w:t>
      </w:r>
      <w:r w:rsidRPr="00241697">
        <w:rPr>
          <w:rFonts w:eastAsiaTheme="minorEastAsia"/>
        </w:rPr>
        <w:t>sulfate moieties is provided in the ESI.</w:t>
      </w:r>
      <w:r w:rsidR="007D29D8">
        <w:rPr>
          <w:rFonts w:eastAsiaTheme="minorEastAsia"/>
        </w:rPr>
        <w:t>1-3</w:t>
      </w:r>
      <w:r w:rsidRPr="00241697">
        <w:rPr>
          <w:rFonts w:eastAsiaTheme="minorEastAsia"/>
        </w:rPr>
        <w:t>.</w:t>
      </w:r>
      <w:r w:rsidR="004A18ED">
        <w:rPr>
          <w:rFonts w:eastAsiaTheme="minorEastAsia"/>
        </w:rPr>
        <w:fldChar w:fldCharType="begin" w:fldLock="1"/>
      </w:r>
      <w:r w:rsidR="009F56C9">
        <w:rPr>
          <w:rFonts w:eastAsiaTheme="minorEastAsia"/>
        </w:rPr>
        <w:instrText>ADDIN CSL_CITATION {"citationItems":[{"id":"ITEM-1","itemData":{"DOI":"10.1021/cr900339w","ISSN":"00092665","PMID":"20201500","author":[{"dropping-particle":"","family":"Habibi","given":"Youssef","non-dropping-particle":"","parse-names":false,"suffix":""},{"dropping-particle":"","family":"Lucia","given":"Lucian A.","non-dropping-particle":"","parse-names":false,"suffix":""},{"dropping-particle":"","family":"Rojas","given":"Orlando J.","non-dropping-particle":"","parse-names":false,"suffix":""}],"container-title":"Chemical Reviews","id":"ITEM-1","issue":"6","issued":{"date-parts":[["2010"]]},"page":"3479-3500","title":"Cellulose nanocrystals: Chemistry, self-assembly, and applications","type":"article-journal","volume":"110"},"uris":["http://www.mendeley.com/documents/?uuid=8f936f43-f094-4c1c-8b78-cc41c85205aa"]},{"id":"ITEM-2","itemData":{"DOI":"10.1002/pola.1988.080260708","ISSN":"10990518","abstract":"Celluloses from a variety of common sources were analyzed for availabilities of O(2)H, O(3)H, and O(6)H in order to estimate the extent of hydrogen bonding on accessible fibrillar surfaces. Celluloses from flax, ramie, sisal, and wood (both cellulose I and II from wood) together with liquid NH3‐swollen cotton and NaOH‐swollen cotton (cellulose II) had relative availabilities similar to those of native cotton. Celluloses from Valonia centricosa and in rayon samples stood apart from each other and from the “cotton family.” The difference between Valonia and cotton celluloses appears to result, in addition to the accepted smaller, less perfect crystallites in cotton, from an O(2)H hydrogen bond which is likely the intramolecular bond between O(2)H and O(6′)H that is present in Valonia and absent in cotton. Rayon samples also showed evidence of similar bonds involving O(2)H on accessible surfaces. Since the regenerated rayons had relative availabilities different from those of mercerized cotton and wood cellulose samples, it is proposed that chain packing arrangements are not the same in these two types of cellulose II. Copyright © 1988 John Wiley &amp; Sons, Inc.","author":[{"dropping-particle":"","family":"Rowland","given":"Stanley P.","non-dropping-particle":"","parse-names":false,"suffix":""},{"dropping-particle":"","family":"Howley","given":"Phyllis S.","non-dropping-particle":"","parse-names":false,"suffix":""}],"container-title":"Journal of Polymer Science Part A: Polymer Chemistry","id":"ITEM-2","issue":"7","issued":{"date-parts":[["1988"]]},"page":"1769-1778","title":"Hydrogen bonding on accessible surfaces of cellulose from various sources and relationship to order within crystalline regions","type":"article-journal","volume":"26"},"uris":["http://www.mendeley.com/documents/?uuid=7f541e2f-1a3d-48ac-bf4f-cd64529baae9"]}],"mendeley":{"formattedCitation":"&lt;sup&gt;30,35&lt;/sup&gt;","plainTextFormattedCitation":"30,35","previouslyFormattedCitation":"&lt;sup&gt;30,35&lt;/sup&gt;"},"properties":{"noteIndex":0},"schema":"https://github.com/citation-style-language/schema/raw/master/csl-citation.json"}</w:instrText>
      </w:r>
      <w:r w:rsidR="004A18ED">
        <w:rPr>
          <w:rFonts w:eastAsiaTheme="minorEastAsia"/>
        </w:rPr>
        <w:fldChar w:fldCharType="separate"/>
      </w:r>
      <w:r w:rsidR="00DC2B5C" w:rsidRPr="00DC2B5C">
        <w:rPr>
          <w:rFonts w:eastAsiaTheme="minorEastAsia"/>
          <w:noProof/>
          <w:vertAlign w:val="superscript"/>
        </w:rPr>
        <w:t>30,35</w:t>
      </w:r>
      <w:r w:rsidR="004A18ED">
        <w:rPr>
          <w:rFonts w:eastAsiaTheme="minorEastAsia"/>
        </w:rPr>
        <w:fldChar w:fldCharType="end"/>
      </w:r>
    </w:p>
    <w:p w14:paraId="678917DD" w14:textId="77777777" w:rsidR="007B3414" w:rsidRDefault="007B3414" w:rsidP="00EC44A3">
      <w:pPr>
        <w:pStyle w:val="TAMainText"/>
        <w:rPr>
          <w:b/>
          <w:bCs/>
        </w:rPr>
      </w:pPr>
    </w:p>
    <w:p w14:paraId="76ADAF4C" w14:textId="069C31E3" w:rsidR="00EC44A3" w:rsidRPr="005D5ABB" w:rsidRDefault="00EC44A3" w:rsidP="00EC44A3">
      <w:pPr>
        <w:pStyle w:val="TAMainText"/>
        <w:rPr>
          <w:b/>
          <w:bCs/>
        </w:rPr>
      </w:pPr>
      <w:r w:rsidRPr="005D5ABB">
        <w:rPr>
          <w:b/>
          <w:bCs/>
        </w:rPr>
        <w:t xml:space="preserve">Symmetry considerations </w:t>
      </w:r>
      <w:r>
        <w:rPr>
          <w:b/>
          <w:bCs/>
        </w:rPr>
        <w:t>for the first hyper</w:t>
      </w:r>
      <w:r w:rsidR="008E1648">
        <w:rPr>
          <w:b/>
          <w:bCs/>
        </w:rPr>
        <w:t>polarizability of</w:t>
      </w:r>
      <w:r>
        <w:rPr>
          <w:b/>
          <w:bCs/>
        </w:rPr>
        <w:t xml:space="preserve"> </w:t>
      </w: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β</m:t>
            </m:r>
          </m:sub>
        </m:sSub>
      </m:oMath>
      <w:r w:rsidRPr="005D5ABB">
        <w:rPr>
          <w:b/>
          <w:bCs/>
        </w:rPr>
        <w:t xml:space="preserve"> Cellulose Nanocrystals</w:t>
      </w:r>
    </w:p>
    <w:p w14:paraId="3943D61B" w14:textId="3235A90A" w:rsidR="00556CE3" w:rsidRPr="009A5407" w:rsidRDefault="005D7DE5" w:rsidP="009A5407">
      <w:pPr>
        <w:pStyle w:val="TAMainText"/>
        <w:rPr>
          <w:lang w:val="en-GB"/>
        </w:rPr>
      </w:pPr>
      <w:r w:rsidRPr="00BD4638">
        <w:t>HRS is the technique of choice for measuring the SONLO response of ionic and colloidal species, as it avoids</w:t>
      </w:r>
      <w:r w:rsidR="00E7730B">
        <w:t xml:space="preserve"> the</w:t>
      </w:r>
      <w:r w:rsidRPr="00BD4638">
        <w:t xml:space="preserve"> use of external el</w:t>
      </w:r>
      <w:r w:rsidR="00D07AE7">
        <w:t>ectric</w:t>
      </w:r>
      <w:r w:rsidRPr="00BD4638">
        <w:t xml:space="preserve"> fields like EFISHG </w:t>
      </w:r>
      <w:r w:rsidRPr="00DB251A">
        <w:t>measurements</w:t>
      </w:r>
      <w:r w:rsidR="00C12574">
        <w:t>.</w:t>
      </w:r>
      <w:r w:rsidR="00C12574">
        <w:fldChar w:fldCharType="begin" w:fldLock="1"/>
      </w:r>
      <w:r w:rsidR="009F56C9">
        <w:instrText>ADDIN CSL_CITATION {"citationItems":[{"id":"ITEM-1","itemData":{"DOI":"10.1103/PhysRevLett.66.2980","ISSN":"0031-9007","abstract":"Hyper-Rayleigh scattering in solution is used for the determination of the hyperpolarizability of non-linear optical molecules. Obtaining the first hyperpolarizability-beta without having to independently determine the dipole moment-mu and the second hyperpolarizability-gamma is an advantage over the electric-field-induced second-harmonic generation technique. Values of the first hyperpolarizability-beta of 23 x 10(-30) esu for para-nitroaniline, 105 X 10(-30) esu for 4-methoxy-4'-nitrostilbene, and 95 x 10(-30) esu for 4-hydroxy-4'-nitrostilbene dissolved in chloroform have been obtained. The equivalent-internal-field model is shown to hold for small saturated molecules.","author":[{"dropping-particle":"","family":"Clays","given":"Koen","non-dropping-particle":"","parse-names":false,"suffix":""},{"dropping-particle":"","family":"Persoons","given":"André","non-dropping-particle":"","parse-names":false,"suffix":""}],"container-title":"Physical Review Letters","id":"ITEM-1","issue":"23","issued":{"date-parts":[["1991","6"]]},"page":"2980-2983","publisher":"AMERICAN PHYSICAL SOC, ONE PHYSICS ELLIPSE, COLLEGE PK, MD 20740-3844 USA","title":"Hyper-Rayleigh scattering in solution","type":"article-journal","volume":"66"},"uris":["http://www.mendeley.com/documents/?uuid=3812b82d-6621-4986-b87d-5a6c176c2777"]}],"mendeley":{"formattedCitation":"&lt;sup&gt;24&lt;/sup&gt;","plainTextFormattedCitation":"24","previouslyFormattedCitation":"&lt;sup&gt;24&lt;/sup&gt;"},"properties":{"noteIndex":0},"schema":"https://github.com/citation-style-language/schema/raw/master/csl-citation.json"}</w:instrText>
      </w:r>
      <w:r w:rsidR="00C12574">
        <w:fldChar w:fldCharType="separate"/>
      </w:r>
      <w:r w:rsidR="00DC2B5C" w:rsidRPr="00DC2B5C">
        <w:rPr>
          <w:noProof/>
          <w:vertAlign w:val="superscript"/>
        </w:rPr>
        <w:t>24</w:t>
      </w:r>
      <w:r w:rsidR="00C12574">
        <w:fldChar w:fldCharType="end"/>
      </w:r>
      <w:r w:rsidRPr="00BD4638">
        <w:t xml:space="preserve"> It relies on orientational fluctuations to measure light scattering at the </w:t>
      </w:r>
      <w:r w:rsidR="001C73A7">
        <w:t>second harmonic</w:t>
      </w:r>
      <w:r w:rsidRPr="00BD4638">
        <w:t xml:space="preserve">, providing info about the </w:t>
      </w:r>
      <w:r w:rsidR="003756BE" w:rsidRPr="003756BE">
        <w:t>magnitude</w:t>
      </w:r>
      <w:r w:rsidRPr="00BD4638">
        <w:t xml:space="preserve"> of the first hyperpolarizability</w:t>
      </w:r>
      <w:r w:rsidR="00AC5CE8">
        <w:t xml:space="preserve"> in a straightforward manner</w:t>
      </w:r>
      <w:r w:rsidR="00B678BC">
        <w:t>.</w:t>
      </w:r>
      <w:r w:rsidR="009A5407">
        <w:t xml:space="preserve"> </w:t>
      </w:r>
      <w:r w:rsidR="00113641">
        <w:t xml:space="preserve">A more in depth explanation of the </w:t>
      </w:r>
      <w:r w:rsidR="003D41FB">
        <w:t xml:space="preserve">theory governing the HRS and </w:t>
      </w:r>
      <w:r w:rsidR="00337534">
        <w:t xml:space="preserve">the equations to relate the macroscopic measurements to the molecular components of the </w:t>
      </w:r>
      <w:proofErr w:type="spellStart"/>
      <w:r w:rsidR="00337534">
        <w:t>harmophores</w:t>
      </w:r>
      <w:proofErr w:type="spellEnd"/>
      <w:r w:rsidR="00337534">
        <w:t xml:space="preserve"> is described in ESI.</w:t>
      </w:r>
      <w:r w:rsidR="005A00CC">
        <w:t>7</w:t>
      </w:r>
      <w:r w:rsidR="00BD4638">
        <w:t>.</w:t>
      </w:r>
      <w:r w:rsidR="00BD4638">
        <w:fldChar w:fldCharType="begin" w:fldLock="1"/>
      </w:r>
      <w:r w:rsidR="009F56C9">
        <w:instrText>ADDIN CSL_CITATION {"citationItems":[{"id":"ITEM-1","itemData":{"DOI":"10.1063/1.1696646","ISSN":"00219606","abstract":"The symmetry properties of the third-rank tensor βwhich comprises the set of coefficients of quadratic terms in the expansion of the induced-dipole moment in the electric field are investigated, and the various linear combinations belonging to the irreducible representations are tabulated for the important molecular symmetry groups. Depolarization ratios are calculated for a sample composed of randomly oriented molecules (liquid phase). Examples of the selection rules in both liquid and crystalline phases are discussed, and these selection rules are contrasted with the ones appropriate for infrared absorption and the ordinary Raman effect. Molecular modes allowed in the infrared are always allowed in the hyper-Raman effect and have a depolarization ratio (for linearly polarized incident radiation) ≤2/3, while allowed hyper-Raman transitions forbidden in the infrared have a depolarization ratio of 2/3.","author":[{"dropping-particle":"","family":"Cyvin","given":"S. J.","non-dropping-particle":"","parse-names":false,"suffix":""},{"dropping-particle":"","family":"Rauch","given":"J. E.","non-dropping-particle":"","parse-names":false,"suffix":""},{"dropping-particle":"","family":"Decius","given":"J. C.","non-dropping-particle":"","parse-names":false,"suffix":""}],"container-title":"The Journal of Chemical Physics","id":"ITEM-1","issue":"11","issued":{"date-parts":[["1965"]]},"page":"4083-4095","title":"Theory of hyper-raman effects (Nonlinear Inelastic Light Scattering): Selection rules and depolarization ratios for the second-order polarizability","type":"article-journal","volume":"43"},"uris":["http://www.mendeley.com/documents/?uuid=41b5ee75-762e-42c0-8cdb-d458e503e62e"]},{"id":"ITEM-2","itemData":{"DOI":"10.1103/PhysRevLett.66.2980","ISSN":"0031-9007","abstract":"Hyper-Rayleigh scattering in solution is used for the determination of the hyperpolarizability of non-linear optical molecules. Obtaining the first hyperpolarizability-beta without having to independently determine the dipole moment-mu and the second hyperpolarizability-gamma is an advantage over the electric-field-induced second-harmonic generation technique. Values of the first hyperpolarizability-beta of 23 x 10(-30) esu for para-nitroaniline, 105 X 10(-30) esu for 4-methoxy-4'-nitrostilbene, and 95 x 10(-30) esu for 4-hydroxy-4'-nitrostilbene dissolved in chloroform have been obtained. The equivalent-internal-field model is shown to hold for small saturated molecules.","author":[{"dropping-particle":"","family":"Clays","given":"Koen","non-dropping-particle":"","parse-names":false,"suffix":""},{"dropping-particle":"","family":"Persoons","given":"André","non-dropping-particle":"","parse-names":false,"suffix":""}],"container-title":"Physical Review Letters","id":"ITEM-2","issue":"23","issued":{"date-parts":[["1991","6"]]},"page":"2980-2983","publisher":"AMERICAN PHYSICAL SOC, ONE PHYSICS ELLIPSE, COLLEGE PK, MD 20740-3844 USA","title":"Hyper-Rayleigh scattering in solution","type":"article-journal","volume":"66"},"uris":["http://www.mendeley.com/documents/?uuid=3812b82d-6621-4986-b87d-5a6c176c2777"]}],"mendeley":{"formattedCitation":"&lt;sup&gt;24,36&lt;/sup&gt;","plainTextFormattedCitation":"24,36","previouslyFormattedCitation":"&lt;sup&gt;24,36&lt;/sup&gt;"},"properties":{"noteIndex":0},"schema":"https://github.com/citation-style-language/schema/raw/master/csl-citation.json"}</w:instrText>
      </w:r>
      <w:r w:rsidR="00BD4638">
        <w:fldChar w:fldCharType="separate"/>
      </w:r>
      <w:r w:rsidR="00DC2B5C" w:rsidRPr="00DC2B5C">
        <w:rPr>
          <w:noProof/>
          <w:vertAlign w:val="superscript"/>
        </w:rPr>
        <w:t>24,36</w:t>
      </w:r>
      <w:r w:rsidR="00BD4638">
        <w:fldChar w:fldCharType="end"/>
      </w:r>
    </w:p>
    <w:p w14:paraId="1841E5E2" w14:textId="7E706E69" w:rsidR="00E55EDA" w:rsidRPr="00C1540B" w:rsidRDefault="0B8EDA02" w:rsidP="00C1540B">
      <w:pPr>
        <w:pStyle w:val="TAMainText"/>
        <w:rPr>
          <w:b/>
          <w:bCs/>
        </w:rPr>
      </w:pPr>
      <w:r w:rsidRPr="00C1540B">
        <w:t xml:space="preserve">In order to gain insight into the tensorial nature of </w:t>
      </w:r>
      <m:oMath>
        <m:r>
          <w:rPr>
            <w:rFonts w:ascii="Cambria Math" w:hAnsi="Cambria Math"/>
          </w:rPr>
          <m:t>β</m:t>
        </m:r>
      </m:oMath>
      <w:r w:rsidRPr="635E82E4">
        <w:rPr>
          <w:b/>
          <w:bCs/>
        </w:rPr>
        <w:t xml:space="preserve">, </w:t>
      </w:r>
      <w:r w:rsidR="64915ED6" w:rsidRPr="005401E0">
        <w:t>an appropriate experimental quantity correspond</w:t>
      </w:r>
      <w:r w:rsidR="64915ED6">
        <w:t>s</w:t>
      </w:r>
      <w:r w:rsidR="64915ED6" w:rsidRPr="005401E0">
        <w:t xml:space="preserve"> to the depolarization ratio</w:t>
      </w:r>
      <w:r w:rsidR="48295D1B">
        <w:t xml:space="preserve">, which </w:t>
      </w:r>
      <w:r w:rsidR="0F2C0415">
        <w:t>is determined b</w:t>
      </w:r>
      <w:r w:rsidR="64915ED6" w:rsidRPr="005401E0">
        <w:t>y taking the ratio of the scattered light</w:t>
      </w:r>
      <w:r w:rsidR="0F2C0415">
        <w:t xml:space="preserve"> intensity</w:t>
      </w:r>
      <w:r w:rsidR="64915ED6" w:rsidRPr="005401E0">
        <w:t xml:space="preserve"> in the </w:t>
      </w:r>
      <w:r w:rsidR="6FB4CD51" w:rsidRPr="005401E0">
        <w:t xml:space="preserve">Y direction, polarized along </w:t>
      </w:r>
      <w:r w:rsidR="64915ED6" w:rsidRPr="005401E0">
        <w:t>X and Z</w:t>
      </w:r>
      <w:r w:rsidR="1F305710">
        <w:t xml:space="preserve">. </w:t>
      </w:r>
      <w:r w:rsidR="61093572">
        <w:t xml:space="preserve">If the fundamental laser </w:t>
      </w:r>
      <w:r w:rsidR="003756BE">
        <w:t>light</w:t>
      </w:r>
      <w:r w:rsidR="61093572">
        <w:t xml:space="preserve"> is polarized along Z</w:t>
      </w:r>
      <w:r w:rsidR="714492E8">
        <w:t>, t</w:t>
      </w:r>
      <w:r w:rsidR="64915ED6" w:rsidRPr="005401E0">
        <w:t>h</w:t>
      </w:r>
      <w:r w:rsidR="1F305710">
        <w:t>is</w:t>
      </w:r>
      <w:r w:rsidR="64915ED6" w:rsidRPr="005401E0">
        <w:t xml:space="preserve"> </w:t>
      </w:r>
      <w:r w:rsidR="003756BE">
        <w:t>corresponds</w:t>
      </w:r>
      <w:r w:rsidR="714492E8">
        <w:t xml:space="preserve"> to</w:t>
      </w:r>
      <w:r w:rsidR="64915ED6" w:rsidRPr="005401E0">
        <w:t xml:space="preserve"> the ratio of the hyperpolarizability</w:t>
      </w:r>
      <w:r w:rsidR="005A4271">
        <w:t xml:space="preserve">, </w:t>
      </w:r>
      <m:oMath>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ZZZ</m:t>
            </m:r>
          </m:sub>
          <m:sup>
            <m:r>
              <m:rPr>
                <m:sty m:val="p"/>
              </m:rPr>
              <w:rPr>
                <w:rFonts w:ascii="Cambria Math" w:hAnsi="Cambria Math" w:cs="Segoe UI"/>
              </w:rPr>
              <m:t>2</m:t>
            </m:r>
          </m:sup>
        </m:sSubSup>
      </m:oMath>
      <w:r w:rsidR="005A4271">
        <w:rPr>
          <w:rFonts w:ascii="Cambria Math" w:hAnsi="Cambria Math" w:cs="Segoe UI"/>
          <w:i/>
        </w:rPr>
        <w:t xml:space="preserve"> </w:t>
      </w:r>
      <w:r w:rsidR="64915ED6" w:rsidRPr="635E82E4">
        <w:rPr>
          <w:rFonts w:eastAsiaTheme="minorEastAsia"/>
        </w:rPr>
        <w:t xml:space="preserve">and </w:t>
      </w:r>
      <m:oMath>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XZZ</m:t>
            </m:r>
          </m:sub>
          <m:sup>
            <m:r>
              <m:rPr>
                <m:sty m:val="p"/>
              </m:rPr>
              <w:rPr>
                <w:rFonts w:ascii="Cambria Math" w:hAnsi="Cambria Math" w:cs="Segoe UI"/>
              </w:rPr>
              <m:t>2</m:t>
            </m:r>
          </m:sup>
        </m:sSubSup>
        <m:r>
          <w:rPr>
            <w:rFonts w:ascii="Cambria Math" w:hAnsi="Cambria Math" w:cs="Segoe UI"/>
          </w:rPr>
          <m:t xml:space="preserve"> </m:t>
        </m:r>
      </m:oMath>
      <w:r w:rsidR="714492E8" w:rsidRPr="635E82E4">
        <w:rPr>
          <w:rFonts w:eastAsiaTheme="minorEastAsia"/>
        </w:rPr>
        <w: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gridCol w:w="567"/>
      </w:tblGrid>
      <w:tr w:rsidR="00E55EDA" w:rsidRPr="005401E0" w14:paraId="315B511F" w14:textId="77777777">
        <w:trPr>
          <w:trHeight w:val="964"/>
        </w:trPr>
        <w:tc>
          <w:tcPr>
            <w:tcW w:w="567" w:type="dxa"/>
            <w:vAlign w:val="center"/>
          </w:tcPr>
          <w:p w14:paraId="331CD190" w14:textId="77777777" w:rsidR="00E55EDA" w:rsidRPr="005401E0" w:rsidRDefault="00E55EDA" w:rsidP="0049647B">
            <w:pPr>
              <w:pStyle w:val="TAMainText"/>
              <w:rPr>
                <w:rFonts w:eastAsiaTheme="minorEastAsia"/>
                <w:szCs w:val="24"/>
              </w:rPr>
            </w:pPr>
          </w:p>
        </w:tc>
        <w:tc>
          <w:tcPr>
            <w:tcW w:w="8504" w:type="dxa"/>
            <w:vAlign w:val="center"/>
          </w:tcPr>
          <w:p w14:paraId="73A05F92" w14:textId="33FEE150" w:rsidR="00E55EDA" w:rsidRPr="00632D49" w:rsidRDefault="00632D49" w:rsidP="0049647B">
            <w:pPr>
              <w:pStyle w:val="TAMainText"/>
              <w:rPr>
                <w:rFonts w:eastAsiaTheme="minorEastAsia"/>
                <w:iCs/>
                <w:szCs w:val="24"/>
              </w:rPr>
            </w:pPr>
            <m:oMathPara>
              <m:oMath>
                <m:r>
                  <m:rPr>
                    <m:sty m:val="p"/>
                  </m:rPr>
                  <w:rPr>
                    <w:rFonts w:ascii="Cambria Math" w:hAnsi="Cambria Math"/>
                    <w:szCs w:val="24"/>
                  </w:rPr>
                  <m:t>DR=</m:t>
                </m:r>
                <m:f>
                  <m:fPr>
                    <m:ctrlPr>
                      <w:rPr>
                        <w:rFonts w:ascii="Cambria Math" w:hAnsi="Cambria Math"/>
                        <w:iCs/>
                        <w:szCs w:val="24"/>
                      </w:rPr>
                    </m:ctrlPr>
                  </m:fPr>
                  <m:num>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ZZZ</m:t>
                        </m:r>
                      </m:sub>
                      <m:sup>
                        <m:r>
                          <m:rPr>
                            <m:sty m:val="p"/>
                          </m:rPr>
                          <w:rPr>
                            <w:rFonts w:ascii="Cambria Math" w:hAnsi="Cambria Math" w:cs="Segoe UI"/>
                          </w:rPr>
                          <m:t>2</m:t>
                        </m:r>
                      </m:sup>
                    </m:sSubSup>
                  </m:num>
                  <m:den>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XZZ</m:t>
                        </m:r>
                      </m:sub>
                      <m:sup>
                        <m:r>
                          <m:rPr>
                            <m:sty m:val="p"/>
                          </m:rPr>
                          <w:rPr>
                            <w:rFonts w:ascii="Cambria Math" w:hAnsi="Cambria Math" w:cs="Segoe UI"/>
                          </w:rPr>
                          <m:t>2</m:t>
                        </m:r>
                      </m:sup>
                    </m:sSubSup>
                  </m:den>
                </m:f>
              </m:oMath>
            </m:oMathPara>
          </w:p>
        </w:tc>
        <w:tc>
          <w:tcPr>
            <w:tcW w:w="567" w:type="dxa"/>
            <w:vAlign w:val="center"/>
          </w:tcPr>
          <w:p w14:paraId="6A7F5135" w14:textId="309D8FE7" w:rsidR="00E55EDA" w:rsidRPr="005401E0" w:rsidRDefault="00000000" w:rsidP="0049647B">
            <w:pPr>
              <w:pStyle w:val="TAMainText"/>
              <w:rPr>
                <w:rFonts w:eastAsiaTheme="minorEastAsia"/>
              </w:rPr>
            </w:pPr>
            <m:oMathPara>
              <m:oMath>
                <m:d>
                  <m:dPr>
                    <m:ctrlPr>
                      <w:rPr>
                        <w:rFonts w:ascii="Cambria Math" w:eastAsiaTheme="minorEastAsia" w:hAnsi="Cambria Math"/>
                        <w:i/>
                      </w:rPr>
                    </m:ctrlPr>
                  </m:dPr>
                  <m:e>
                    <m:r>
                      <w:rPr>
                        <w:rFonts w:ascii="Cambria Math" w:eastAsiaTheme="minorEastAsia" w:hAnsi="Cambria Math"/>
                      </w:rPr>
                      <m:t>2</m:t>
                    </m:r>
                  </m:e>
                </m:d>
              </m:oMath>
            </m:oMathPara>
          </w:p>
        </w:tc>
      </w:tr>
    </w:tbl>
    <w:p w14:paraId="1743D733" w14:textId="7F4A2EF4" w:rsidR="00E55EDA" w:rsidRDefault="00E55EDA" w:rsidP="0049647B">
      <w:pPr>
        <w:pStyle w:val="TAMainText"/>
        <w:rPr>
          <w:u w:val="single"/>
        </w:rPr>
      </w:pPr>
      <w:r>
        <w:t xml:space="preserve">The depolarization ratio provides information about the symmetry and structure of the material being studied by </w:t>
      </w:r>
      <w:r w:rsidR="00596663">
        <w:t>HRS</w:t>
      </w:r>
      <w:r>
        <w:t xml:space="preserve">. </w:t>
      </w:r>
    </w:p>
    <w:p w14:paraId="24DCEFE9" w14:textId="106C5B34" w:rsidR="004E423E" w:rsidRPr="00AF4AF6" w:rsidRDefault="004E423E" w:rsidP="004E423E">
      <w:pPr>
        <w:pStyle w:val="TAMainText"/>
      </w:pPr>
      <w:r>
        <w:t>When describing the</w:t>
      </w:r>
      <w:r w:rsidR="00063ADF">
        <w:t xml:space="preserve"> first</w:t>
      </w:r>
      <w:r>
        <w:t xml:space="preserve"> hyperpolarizability of an ensemble of molecules in a periodic crystal, the effective hyperpolarizability of the crystal, </w:t>
      </w:r>
      <m:oMath>
        <m:sSub>
          <m:sSubPr>
            <m:ctrlPr>
              <w:rPr>
                <w:rFonts w:ascii="Cambria Math" w:hAnsi="Cambria Math"/>
                <w:i/>
              </w:rPr>
            </m:ctrlPr>
          </m:sSubPr>
          <m:e>
            <m:r>
              <w:rPr>
                <w:rFonts w:ascii="Cambria Math" w:hAnsi="Cambria Math"/>
              </w:rPr>
              <m:t>β</m:t>
            </m:r>
          </m:e>
          <m:sub>
            <m:r>
              <w:rPr>
                <w:rFonts w:ascii="Cambria Math" w:hAnsi="Cambria Math"/>
              </w:rPr>
              <m:t>eff</m:t>
            </m:r>
          </m:sub>
        </m:sSub>
      </m:oMath>
      <w:r>
        <w:t>, is used</w:t>
      </w:r>
      <w:r w:rsidR="00783551">
        <w:t xml:space="preserve">. We have demonstrated </w:t>
      </w:r>
      <w:r w:rsidR="00942FF8">
        <w:t>that</w:t>
      </w:r>
      <w:r w:rsidR="00783551">
        <w:t xml:space="preserve"> </w:t>
      </w:r>
      <w:r w:rsidR="00F31FAD">
        <w:t xml:space="preserve">due to the </w:t>
      </w:r>
      <w:r w:rsidR="00F31FAD">
        <w:lastRenderedPageBreak/>
        <w:t>relatively small size of the CNC that the angular dependence could be neglected.</w:t>
      </w:r>
      <w:r w:rsidR="007238A7">
        <w:t xml:space="preserve"> (</w:t>
      </w:r>
      <w:r w:rsidR="00783551">
        <w:t>ESI.1</w:t>
      </w:r>
      <w:r w:rsidR="00681A96">
        <w:t>0</w:t>
      </w:r>
      <w:r w:rsidR="00783551">
        <w:t>)</w:t>
      </w:r>
      <w:r w:rsidR="00B577A8" w:rsidRPr="00B577A8">
        <w:t xml:space="preserve"> </w:t>
      </w:r>
      <w:r w:rsidR="00B577A8">
        <w:fldChar w:fldCharType="begin" w:fldLock="1"/>
      </w:r>
      <w:r w:rsidR="009F56C9">
        <w:instrText>ADDIN CSL_CITATION {"citationItems":[{"id":"ITEM-1","itemData":{"DOI":"10.1039/D1TC02007B","ISSN":"2050-7526","abstract":"Nonlinear optical techniques are emerging as powerful in-situ probes of crystallization processes due to their inherent sensitivity to crystal structure and morphology.","author":[{"dropping-particle":"","family":"Dok","given":"Ahmet R.","non-dropping-particle":"","parse-names":false,"suffix":""},{"dropping-particle":"","family":"Legat","given":"Thibaut","non-dropping-particle":"","parse-names":false,"suffix":""},{"dropping-particle":"","family":"Coene","given":"Yovan","non-dropping-particle":"de","parse-names":false,"suffix":""},{"dropping-particle":"","family":"Veen","given":"M. A.","non-dropping-particle":"van der","parse-names":false,"suffix":""},{"dropping-particle":"","family":"Verbiest","given":"T.","non-dropping-particle":"","parse-names":false,"suffix":""},{"dropping-particle":"","family":"Cleuvenbergen","given":"Stijn","non-dropping-particle":"Van","parse-names":false,"suffix":""}],"container-title":"Journal of Materials Chemistry C","id":"ITEM-1","issue":"35","issued":{"date-parts":[["2021"]]},"page":"11553-11568","publisher":"Royal Society of Chemistry","title":"Nonlinear optical probes of nucleation and crystal growth: recent progress and future prospects","type":"article-journal","volume":"9"},"uris":["http://www.mendeley.com/documents/?uuid=3cd52610-cc3d-4762-a9f3-a406e544ecd6"]},{"id":"ITEM-2","itemData":{"DOI":"10.1016/s0079-6107(63)80015-2","ISSN":"00796107","PMID":"14135920","author":[{"dropping-particle":"","family":"Kratky","given":"O.","non-dropping-particle":"","parse-names":false,"suffix":""}],"container-title":"Progress in Biophysics and Molecular Biology","id":"ITEM-2","issue":"C","issued":{"date-parts":[["1963"]]},"title":"X-ray small angle scattering with substances of biological interest in diluted solutions","type":"article-journal","volume":"13"},"uris":["http://www.mendeley.com/documents/?uuid=9ef962cb-6044-45b2-8d39-6c7e2d854bca"]}],"mendeley":{"formattedCitation":"&lt;sup&gt;27,37&lt;/sup&gt;","plainTextFormattedCitation":"27,37","previouslyFormattedCitation":"&lt;sup&gt;27,37&lt;/sup&gt;"},"properties":{"noteIndex":0},"schema":"https://github.com/citation-style-language/schema/raw/master/csl-citation.json"}</w:instrText>
      </w:r>
      <w:r w:rsidR="00B577A8">
        <w:fldChar w:fldCharType="separate"/>
      </w:r>
      <w:r w:rsidR="00DC2B5C" w:rsidRPr="00DC2B5C">
        <w:rPr>
          <w:noProof/>
          <w:vertAlign w:val="superscript"/>
        </w:rPr>
        <w:t>27,37</w:t>
      </w:r>
      <w:r w:rsidR="00B577A8">
        <w:fldChar w:fldCharType="end"/>
      </w:r>
      <w:r>
        <w:t xml:space="preserve"> In our case, we use the notation as </w:t>
      </w:r>
      <m:oMath>
        <m:sSub>
          <m:sSubPr>
            <m:ctrlPr>
              <w:rPr>
                <w:rFonts w:ascii="Cambria Math" w:hAnsi="Cambria Math"/>
                <w:i/>
              </w:rPr>
            </m:ctrlPr>
          </m:sSubPr>
          <m:e>
            <m:r>
              <w:rPr>
                <w:rFonts w:ascii="Cambria Math" w:hAnsi="Cambria Math"/>
              </w:rPr>
              <m:t>β</m:t>
            </m:r>
          </m:e>
          <m:sub>
            <m:r>
              <w:rPr>
                <w:rFonts w:ascii="Cambria Math" w:hAnsi="Cambria Math"/>
              </w:rPr>
              <m:t>CNC</m:t>
            </m:r>
          </m:sub>
        </m:sSub>
      </m:oMath>
      <w:r>
        <w:t xml:space="preserve"> which corresponds to a CNC of a specific dimension. This can then </w:t>
      </w:r>
      <w:r w:rsidR="00E318B0">
        <w:t xml:space="preserve">be </w:t>
      </w:r>
      <w:r>
        <w:t>described simply as follows:</w:t>
      </w:r>
    </w:p>
    <w:tbl>
      <w:tblPr>
        <w:tblStyle w:val="TableGrid"/>
        <w:tblW w:w="10281" w:type="dxa"/>
        <w:tblLook w:val="04A0" w:firstRow="1" w:lastRow="0" w:firstColumn="1" w:lastColumn="0" w:noHBand="0" w:noVBand="1"/>
      </w:tblPr>
      <w:tblGrid>
        <w:gridCol w:w="8995"/>
        <w:gridCol w:w="643"/>
        <w:gridCol w:w="643"/>
      </w:tblGrid>
      <w:tr w:rsidR="0079130E" w:rsidRPr="005401E0" w14:paraId="5B2E14F1" w14:textId="176EBA66" w:rsidTr="0079130E">
        <w:trPr>
          <w:trHeight w:val="964"/>
        </w:trPr>
        <w:tc>
          <w:tcPr>
            <w:tcW w:w="8995" w:type="dxa"/>
            <w:tcBorders>
              <w:top w:val="nil"/>
              <w:left w:val="nil"/>
              <w:bottom w:val="nil"/>
              <w:right w:val="nil"/>
            </w:tcBorders>
            <w:vAlign w:val="center"/>
          </w:tcPr>
          <w:p w14:paraId="4AEC81C1" w14:textId="40A72548" w:rsidR="0079130E" w:rsidRPr="0079130E" w:rsidRDefault="00000000" w:rsidP="004E423E">
            <w:pPr>
              <w:pStyle w:val="TAMainText"/>
              <w:rPr>
                <w:i/>
              </w:rPr>
            </w:pPr>
            <m:oMathPara>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eff</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CNC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uc</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uc</m:t>
                    </m:r>
                  </m:sub>
                </m:sSub>
              </m:oMath>
            </m:oMathPara>
          </w:p>
        </w:tc>
        <w:tc>
          <w:tcPr>
            <w:tcW w:w="643" w:type="dxa"/>
            <w:tcBorders>
              <w:top w:val="nil"/>
              <w:left w:val="nil"/>
              <w:bottom w:val="nil"/>
              <w:right w:val="nil"/>
            </w:tcBorders>
            <w:vAlign w:val="center"/>
          </w:tcPr>
          <w:p w14:paraId="6E3AA739" w14:textId="6B417539" w:rsidR="0079130E" w:rsidRPr="005401E0" w:rsidRDefault="00000000" w:rsidP="004E423E">
            <w:pPr>
              <w:pStyle w:val="TAMainText"/>
              <w:rPr>
                <w:rFonts w:eastAsiaTheme="minorEastAsia"/>
              </w:rPr>
            </w:pPr>
            <m:oMathPara>
              <m:oMath>
                <m:d>
                  <m:dPr>
                    <m:ctrlPr>
                      <w:rPr>
                        <w:rFonts w:ascii="Cambria Math" w:eastAsiaTheme="minorEastAsia" w:hAnsi="Cambria Math"/>
                        <w:i/>
                      </w:rPr>
                    </m:ctrlPr>
                  </m:dPr>
                  <m:e>
                    <m:r>
                      <w:rPr>
                        <w:rFonts w:ascii="Cambria Math" w:eastAsiaTheme="minorEastAsia" w:hAnsi="Cambria Math"/>
                      </w:rPr>
                      <m:t>3</m:t>
                    </m:r>
                  </m:e>
                </m:d>
              </m:oMath>
            </m:oMathPara>
          </w:p>
        </w:tc>
        <w:tc>
          <w:tcPr>
            <w:tcW w:w="643" w:type="dxa"/>
            <w:tcBorders>
              <w:top w:val="nil"/>
              <w:left w:val="nil"/>
              <w:bottom w:val="nil"/>
              <w:right w:val="nil"/>
            </w:tcBorders>
          </w:tcPr>
          <w:p w14:paraId="0DF19341" w14:textId="77777777" w:rsidR="0079130E" w:rsidRDefault="0079130E" w:rsidP="004E423E">
            <w:pPr>
              <w:pStyle w:val="TAMainText"/>
            </w:pPr>
          </w:p>
        </w:tc>
      </w:tr>
    </w:tbl>
    <w:p w14:paraId="11E6364C" w14:textId="7ADE690D" w:rsidR="004E423E" w:rsidRDefault="00EA1D29" w:rsidP="004E423E">
      <w:pPr>
        <w:pStyle w:val="TAMainText"/>
      </w:pPr>
      <w:r>
        <w:t xml:space="preserve">where </w:t>
      </w:r>
      <m:oMath>
        <m:sSub>
          <m:sSubPr>
            <m:ctrlPr>
              <w:rPr>
                <w:rFonts w:ascii="Cambria Math" w:eastAsiaTheme="minorEastAsia" w:hAnsi="Cambria Math"/>
                <w:i/>
              </w:rPr>
            </m:ctrlPr>
          </m:sSubPr>
          <m:e>
            <m:r>
              <w:rPr>
                <w:rFonts w:ascii="Cambria Math" w:eastAsiaTheme="minorEastAsia" w:hAnsi="Cambria Math"/>
              </w:rPr>
              <m:t>β</m:t>
            </m:r>
            <m:ctrlPr>
              <w:rPr>
                <w:rFonts w:ascii="Cambria Math" w:eastAsiaTheme="minorEastAsia" w:hAnsi="Cambria Math"/>
              </w:rPr>
            </m:ctrlPr>
          </m:e>
          <m:sub>
            <m:r>
              <w:rPr>
                <w:rFonts w:ascii="Cambria Math" w:eastAsiaTheme="minorEastAsia" w:hAnsi="Cambria Math"/>
              </w:rPr>
              <m:t>uc</m:t>
            </m:r>
          </m:sub>
        </m:sSub>
      </m:oMath>
      <w:r w:rsidR="004E423E">
        <w:t xml:space="preserve"> is the hyperpolarizability </w:t>
      </w:r>
      <w:r w:rsidR="00E36B86">
        <w:t xml:space="preserve">tensor </w:t>
      </w:r>
      <w:r w:rsidR="004E423E">
        <w:t xml:space="preserve">of the unit cell and </w:t>
      </w:r>
      <m:oMath>
        <m:sSub>
          <m:sSubPr>
            <m:ctrlPr>
              <w:rPr>
                <w:rFonts w:ascii="Cambria Math" w:hAnsi="Cambria Math"/>
                <w:i/>
              </w:rPr>
            </m:ctrlPr>
          </m:sSubPr>
          <m:e>
            <m:r>
              <w:rPr>
                <w:rFonts w:ascii="Cambria Math" w:hAnsi="Cambria Math"/>
              </w:rPr>
              <m:t>n</m:t>
            </m:r>
          </m:e>
          <m:sub>
            <m:r>
              <w:rPr>
                <w:rFonts w:ascii="Cambria Math" w:hAnsi="Cambria Math"/>
              </w:rPr>
              <m:t>uc</m:t>
            </m:r>
          </m:sub>
        </m:sSub>
        <m:r>
          <w:rPr>
            <w:rFonts w:ascii="Cambria Math" w:hAnsi="Cambria Math"/>
          </w:rPr>
          <m:t xml:space="preserve"> </m:t>
        </m:r>
      </m:oMath>
      <w:r w:rsidR="004E423E">
        <w:t>is the number of unit cells in a CNC. It is important to highlight that the relationship between the measured HRS</w:t>
      </w:r>
      <w:r w:rsidR="003046F4">
        <w:t xml:space="preserve"> intensity</w:t>
      </w:r>
      <w:r w:rsidR="004E423E">
        <w:t xml:space="preserve"> and the </w:t>
      </w:r>
      <w:r w:rsidR="00376B90">
        <w:t>number</w:t>
      </w:r>
      <w:r w:rsidR="004E423E">
        <w:t xml:space="preserve"> of scatterers becomes quadratically dependent (</w:t>
      </w:r>
      <m:oMath>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uc</m:t>
            </m:r>
          </m:sub>
          <m:sup>
            <m:r>
              <w:rPr>
                <w:rFonts w:ascii="Cambria Math" w:eastAsiaTheme="minorEastAsia" w:hAnsi="Cambria Math"/>
              </w:rPr>
              <m:t>2</m:t>
            </m:r>
          </m:sup>
        </m:sSubSup>
        <m:r>
          <w:rPr>
            <w:rFonts w:ascii="Cambria Math" w:eastAsiaTheme="minorEastAsia" w:hAnsi="Cambria Math"/>
          </w:rPr>
          <m:t xml:space="preserve">) </m:t>
        </m:r>
      </m:oMath>
      <w:r w:rsidR="004E423E">
        <w:t xml:space="preserve"> as per eqn (</w:t>
      </w:r>
      <w:r w:rsidR="000A7B0A">
        <w:t>S5</w:t>
      </w:r>
      <w:r w:rsidR="004E423E">
        <w:t>).</w:t>
      </w:r>
    </w:p>
    <w:p w14:paraId="2A50C086" w14:textId="5E88C288" w:rsidR="001427CB" w:rsidRDefault="00AB361D" w:rsidP="00083B9D">
      <w:pPr>
        <w:pStyle w:val="TAMainText"/>
      </w:pPr>
      <w:r w:rsidRPr="008E1406">
        <w:t xml:space="preserve">Since the </w:t>
      </w:r>
      <m:oMath>
        <m:sSub>
          <m:sSubPr>
            <m:ctrlPr>
              <w:rPr>
                <w:rFonts w:ascii="Cambria Math" w:hAnsi="Cambria Math"/>
                <w:i/>
              </w:rPr>
            </m:ctrlPr>
          </m:sSubPr>
          <m:e>
            <m:r>
              <w:rPr>
                <w:rFonts w:ascii="Cambria Math" w:hAnsi="Cambria Math"/>
              </w:rPr>
              <m:t>I</m:t>
            </m:r>
          </m:e>
          <m:sub>
            <m:r>
              <w:rPr>
                <w:rFonts w:ascii="Cambria Math" w:hAnsi="Cambria Math"/>
              </w:rPr>
              <m:t>β</m:t>
            </m:r>
          </m:sub>
        </m:sSub>
      </m:oMath>
      <w:r w:rsidR="001427CB" w:rsidRPr="008E1406">
        <w:t xml:space="preserve"> allomorph is associated to a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oMath>
      <w:r w:rsidR="001427CB" w:rsidRPr="008E1406">
        <w:t xml:space="preserve"> point group the general form of the first </w:t>
      </w:r>
      <w:r w:rsidR="0020138C" w:rsidRPr="008E1406">
        <w:t>hyperpolarizability</w:t>
      </w:r>
      <w:r w:rsidR="001427CB" w:rsidRPr="008E1406">
        <w:t xml:space="preserve"> </w:t>
      </w:r>
      <w:r w:rsidR="006C7D1E" w:rsidRPr="008E1406">
        <w:t xml:space="preserve">can be expressed </w:t>
      </w:r>
      <w:r w:rsidR="00DF6187" w:rsidRPr="008E1406">
        <w:t>by the following</w:t>
      </w:r>
      <w:r w:rsidR="0056483A" w:rsidRPr="008E1406">
        <w:t xml:space="preserve"> (see ESI.17):</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602"/>
      </w:tblGrid>
      <w:tr w:rsidR="00DF6187" w:rsidRPr="00DF6187" w14:paraId="08D71E0A" w14:textId="77777777">
        <w:trPr>
          <w:trHeight w:val="964"/>
        </w:trPr>
        <w:tc>
          <w:tcPr>
            <w:tcW w:w="9036" w:type="dxa"/>
            <w:vAlign w:val="center"/>
          </w:tcPr>
          <w:p w14:paraId="11A3FBCA" w14:textId="0FDB0B34" w:rsidR="00DF6187" w:rsidRPr="0079130E" w:rsidRDefault="00000000">
            <w:pPr>
              <w:pStyle w:val="TAMainText"/>
              <w:jc w:val="center"/>
              <w:rPr>
                <w:i/>
              </w:rPr>
            </w:pPr>
            <m:oMathPara>
              <m:oMath>
                <m:sSub>
                  <m:sSubPr>
                    <m:ctrlPr>
                      <w:rPr>
                        <w:rFonts w:ascii="Cambria Math" w:hAnsi="Cambria Math"/>
                        <w:i/>
                      </w:rPr>
                    </m:ctrlPr>
                  </m:sSubPr>
                  <m:e>
                    <m:r>
                      <w:rPr>
                        <w:rFonts w:ascii="Cambria Math" w:hAnsi="Cambria Math"/>
                      </w:rPr>
                      <m:t>β</m:t>
                    </m:r>
                  </m:e>
                  <m:sub>
                    <m:r>
                      <w:rPr>
                        <w:rFonts w:ascii="Cambria Math" w:hAnsi="Cambria Math"/>
                      </w:rPr>
                      <m:t>ijk</m:t>
                    </m:r>
                  </m:sub>
                </m:sSub>
                <m:r>
                  <w:rPr>
                    <w:rFonts w:ascii="Cambria Math" w:hAnsi="Cambria Math"/>
                  </w:rPr>
                  <m:t>=</m:t>
                </m:r>
                <m:d>
                  <m:dPr>
                    <m:ctrlPr>
                      <w:rPr>
                        <w:rFonts w:ascii="Cambria Math" w:hAnsi="Cambria Math"/>
                        <w:i/>
                      </w:rPr>
                    </m:ctrlPr>
                  </m:dPr>
                  <m:e>
                    <m:m>
                      <m:mPr>
                        <m:mcs>
                          <m:mc>
                            <m:mcPr>
                              <m:count m:val="6"/>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xyz</m:t>
                          </m:r>
                        </m:e>
                        <m:e>
                          <m:r>
                            <w:rPr>
                              <w:rFonts w:ascii="Cambria Math" w:hAnsi="Cambria Math"/>
                            </w:rPr>
                            <m:t>zxx</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zyy</m:t>
                          </m:r>
                        </m:e>
                        <m:e>
                          <m:r>
                            <w:rPr>
                              <w:rFonts w:ascii="Cambria Math" w:hAnsi="Cambria Math"/>
                            </w:rPr>
                            <m:t>xyz</m:t>
                          </m:r>
                        </m:e>
                        <m:e>
                          <m:r>
                            <w:rPr>
                              <w:rFonts w:ascii="Cambria Math" w:hAnsi="Cambria Math"/>
                            </w:rPr>
                            <m:t>0</m:t>
                          </m:r>
                        </m:e>
                      </m:mr>
                      <m:mr>
                        <m:e>
                          <m:r>
                            <w:rPr>
                              <w:rFonts w:ascii="Cambria Math" w:hAnsi="Cambria Math"/>
                            </w:rPr>
                            <m:t>zxx</m:t>
                          </m:r>
                        </m:e>
                        <m:e>
                          <m:r>
                            <w:rPr>
                              <w:rFonts w:ascii="Cambria Math" w:hAnsi="Cambria Math"/>
                            </w:rPr>
                            <m:t>zyy</m:t>
                          </m:r>
                        </m:e>
                        <m:e>
                          <m:r>
                            <w:rPr>
                              <w:rFonts w:ascii="Cambria Math" w:hAnsi="Cambria Math"/>
                            </w:rPr>
                            <m:t>zzz</m:t>
                          </m:r>
                        </m:e>
                        <m:e>
                          <m:r>
                            <w:rPr>
                              <w:rFonts w:ascii="Cambria Math" w:hAnsi="Cambria Math"/>
                            </w:rPr>
                            <m:t>0</m:t>
                          </m:r>
                        </m:e>
                        <m:e>
                          <m:r>
                            <w:rPr>
                              <w:rFonts w:ascii="Cambria Math" w:hAnsi="Cambria Math"/>
                            </w:rPr>
                            <m:t>0</m:t>
                          </m:r>
                        </m:e>
                        <m:e>
                          <m:r>
                            <w:rPr>
                              <w:rFonts w:ascii="Cambria Math" w:hAnsi="Cambria Math"/>
                            </w:rPr>
                            <m:t>0</m:t>
                          </m:r>
                        </m:e>
                      </m:mr>
                    </m:m>
                  </m:e>
                </m:d>
              </m:oMath>
            </m:oMathPara>
          </w:p>
        </w:tc>
        <w:tc>
          <w:tcPr>
            <w:tcW w:w="602" w:type="dxa"/>
            <w:vAlign w:val="center"/>
          </w:tcPr>
          <w:p w14:paraId="5AFF2263" w14:textId="48309949" w:rsidR="00DF6187" w:rsidRPr="00DF6187" w:rsidRDefault="00000000">
            <w:pPr>
              <w:pStyle w:val="TAMainText"/>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4</m:t>
                    </m:r>
                  </m:e>
                </m:d>
              </m:oMath>
            </m:oMathPara>
          </w:p>
        </w:tc>
      </w:tr>
    </w:tbl>
    <w:p w14:paraId="2DB54980" w14:textId="5E7330D1" w:rsidR="008A6673" w:rsidRPr="00692F01" w:rsidRDefault="008A6673" w:rsidP="008A6673">
      <w:pPr>
        <w:pStyle w:val="TAMainText"/>
      </w:pPr>
      <w:r w:rsidRPr="00692F01">
        <w:t xml:space="preserve">In view of exploiting the results from the quantum chemistry calculations with </w:t>
      </w:r>
      <w:r w:rsidR="00AE6998">
        <w:t>periodic boundary conditions (PBC)</w:t>
      </w:r>
      <w:r w:rsidRPr="00692F01">
        <w:t xml:space="preserve"> through an electrostatic model post-treatment, a particularly useful approximation consists in simplifying the first hyperpolarizability tensor and in reducing it to its dominant components. In the case of cellulose, the dominant components are </w:t>
      </w:r>
      <m:oMath>
        <m:sSub>
          <m:sSubPr>
            <m:ctrlPr>
              <w:rPr>
                <w:rFonts w:ascii="Cambria Math" w:hAnsi="Cambria Math"/>
                <w:i/>
              </w:rPr>
            </m:ctrlPr>
          </m:sSubPr>
          <m:e>
            <m:r>
              <w:rPr>
                <w:rFonts w:ascii="Cambria Math" w:hAnsi="Cambria Math"/>
              </w:rPr>
              <m:t>β</m:t>
            </m:r>
          </m:e>
          <m:sub>
            <m:r>
              <w:rPr>
                <w:rFonts w:ascii="Cambria Math" w:hAnsi="Cambria Math"/>
              </w:rPr>
              <m:t>zzz</m:t>
            </m:r>
          </m:sub>
        </m:sSub>
      </m:oMath>
      <w:r w:rsidRPr="00692F01">
        <w:t xml:space="preserve"> and </w:t>
      </w:r>
      <m:oMath>
        <m:sSub>
          <m:sSubPr>
            <m:ctrlPr>
              <w:rPr>
                <w:rFonts w:ascii="Cambria Math" w:hAnsi="Cambria Math"/>
                <w:i/>
              </w:rPr>
            </m:ctrlPr>
          </m:sSubPr>
          <m:e>
            <m:r>
              <w:rPr>
                <w:rFonts w:ascii="Cambria Math" w:hAnsi="Cambria Math"/>
              </w:rPr>
              <m:t>β</m:t>
            </m:r>
          </m:e>
          <m:sub>
            <m:r>
              <w:rPr>
                <w:rFonts w:ascii="Cambria Math" w:hAnsi="Cambria Math"/>
              </w:rPr>
              <m:t>zyy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yzy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yyz</m:t>
            </m:r>
          </m:sub>
        </m:sSub>
      </m:oMath>
      <w:r w:rsidRPr="00692F01">
        <w:t xml:space="preserve"> </w:t>
      </w:r>
      <w:r w:rsidRPr="00692F01">
        <w:rPr>
          <w:rFonts w:eastAsiaTheme="minorEastAsia"/>
        </w:rPr>
        <w:t xml:space="preserve">(see an example treated by Clays </w:t>
      </w:r>
      <w:r w:rsidRPr="00410E9F">
        <w:rPr>
          <w:rFonts w:eastAsiaTheme="minorEastAsia"/>
          <w:i/>
          <w:iCs/>
        </w:rPr>
        <w:t>et al.</w:t>
      </w:r>
      <w:r w:rsidRPr="00692F01">
        <w:rPr>
          <w:rFonts w:eastAsiaTheme="minorEastAsia"/>
        </w:rPr>
        <w:fldChar w:fldCharType="begin" w:fldLock="1"/>
      </w:r>
      <w:r w:rsidR="009F56C9">
        <w:rPr>
          <w:rFonts w:eastAsiaTheme="minorEastAsia"/>
        </w:rPr>
        <w:instrText>ADDIN CSL_CITATION {"citationItems":[{"id":"ITEM-1","itemData":{"author":[{"dropping-particle":"","family":"Verbiest","given":"Thierry","non-dropping-particle":"","parse-names":false,"suffix":""},{"dropping-particle":"","family":"Clays","given":"Koen","non-dropping-particle":"","parse-names":false,"suffix":""},{"dropping-particle":"","family":"Rodriguez","given":"Vincent","non-dropping-particle":"","parse-names":false,"suffix":""}],"editor":[{"dropping-particle":"","family":"Press","given":"CRC","non-dropping-particle":"","parse-names":false,"suffix":""}],"id":"ITEM-1","issued":{"date-parts":[["2009"]]},"number-of-pages":"192","title":"Second-order Nonlinear Optical Characterization Techniques: An Introduction","type":"book"},"uris":["http://www.mendeley.com/documents/?uuid=6e324e41-d595-4c84-8b37-46d5242f82c1"]}],"mendeley":{"formattedCitation":"&lt;sup&gt;38&lt;/sup&gt;","plainTextFormattedCitation":"38","previouslyFormattedCitation":"&lt;sup&gt;38&lt;/sup&gt;"},"properties":{"noteIndex":0},"schema":"https://github.com/citation-style-language/schema/raw/master/csl-citation.json"}</w:instrText>
      </w:r>
      <w:r w:rsidRPr="00692F01">
        <w:rPr>
          <w:rFonts w:eastAsiaTheme="minorEastAsia"/>
        </w:rPr>
        <w:fldChar w:fldCharType="separate"/>
      </w:r>
      <w:r w:rsidR="00DC2B5C" w:rsidRPr="00DC2B5C">
        <w:rPr>
          <w:rFonts w:eastAsiaTheme="minorEastAsia"/>
          <w:noProof/>
          <w:vertAlign w:val="superscript"/>
        </w:rPr>
        <w:t>38</w:t>
      </w:r>
      <w:r w:rsidRPr="00692F01">
        <w:rPr>
          <w:rFonts w:eastAsiaTheme="minorEastAsia"/>
        </w:rPr>
        <w:fldChar w:fldCharType="end"/>
      </w:r>
      <w:r w:rsidRPr="00692F01">
        <w:rPr>
          <w:rFonts w:eastAsiaTheme="minorEastAsia"/>
        </w:rPr>
        <w:t>)</w:t>
      </w:r>
      <w:r w:rsidRPr="00692F01">
        <w:t xml:space="preserve">. This corresponds to an effective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2v</m:t>
            </m:r>
          </m:sub>
        </m:sSub>
      </m:oMath>
      <w:r w:rsidRPr="00692F01">
        <w:t xml:space="preserve"> symmetry along with </w:t>
      </w:r>
      <m:oMath>
        <m:sSub>
          <m:sSubPr>
            <m:ctrlPr>
              <w:rPr>
                <w:rFonts w:ascii="Cambria Math" w:hAnsi="Cambria Math"/>
                <w:i/>
              </w:rPr>
            </m:ctrlPr>
          </m:sSubPr>
          <m:e>
            <m:r>
              <w:rPr>
                <w:rFonts w:ascii="Cambria Math" w:hAnsi="Cambria Math"/>
              </w:rPr>
              <m:t>β</m:t>
            </m:r>
          </m:e>
          <m:sub>
            <m:r>
              <w:rPr>
                <w:rFonts w:ascii="Cambria Math" w:hAnsi="Cambria Math"/>
              </w:rPr>
              <m:t>zxx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xzx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xxz</m:t>
            </m:r>
          </m:sub>
        </m:sSub>
        <m:r>
          <w:rPr>
            <w:rFonts w:ascii="Cambria Math" w:hAnsi="Cambria Math"/>
          </w:rPr>
          <m:t>=0</m:t>
        </m:r>
      </m:oMath>
      <w:r w:rsidRPr="00692F01">
        <w:t xml:space="preserve">. </w:t>
      </w:r>
      <w:r w:rsidRPr="00692F01">
        <w:rPr>
          <w:rFonts w:eastAsiaTheme="minorEastAsia"/>
        </w:rPr>
        <w:t xml:space="preserve">We can then express the depolarization ratio only as a function of the ratio of those two independent components, and a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2v</m:t>
            </m:r>
          </m:sub>
        </m:sSub>
      </m:oMath>
      <w:r w:rsidRPr="00692F01">
        <w:rPr>
          <w:rFonts w:eastAsiaTheme="minorEastAsia"/>
          <w:iCs/>
        </w:rPr>
        <w:t xml:space="preserve"> index was added to distinguish the formula</w:t>
      </w:r>
      <w:r w:rsidRPr="00692F01">
        <w:rPr>
          <w:rFonts w:eastAsiaTheme="minorEastAsia"/>
        </w:rPr>
        <w:t xml:space="preserve"> from the general case. Denoting the ratio of the two </w:t>
      </w:r>
      <m:oMath>
        <m:r>
          <w:rPr>
            <w:rFonts w:ascii="Cambria Math" w:hAnsi="Cambria Math"/>
          </w:rPr>
          <m:t>β</m:t>
        </m:r>
      </m:oMath>
      <w:r w:rsidRPr="00B45F4E">
        <w:rPr>
          <w:rFonts w:eastAsiaTheme="minorEastAsia"/>
          <w:i/>
          <w:iCs/>
        </w:rPr>
        <w:t xml:space="preserve"> </w:t>
      </w:r>
      <w:r w:rsidRPr="00692F01">
        <w:rPr>
          <w:rFonts w:eastAsiaTheme="minorEastAsia"/>
        </w:rPr>
        <w:t>independent components by</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678"/>
      </w:tblGrid>
      <w:tr w:rsidR="008A6673" w:rsidRPr="00E03B90" w14:paraId="12AC67B0" w14:textId="77777777">
        <w:trPr>
          <w:trHeight w:val="850"/>
        </w:trPr>
        <w:tc>
          <w:tcPr>
            <w:tcW w:w="8960" w:type="dxa"/>
            <w:vAlign w:val="center"/>
          </w:tcPr>
          <w:p w14:paraId="1ED16ED8" w14:textId="7F7D49BB" w:rsidR="008A6673" w:rsidRPr="0079130E" w:rsidRDefault="0079130E">
            <w:pPr>
              <w:pStyle w:val="TAMainText"/>
              <w:rPr>
                <w:rFonts w:eastAsia="Times New Roman" w:cs="Times New Roman"/>
                <w:i/>
                <w:iCs/>
              </w:rPr>
            </w:pPr>
            <m:oMathPara>
              <m:oMath>
                <m:r>
                  <w:rPr>
                    <w:rFonts w:ascii="Cambria Math" w:hAnsi="Cambria Math"/>
                  </w:rPr>
                  <m:t>R=</m:t>
                </m:r>
                <m:f>
                  <m:fPr>
                    <m:ctrlPr>
                      <w:rPr>
                        <w:rFonts w:ascii="Cambria Math" w:hAnsi="Cambria Math"/>
                        <w:i/>
                        <w:iCs/>
                      </w:rPr>
                    </m:ctrlPr>
                  </m:fPr>
                  <m:num>
                    <m:sSub>
                      <m:sSubPr>
                        <m:ctrlPr>
                          <w:rPr>
                            <w:rFonts w:ascii="Cambria Math" w:hAnsi="Cambria Math"/>
                            <w:i/>
                            <w:iCs/>
                          </w:rPr>
                        </m:ctrlPr>
                      </m:sSubPr>
                      <m:e>
                        <m:r>
                          <w:rPr>
                            <w:rFonts w:ascii="Cambria Math" w:hAnsi="Cambria Math"/>
                          </w:rPr>
                          <m:t>β</m:t>
                        </m:r>
                      </m:e>
                      <m:sub>
                        <m:r>
                          <w:rPr>
                            <w:rFonts w:ascii="Cambria Math" w:hAnsi="Cambria Math"/>
                          </w:rPr>
                          <m:t>zyy</m:t>
                        </m:r>
                      </m:sub>
                    </m:sSub>
                  </m:num>
                  <m:den>
                    <m:sSub>
                      <m:sSubPr>
                        <m:ctrlPr>
                          <w:rPr>
                            <w:rFonts w:ascii="Cambria Math" w:hAnsi="Cambria Math"/>
                            <w:i/>
                            <w:iCs/>
                          </w:rPr>
                        </m:ctrlPr>
                      </m:sSubPr>
                      <m:e>
                        <m:r>
                          <w:rPr>
                            <w:rFonts w:ascii="Cambria Math" w:hAnsi="Cambria Math"/>
                          </w:rPr>
                          <m:t>β</m:t>
                        </m:r>
                      </m:e>
                      <m:sub>
                        <m:r>
                          <w:rPr>
                            <w:rFonts w:ascii="Cambria Math" w:hAnsi="Cambria Math"/>
                          </w:rPr>
                          <m:t>zzz</m:t>
                        </m:r>
                      </m:sub>
                    </m:sSub>
                  </m:den>
                </m:f>
              </m:oMath>
            </m:oMathPara>
          </w:p>
        </w:tc>
        <w:tc>
          <w:tcPr>
            <w:tcW w:w="678" w:type="dxa"/>
            <w:vAlign w:val="center"/>
          </w:tcPr>
          <w:p w14:paraId="639628E9" w14:textId="3203DAE0" w:rsidR="008A6673" w:rsidRPr="00E03B90" w:rsidRDefault="00000000">
            <w:pPr>
              <w:pStyle w:val="TAMainText"/>
            </w:pPr>
            <m:oMathPara>
              <m:oMath>
                <m:d>
                  <m:dPr>
                    <m:ctrlPr>
                      <w:rPr>
                        <w:rFonts w:ascii="Cambria Math" w:hAnsi="Cambria Math"/>
                      </w:rPr>
                    </m:ctrlPr>
                  </m:dPr>
                  <m:e>
                    <m:r>
                      <w:rPr>
                        <w:rFonts w:ascii="Cambria Math" w:hAnsi="Cambria Math"/>
                      </w:rPr>
                      <m:t>5</m:t>
                    </m:r>
                  </m:e>
                </m:d>
              </m:oMath>
            </m:oMathPara>
          </w:p>
        </w:tc>
      </w:tr>
    </w:tbl>
    <w:p w14:paraId="7B1273C5" w14:textId="3E38866F" w:rsidR="008A6673" w:rsidRPr="00E03B90" w:rsidRDefault="00090C9D" w:rsidP="00090C9D">
      <w:pPr>
        <w:pStyle w:val="TAMainText"/>
        <w:ind w:firstLine="0"/>
      </w:pPr>
      <w:r>
        <w:t>where</w:t>
      </w:r>
      <w:r w:rsidR="008A6673" w:rsidRPr="00E03B90">
        <w:t xml:space="preserve"> the first hyperpolarizability from </w:t>
      </w:r>
      <w:proofErr w:type="spellStart"/>
      <w:r w:rsidR="008A6673" w:rsidRPr="00E03B90">
        <w:t>eqn</w:t>
      </w:r>
      <w:proofErr w:type="spellEnd"/>
      <w:r w:rsidR="008A6673" w:rsidRPr="00E03B90">
        <w:t xml:space="preserve"> (</w:t>
      </w:r>
      <w:r w:rsidR="00CD12C2">
        <w:t>4</w:t>
      </w:r>
      <w:r w:rsidR="008A6673" w:rsidRPr="00E03B90">
        <w:t xml:space="preserve">) </w:t>
      </w:r>
      <w:r>
        <w:t>can be expressed as</w:t>
      </w:r>
      <w:r w:rsidR="008A6673" w:rsidRPr="00E03B90">
        <w: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678"/>
      </w:tblGrid>
      <w:tr w:rsidR="00E03B90" w:rsidRPr="00692F01" w14:paraId="3D06BF41" w14:textId="77777777" w:rsidTr="00E03B90">
        <w:trPr>
          <w:trHeight w:val="850"/>
        </w:trPr>
        <w:tc>
          <w:tcPr>
            <w:tcW w:w="8960" w:type="dxa"/>
            <w:vAlign w:val="center"/>
          </w:tcPr>
          <w:p w14:paraId="3D134F7A" w14:textId="58C1FC34" w:rsidR="00E03B90" w:rsidRPr="0079130E" w:rsidRDefault="0079130E" w:rsidP="00E03B90">
            <w:pPr>
              <w:pStyle w:val="TAMainText"/>
              <w:jc w:val="center"/>
              <w:rPr>
                <w:rFonts w:eastAsia="Times New Roman" w:cs="Times New Roman"/>
                <w:i/>
                <w:iCs/>
              </w:rPr>
            </w:pPr>
            <m:oMathPara>
              <m:oMath>
                <m:r>
                  <w:rPr>
                    <w:rFonts w:ascii="Cambria Math" w:hAnsi="Cambria Math"/>
                  </w:rPr>
                  <w:lastRenderedPageBreak/>
                  <m:t>β=</m:t>
                </m:r>
                <m:d>
                  <m:dPr>
                    <m:ctrlPr>
                      <w:rPr>
                        <w:rFonts w:ascii="Cambria Math" w:hAnsi="Cambria Math"/>
                        <w:i/>
                        <w:iCs/>
                      </w:rPr>
                    </m:ctrlPr>
                  </m:dPr>
                  <m:e>
                    <m:m>
                      <m:mPr>
                        <m:mcs>
                          <m:mc>
                            <m:mcPr>
                              <m:count m:val="6"/>
                              <m:mcJc m:val="center"/>
                            </m:mcPr>
                          </m:mc>
                        </m:mcs>
                        <m:ctrlPr>
                          <w:rPr>
                            <w:rFonts w:ascii="Cambria Math" w:hAnsi="Cambria Math"/>
                            <w:i/>
                            <w:iCs/>
                          </w:rPr>
                        </m:ctrlPr>
                      </m:mP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Rzzz</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Rzzz</m:t>
                          </m:r>
                        </m:e>
                        <m:e>
                          <m:r>
                            <w:rPr>
                              <w:rFonts w:ascii="Cambria Math" w:hAnsi="Cambria Math"/>
                            </w:rPr>
                            <m:t>zzz</m:t>
                          </m:r>
                        </m:e>
                        <m:e>
                          <m:r>
                            <w:rPr>
                              <w:rFonts w:ascii="Cambria Math" w:hAnsi="Cambria Math"/>
                            </w:rPr>
                            <m:t>0</m:t>
                          </m:r>
                        </m:e>
                        <m:e>
                          <m:r>
                            <w:rPr>
                              <w:rFonts w:ascii="Cambria Math" w:hAnsi="Cambria Math"/>
                            </w:rPr>
                            <m:t>0</m:t>
                          </m:r>
                        </m:e>
                        <m:e>
                          <m:r>
                            <w:rPr>
                              <w:rFonts w:ascii="Cambria Math" w:hAnsi="Cambria Math"/>
                            </w:rPr>
                            <m:t>0</m:t>
                          </m:r>
                        </m:e>
                      </m:mr>
                    </m:m>
                  </m:e>
                </m:d>
              </m:oMath>
            </m:oMathPara>
          </w:p>
        </w:tc>
        <w:tc>
          <w:tcPr>
            <w:tcW w:w="678" w:type="dxa"/>
            <w:vAlign w:val="center"/>
          </w:tcPr>
          <w:p w14:paraId="28DCE33F" w14:textId="68D87931" w:rsidR="00E03B90" w:rsidRPr="00692F01" w:rsidRDefault="00000000" w:rsidP="00E03B90">
            <w:pPr>
              <w:pStyle w:val="TAMainText"/>
              <w:jc w:val="center"/>
            </w:pPr>
            <m:oMathPara>
              <m:oMath>
                <m:d>
                  <m:dPr>
                    <m:ctrlPr>
                      <w:rPr>
                        <w:rFonts w:ascii="Cambria Math" w:hAnsi="Cambria Math"/>
                      </w:rPr>
                    </m:ctrlPr>
                  </m:dPr>
                  <m:e>
                    <m:r>
                      <w:rPr>
                        <w:rFonts w:ascii="Cambria Math" w:hAnsi="Cambria Math"/>
                      </w:rPr>
                      <m:t>6</m:t>
                    </m:r>
                  </m:e>
                </m:d>
              </m:oMath>
            </m:oMathPara>
          </w:p>
        </w:tc>
      </w:tr>
    </w:tbl>
    <w:p w14:paraId="56B553A0" w14:textId="3CEC6184" w:rsidR="008A6673" w:rsidRPr="00692F01" w:rsidRDefault="008A6673" w:rsidP="00E03B90">
      <w:pPr>
        <w:pStyle w:val="TAMainText"/>
        <w:ind w:firstLine="0"/>
        <w:rPr>
          <w:rFonts w:eastAsiaTheme="minorEastAsia"/>
        </w:rPr>
      </w:pPr>
      <w:r>
        <w:t>t</w:t>
      </w:r>
      <w:r w:rsidRPr="00692F01">
        <w:t xml:space="preserve">he depolarization ratio </w:t>
      </w:r>
      <w:r>
        <w:t>is expressed as:</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678"/>
      </w:tblGrid>
      <w:tr w:rsidR="008A6673" w:rsidRPr="00692F01" w14:paraId="0FA3B86D" w14:textId="77777777">
        <w:trPr>
          <w:trHeight w:val="850"/>
        </w:trPr>
        <w:tc>
          <w:tcPr>
            <w:tcW w:w="8960" w:type="dxa"/>
            <w:vAlign w:val="center"/>
          </w:tcPr>
          <w:p w14:paraId="055606E2" w14:textId="0B3E49D4" w:rsidR="008A6673" w:rsidRPr="0079130E" w:rsidRDefault="00000000">
            <w:pPr>
              <w:pStyle w:val="TAMainText"/>
              <w:rPr>
                <w:i/>
                <w:iCs/>
              </w:rPr>
            </w:pPr>
            <m:oMathPara>
              <m:oMath>
                <m:sSub>
                  <m:sSubPr>
                    <m:ctrlPr>
                      <w:rPr>
                        <w:rFonts w:ascii="Cambria Math" w:hAnsi="Cambria Math"/>
                      </w:rPr>
                    </m:ctrlPr>
                  </m:sSubPr>
                  <m:e>
                    <m:r>
                      <m:rPr>
                        <m:sty m:val="p"/>
                      </m:rPr>
                      <w:rPr>
                        <w:rFonts w:ascii="Cambria Math" w:hAnsi="Cambria Math"/>
                      </w:rPr>
                      <m:t>DR</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2v</m:t>
                        </m:r>
                      </m:sub>
                    </m:sSub>
                  </m:sub>
                </m:sSub>
                <m:r>
                  <w:rPr>
                    <w:rFonts w:ascii="Cambria Math" w:hAnsi="Cambria Math"/>
                  </w:rPr>
                  <m:t>=</m:t>
                </m:r>
                <m:f>
                  <m:fPr>
                    <m:ctrlPr>
                      <w:rPr>
                        <w:rFonts w:ascii="Cambria Math" w:hAnsi="Cambria Math"/>
                        <w:i/>
                        <w:iCs/>
                      </w:rPr>
                    </m:ctrlPr>
                  </m:fPr>
                  <m:num>
                    <m:f>
                      <m:fPr>
                        <m:ctrlPr>
                          <w:rPr>
                            <w:rFonts w:ascii="Cambria Math" w:hAnsi="Cambria Math"/>
                            <w:i/>
                            <w:iCs/>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iCs/>
                          </w:rPr>
                        </m:ctrlPr>
                      </m:fPr>
                      <m:num>
                        <m:r>
                          <w:rPr>
                            <w:rFonts w:ascii="Cambria Math" w:hAnsi="Cambria Math"/>
                          </w:rPr>
                          <m:t>6</m:t>
                        </m:r>
                      </m:num>
                      <m:den>
                        <m:r>
                          <w:rPr>
                            <w:rFonts w:ascii="Cambria Math" w:hAnsi="Cambria Math"/>
                          </w:rPr>
                          <m:t>35</m:t>
                        </m:r>
                      </m:den>
                    </m:f>
                    <m:r>
                      <w:rPr>
                        <w:rFonts w:ascii="Cambria Math" w:hAnsi="Cambria Math"/>
                      </w:rPr>
                      <m:t>R+</m:t>
                    </m:r>
                    <m:f>
                      <m:fPr>
                        <m:ctrlPr>
                          <w:rPr>
                            <w:rFonts w:ascii="Cambria Math" w:hAnsi="Cambria Math"/>
                            <w:i/>
                            <w:iCs/>
                          </w:rPr>
                        </m:ctrlPr>
                      </m:fPr>
                      <m:num>
                        <m:r>
                          <w:rPr>
                            <w:rFonts w:ascii="Cambria Math" w:hAnsi="Cambria Math"/>
                          </w:rPr>
                          <m:t>9</m:t>
                        </m:r>
                      </m:num>
                      <m:den>
                        <m:r>
                          <w:rPr>
                            <w:rFonts w:ascii="Cambria Math" w:hAnsi="Cambria Math"/>
                          </w:rPr>
                          <m:t>35</m:t>
                        </m:r>
                      </m:den>
                    </m:f>
                    <m:sSup>
                      <m:sSupPr>
                        <m:ctrlPr>
                          <w:rPr>
                            <w:rFonts w:ascii="Cambria Math" w:hAnsi="Cambria Math"/>
                            <w:i/>
                            <w:iCs/>
                          </w:rPr>
                        </m:ctrlPr>
                      </m:sSupPr>
                      <m:e>
                        <m:r>
                          <w:rPr>
                            <w:rFonts w:ascii="Cambria Math" w:hAnsi="Cambria Math"/>
                          </w:rPr>
                          <m:t>R</m:t>
                        </m:r>
                      </m:e>
                      <m:sup>
                        <m:r>
                          <w:rPr>
                            <w:rFonts w:ascii="Cambria Math" w:hAnsi="Cambria Math"/>
                          </w:rPr>
                          <m:t>2</m:t>
                        </m:r>
                      </m:sup>
                    </m:sSup>
                  </m:num>
                  <m:den>
                    <m:f>
                      <m:fPr>
                        <m:ctrlPr>
                          <w:rPr>
                            <w:rFonts w:ascii="Cambria Math" w:hAnsi="Cambria Math"/>
                            <w:i/>
                            <w:iCs/>
                          </w:rPr>
                        </m:ctrlPr>
                      </m:fPr>
                      <m:num>
                        <m:r>
                          <w:rPr>
                            <w:rFonts w:ascii="Cambria Math" w:hAnsi="Cambria Math"/>
                          </w:rPr>
                          <m:t>1</m:t>
                        </m:r>
                      </m:num>
                      <m:den>
                        <m:r>
                          <w:rPr>
                            <w:rFonts w:ascii="Cambria Math" w:hAnsi="Cambria Math"/>
                          </w:rPr>
                          <m:t>35</m:t>
                        </m:r>
                      </m:den>
                    </m:f>
                    <m: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105</m:t>
                        </m:r>
                      </m:den>
                    </m:f>
                    <m:r>
                      <w:rPr>
                        <w:rFonts w:ascii="Cambria Math" w:hAnsi="Cambria Math"/>
                      </w:rPr>
                      <m:t>R+</m:t>
                    </m:r>
                    <m:f>
                      <m:fPr>
                        <m:ctrlPr>
                          <w:rPr>
                            <w:rFonts w:ascii="Cambria Math" w:hAnsi="Cambria Math"/>
                            <w:i/>
                            <w:iCs/>
                          </w:rPr>
                        </m:ctrlPr>
                      </m:fPr>
                      <m:num>
                        <m:r>
                          <w:rPr>
                            <w:rFonts w:ascii="Cambria Math" w:hAnsi="Cambria Math"/>
                          </w:rPr>
                          <m:t>11</m:t>
                        </m:r>
                      </m:num>
                      <m:den>
                        <m:r>
                          <w:rPr>
                            <w:rFonts w:ascii="Cambria Math" w:hAnsi="Cambria Math"/>
                          </w:rPr>
                          <m:t>105</m:t>
                        </m:r>
                      </m:den>
                    </m:f>
                    <m:sSup>
                      <m:sSupPr>
                        <m:ctrlPr>
                          <w:rPr>
                            <w:rFonts w:ascii="Cambria Math" w:hAnsi="Cambria Math"/>
                            <w:i/>
                            <w:iCs/>
                          </w:rPr>
                        </m:ctrlPr>
                      </m:sSupPr>
                      <m:e>
                        <m:r>
                          <w:rPr>
                            <w:rFonts w:ascii="Cambria Math" w:hAnsi="Cambria Math"/>
                          </w:rPr>
                          <m:t>R</m:t>
                        </m:r>
                      </m:e>
                      <m:sup>
                        <m:r>
                          <w:rPr>
                            <w:rFonts w:ascii="Cambria Math" w:hAnsi="Cambria Math"/>
                          </w:rPr>
                          <m:t>2</m:t>
                        </m:r>
                      </m:sup>
                    </m:sSup>
                  </m:den>
                </m:f>
              </m:oMath>
            </m:oMathPara>
          </w:p>
        </w:tc>
        <w:tc>
          <w:tcPr>
            <w:tcW w:w="678" w:type="dxa"/>
            <w:vAlign w:val="center"/>
          </w:tcPr>
          <w:p w14:paraId="5052B2D7" w14:textId="5E93CAA4" w:rsidR="008A6673" w:rsidRPr="00692F01" w:rsidRDefault="00000000">
            <w:pPr>
              <w:pStyle w:val="TAMainText"/>
            </w:pPr>
            <m:oMathPara>
              <m:oMath>
                <m:d>
                  <m:dPr>
                    <m:ctrlPr>
                      <w:rPr>
                        <w:rFonts w:ascii="Cambria Math" w:hAnsi="Cambria Math"/>
                      </w:rPr>
                    </m:ctrlPr>
                  </m:dPr>
                  <m:e>
                    <m:r>
                      <w:rPr>
                        <w:rFonts w:ascii="Cambria Math" w:hAnsi="Cambria Math"/>
                      </w:rPr>
                      <m:t>7</m:t>
                    </m:r>
                  </m:e>
                </m:d>
              </m:oMath>
            </m:oMathPara>
          </w:p>
        </w:tc>
      </w:tr>
    </w:tbl>
    <w:p w14:paraId="16E6EAAB" w14:textId="527E88B0" w:rsidR="008A6673" w:rsidRPr="00692F01" w:rsidRDefault="008A6673" w:rsidP="008A6673">
      <w:pPr>
        <w:pStyle w:val="TAMainText"/>
        <w:rPr>
          <w:rFonts w:eastAsiaTheme="minorEastAsia"/>
        </w:rPr>
      </w:pPr>
      <w:r w:rsidRPr="00692F01">
        <w:rPr>
          <w:rFonts w:eastAsiaTheme="minorEastAsia"/>
        </w:rPr>
        <w:t xml:space="preserve">and the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ub>
        </m:sSub>
      </m:oMath>
      <w:r w:rsidRPr="00692F01">
        <w:rPr>
          <w:rFonts w:eastAsiaTheme="minorEastAsia"/>
        </w:rPr>
        <w:t xml:space="preserve"> expression is rewritten as</w:t>
      </w:r>
      <w:r>
        <w:rPr>
          <w:rFonts w:eastAsiaTheme="minorEastAsia"/>
        </w:rPr>
        <w: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8A6673" w:rsidRPr="00692F01" w14:paraId="355792ED" w14:textId="77777777">
        <w:trPr>
          <w:trHeight w:val="850"/>
        </w:trPr>
        <w:tc>
          <w:tcPr>
            <w:tcW w:w="8957" w:type="dxa"/>
            <w:vAlign w:val="center"/>
          </w:tcPr>
          <w:p w14:paraId="33C55706" w14:textId="71A8407F" w:rsidR="008A6673" w:rsidRPr="0079130E" w:rsidRDefault="00000000">
            <w:pPr>
              <w:pStyle w:val="TAMainText"/>
              <w:rPr>
                <w:i/>
                <w:iCs/>
              </w:rPr>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2v</m:t>
                        </m:r>
                      </m:sub>
                    </m:sSub>
                  </m:sub>
                </m:sSub>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β</m:t>
                        </m:r>
                      </m:e>
                      <m:sub>
                        <m:r>
                          <w:rPr>
                            <w:rFonts w:ascii="Cambria Math" w:hAnsi="Cambria Math"/>
                          </w:rPr>
                          <m:t>zzz</m:t>
                        </m:r>
                      </m:sub>
                    </m:sSub>
                  </m:e>
                </m:d>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6</m:t>
                        </m:r>
                      </m:num>
                      <m:den>
                        <m:r>
                          <w:rPr>
                            <w:rFonts w:ascii="Cambria Math" w:hAnsi="Cambria Math"/>
                          </w:rPr>
                          <m:t>35</m:t>
                        </m:r>
                      </m:den>
                    </m:f>
                    <m:r>
                      <w:rPr>
                        <w:rFonts w:ascii="Cambria Math" w:hAnsi="Cambria Math"/>
                      </w:rPr>
                      <m:t>+</m:t>
                    </m:r>
                    <m:f>
                      <m:fPr>
                        <m:ctrlPr>
                          <w:rPr>
                            <w:rFonts w:ascii="Cambria Math" w:hAnsi="Cambria Math"/>
                            <w:i/>
                            <w:iCs/>
                          </w:rPr>
                        </m:ctrlPr>
                      </m:fPr>
                      <m:num>
                        <m:r>
                          <w:rPr>
                            <w:rFonts w:ascii="Cambria Math" w:hAnsi="Cambria Math"/>
                          </w:rPr>
                          <m:t>16</m:t>
                        </m:r>
                      </m:num>
                      <m:den>
                        <m:r>
                          <w:rPr>
                            <w:rFonts w:ascii="Cambria Math" w:hAnsi="Cambria Math"/>
                          </w:rPr>
                          <m:t>105</m:t>
                        </m:r>
                      </m:den>
                    </m:f>
                    <m:r>
                      <w:rPr>
                        <w:rFonts w:ascii="Cambria Math" w:hAnsi="Cambria Math"/>
                      </w:rPr>
                      <m:t>R+</m:t>
                    </m:r>
                    <m:f>
                      <m:fPr>
                        <m:ctrlPr>
                          <w:rPr>
                            <w:rFonts w:ascii="Cambria Math" w:hAnsi="Cambria Math"/>
                            <w:i/>
                            <w:iCs/>
                          </w:rPr>
                        </m:ctrlPr>
                      </m:fPr>
                      <m:num>
                        <m:r>
                          <w:rPr>
                            <w:rFonts w:ascii="Cambria Math" w:hAnsi="Cambria Math"/>
                          </w:rPr>
                          <m:t>38</m:t>
                        </m:r>
                      </m:num>
                      <m:den>
                        <m:r>
                          <w:rPr>
                            <w:rFonts w:ascii="Cambria Math" w:hAnsi="Cambria Math"/>
                          </w:rPr>
                          <m:t>105</m:t>
                        </m:r>
                      </m:den>
                    </m:f>
                    <m:sSup>
                      <m:sSupPr>
                        <m:ctrlPr>
                          <w:rPr>
                            <w:rFonts w:ascii="Cambria Math" w:hAnsi="Cambria Math"/>
                            <w:i/>
                            <w:iCs/>
                          </w:rPr>
                        </m:ctrlPr>
                      </m:sSupPr>
                      <m:e>
                        <m:r>
                          <w:rPr>
                            <w:rFonts w:ascii="Cambria Math" w:hAnsi="Cambria Math"/>
                          </w:rPr>
                          <m:t>R</m:t>
                        </m:r>
                      </m:e>
                      <m:sup>
                        <m:r>
                          <w:rPr>
                            <w:rFonts w:ascii="Cambria Math" w:hAnsi="Cambria Math"/>
                          </w:rPr>
                          <m:t>2</m:t>
                        </m:r>
                      </m:sup>
                    </m:sSup>
                  </m:e>
                </m:rad>
              </m:oMath>
            </m:oMathPara>
          </w:p>
        </w:tc>
        <w:tc>
          <w:tcPr>
            <w:tcW w:w="681" w:type="dxa"/>
            <w:vAlign w:val="center"/>
          </w:tcPr>
          <w:p w14:paraId="34A83DCC" w14:textId="1B8A7C79" w:rsidR="008A6673" w:rsidRPr="00692F01" w:rsidRDefault="00000000">
            <w:pPr>
              <w:pStyle w:val="TAMainText"/>
            </w:pPr>
            <m:oMathPara>
              <m:oMath>
                <m:d>
                  <m:dPr>
                    <m:ctrlPr>
                      <w:rPr>
                        <w:rFonts w:ascii="Cambria Math" w:hAnsi="Cambria Math"/>
                      </w:rPr>
                    </m:ctrlPr>
                  </m:dPr>
                  <m:e>
                    <m:r>
                      <w:rPr>
                        <w:rFonts w:ascii="Cambria Math" w:hAnsi="Cambria Math"/>
                      </w:rPr>
                      <m:t>8</m:t>
                    </m:r>
                  </m:e>
                </m:d>
              </m:oMath>
            </m:oMathPara>
          </w:p>
        </w:tc>
      </w:tr>
    </w:tbl>
    <w:p w14:paraId="7BAC6370" w14:textId="7EFA542D" w:rsidR="008A6673" w:rsidRPr="00692F01" w:rsidRDefault="008A6673" w:rsidP="008A6673">
      <w:pPr>
        <w:pStyle w:val="TAMainText"/>
      </w:pPr>
      <w:r w:rsidRPr="00692F01">
        <w:t xml:space="preserve">In practice, from the originally computed </w:t>
      </w:r>
      <w:r>
        <w:t xml:space="preserve">full </w:t>
      </w:r>
      <w:r w:rsidRPr="00692F01">
        <w:t xml:space="preserve">tensor, the depolarization ratio and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ub>
        </m:sSub>
      </m:oMath>
      <w:r w:rsidRPr="00692F01">
        <w:t xml:space="preserve"> are computed. Then, from </w:t>
      </w:r>
      <w:proofErr w:type="spellStart"/>
      <w:r>
        <w:t>eqn</w:t>
      </w:r>
      <w:proofErr w:type="spellEnd"/>
      <w:r w:rsidRPr="00692F01">
        <w:t xml:space="preserve"> </w:t>
      </w:r>
      <w:r>
        <w:t>(</w:t>
      </w:r>
      <w:r w:rsidR="006B3D19">
        <w:t>7</w:t>
      </w:r>
      <w:r>
        <w:t>)</w:t>
      </w:r>
      <w:r w:rsidRPr="00692F01">
        <w:t xml:space="preserve">, an effective </w:t>
      </w:r>
      <m:oMath>
        <m:r>
          <w:rPr>
            <w:rFonts w:ascii="Cambria Math" w:hAnsi="Cambria Math"/>
          </w:rPr>
          <m:t>R</m:t>
        </m:r>
      </m:oMath>
      <w:r w:rsidRPr="00692F01">
        <w:t xml:space="preserve"> ratio is obtained (two solutions appear, since the equation has degree two, we select the closest </w:t>
      </w:r>
      <m:oMath>
        <m:r>
          <w:rPr>
            <w:rFonts w:ascii="Cambria Math" w:hAnsi="Cambria Math"/>
          </w:rPr>
          <m:t>R</m:t>
        </m:r>
      </m:oMath>
      <w:r w:rsidRPr="00692F01">
        <w:t xml:space="preserve"> to the one of the original tensor). The new ratio is then plugged in </w:t>
      </w:r>
      <w:proofErr w:type="spellStart"/>
      <w:r>
        <w:t>eqn</w:t>
      </w:r>
      <w:proofErr w:type="spellEnd"/>
      <w:r w:rsidRPr="00692F01">
        <w:t xml:space="preserve"> </w:t>
      </w:r>
      <w:r>
        <w:t>(</w:t>
      </w:r>
      <w:r w:rsidR="006B3D19">
        <w:t>8</w:t>
      </w:r>
      <w:r>
        <w:t>)</w:t>
      </w:r>
      <w:r w:rsidRPr="00692F01">
        <w:t xml:space="preserve"> together with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ub>
        </m:sSub>
      </m:oMath>
      <w:r w:rsidRPr="00692F01">
        <w:t xml:space="preserve"> from the original tensor in order to obtain a new </w:t>
      </w:r>
      <m:oMath>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β</m:t>
                </m:r>
              </m:e>
              <m:sub>
                <m:r>
                  <w:rPr>
                    <w:rFonts w:ascii="Cambria Math" w:hAnsi="Cambria Math"/>
                  </w:rPr>
                  <m:t>zzz</m:t>
                </m:r>
              </m:sub>
            </m:sSub>
          </m:e>
        </m:d>
      </m:oMath>
      <w:r w:rsidRPr="00692F01">
        <w:t xml:space="preserve">, i.e. the one of the effective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2v</m:t>
            </m:r>
          </m:sub>
        </m:sSub>
      </m:oMath>
      <w:r w:rsidRPr="00692F01">
        <w:t xml:space="preserve"> symmetry. From this quantity and the effective </w:t>
      </w:r>
      <m:oMath>
        <m:r>
          <w:rPr>
            <w:rFonts w:ascii="Cambria Math" w:hAnsi="Cambria Math"/>
          </w:rPr>
          <m:t>R</m:t>
        </m:r>
      </m:oMath>
      <w:r w:rsidRPr="00692F01">
        <w:t xml:space="preserve"> ratio, </w:t>
      </w:r>
      <w:r>
        <w:t>a</w:t>
      </w:r>
      <w:r w:rsidRPr="00692F01">
        <w:t xml:space="preserve"> new </w:t>
      </w:r>
      <m:oMath>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β</m:t>
                </m:r>
              </m:e>
              <m:sub>
                <m:r>
                  <w:rPr>
                    <w:rFonts w:ascii="Cambria Math" w:hAnsi="Cambria Math"/>
                  </w:rPr>
                  <m:t>zyy</m:t>
                </m:r>
              </m:sub>
            </m:sSub>
          </m:e>
        </m:d>
      </m:oMath>
      <w:r w:rsidRPr="00692F01">
        <w:t xml:space="preserve"> is also obtained.</w:t>
      </w:r>
    </w:p>
    <w:p w14:paraId="154F4B9F" w14:textId="77777777" w:rsidR="009F5852" w:rsidRDefault="009F5852">
      <w:pPr>
        <w:spacing w:after="0"/>
        <w:jc w:val="left"/>
      </w:pPr>
    </w:p>
    <w:p w14:paraId="1D610DD8" w14:textId="21360A0C" w:rsidR="00907D86" w:rsidRPr="00F66666" w:rsidRDefault="00736D5C" w:rsidP="00736D5C">
      <w:pPr>
        <w:spacing w:after="0" w:line="480" w:lineRule="auto"/>
        <w:rPr>
          <w:b/>
          <w:bCs/>
          <w:sz w:val="28"/>
          <w:szCs w:val="21"/>
        </w:rPr>
      </w:pPr>
      <w:r w:rsidRPr="00F66666">
        <w:rPr>
          <w:b/>
          <w:bCs/>
          <w:sz w:val="28"/>
          <w:szCs w:val="21"/>
        </w:rPr>
        <w:t>T</w:t>
      </w:r>
      <w:r w:rsidR="008C2CB1" w:rsidRPr="00F66666">
        <w:rPr>
          <w:b/>
          <w:bCs/>
          <w:sz w:val="28"/>
          <w:szCs w:val="21"/>
        </w:rPr>
        <w:t>h</w:t>
      </w:r>
      <w:r w:rsidRPr="00F66666">
        <w:rPr>
          <w:b/>
          <w:bCs/>
          <w:sz w:val="28"/>
          <w:szCs w:val="21"/>
        </w:rPr>
        <w:t>eoretical chemistry calculations</w:t>
      </w:r>
      <w:r w:rsidR="0053122C" w:rsidRPr="00F66666">
        <w:rPr>
          <w:b/>
          <w:bCs/>
          <w:sz w:val="28"/>
          <w:szCs w:val="21"/>
        </w:rPr>
        <w:t xml:space="preserve"> </w:t>
      </w:r>
    </w:p>
    <w:p w14:paraId="6656B722" w14:textId="2A16B6CE" w:rsidR="00736D5C" w:rsidRPr="00F66666" w:rsidRDefault="008C2CB1" w:rsidP="00736D5C">
      <w:pPr>
        <w:spacing w:after="0" w:line="480" w:lineRule="auto"/>
        <w:rPr>
          <w:b/>
          <w:bCs/>
        </w:rPr>
      </w:pPr>
      <w:r w:rsidRPr="00F66666">
        <w:rPr>
          <w:b/>
          <w:bCs/>
        </w:rPr>
        <w:t>C</w:t>
      </w:r>
      <w:r w:rsidR="00736D5C" w:rsidRPr="00F66666">
        <w:rPr>
          <w:b/>
          <w:bCs/>
        </w:rPr>
        <w:t xml:space="preserve">omputational aspects </w:t>
      </w:r>
      <w:r w:rsidR="00912F24" w:rsidRPr="00F66666">
        <w:rPr>
          <w:b/>
          <w:bCs/>
        </w:rPr>
        <w:t xml:space="preserve">related to </w:t>
      </w:r>
      <w:r w:rsidRPr="00F66666">
        <w:rPr>
          <w:b/>
          <w:bCs/>
        </w:rPr>
        <w:t xml:space="preserve">geometry optimization </w:t>
      </w:r>
      <w:r w:rsidR="00912F24" w:rsidRPr="00F66666">
        <w:rPr>
          <w:b/>
          <w:bCs/>
        </w:rPr>
        <w:t xml:space="preserve">of the crystal unit cell </w:t>
      </w:r>
      <w:r w:rsidRPr="00F66666">
        <w:rPr>
          <w:b/>
          <w:bCs/>
        </w:rPr>
        <w:t>at the DFT level with Periodic Boundary Conditions</w:t>
      </w:r>
    </w:p>
    <w:p w14:paraId="20B05ED8" w14:textId="08FD1D13" w:rsidR="00DB5534" w:rsidRDefault="00A42FFD" w:rsidP="00527192">
      <w:pPr>
        <w:pStyle w:val="TAMainText"/>
        <w:rPr>
          <w:rFonts w:eastAsiaTheme="minorEastAsia"/>
          <w:highlight w:val="cyan"/>
        </w:rPr>
      </w:pPr>
      <w:r w:rsidRPr="00F66666">
        <w:rPr>
          <w:color w:val="222222"/>
          <w:shd w:val="clear" w:color="auto" w:fill="FFFFFF"/>
        </w:rPr>
        <w:t>All the quantum chemist</w:t>
      </w:r>
      <w:r w:rsidR="00D46DDF" w:rsidRPr="00F66666">
        <w:rPr>
          <w:color w:val="222222"/>
          <w:shd w:val="clear" w:color="auto" w:fill="FFFFFF"/>
        </w:rPr>
        <w:t>r</w:t>
      </w:r>
      <w:r w:rsidRPr="00F66666">
        <w:rPr>
          <w:color w:val="222222"/>
          <w:shd w:val="clear" w:color="auto" w:fill="FFFFFF"/>
        </w:rPr>
        <w:t>y calculations have been performed with the CRYSTAL17 suit</w:t>
      </w:r>
      <w:r w:rsidR="00E90D14">
        <w:rPr>
          <w:color w:val="222222"/>
          <w:shd w:val="clear" w:color="auto" w:fill="FFFFFF"/>
        </w:rPr>
        <w:t>e</w:t>
      </w:r>
      <w:r w:rsidRPr="00F66666">
        <w:rPr>
          <w:color w:val="222222"/>
          <w:shd w:val="clear" w:color="auto" w:fill="FFFFFF"/>
        </w:rPr>
        <w:t xml:space="preserve"> software.</w:t>
      </w:r>
      <w:r w:rsidRPr="00F66666">
        <w:fldChar w:fldCharType="begin" w:fldLock="1"/>
      </w:r>
      <w:r w:rsidR="009F56C9">
        <w:instrText>ADDIN CSL_CITATION {"citationItems":[{"id":"ITEM-1","itemData":{"DOI":"10.1002/qua.24658","ISSN":"1097461X","abstract":"The capabilities of the Crystal14 program are presented, and the improvements made with respect to the previous Crystal09 version discussed. Crystal14 is an ab initio code that uses a Gaussian-type basis set: both pseudopotential and all-electron strategies are permitted; the latter is not much more expensive than the former up to the first-second transition metal rows of the periodic table. A variety of density functionals is available, including as an extreme case Hartree-Fock; hybrids of various nature (global, range-separated, double) can be used. In particular, a very efficient implementation of global hybrids, such as popular B3LYP and PBE0 prescriptions, allows for such calculations to be performed at relatively low computational cost. The program can treat on the same grounds zero-dimensional (molecules), one-dimensional (polymers), two-dimensional (slabs), as well as three-dimensional (3D; crystals) systems. No spurious 3D periodicity is required for low-dimensional systems as happens when plane-waves are used as a basis set. Symmetry is fully exploited at all steps of the calculation; this permits, for example, to investigate nanotubes of increasing radius at a nearly constant cost (better than linear scaling!) or to perform self-consistent-field (SCF) calculations on fullerenes as large as (10,10), with 6000 atoms, 84,000 atomic orbitals, and 20 SCF cycles, on a single core in one day. Three versions of the code exist, serial, parallel, and massive-parallel. In the second one, the most relevant matrices are duplicated, whereas in the third one the matrices in reciprocal space are distributed for diagonalization. All the relevant vectors are now dynamically allocated and deallocated after use, making Crystal14 much more agile than the previous version, in which they were statically allocated. The program now fits more easily in low-memory machines (as many supercomputers nowadays are). Crystal14 can be used on parallel machines up to a high number of cores (benchmarks up to 10,240 cores are documented) with good scalability, the main limitation remaining the diagonalization step. Many tensorial properties can be evaluated in a fully automated way by using a single input keyword: elastic, piezoelectric, photoelastic, dielectric, as well as first and second hyperpolarizabilies, electric field gradients, Born tensors and so forth. Many tools permit a complete analysis of the vibrational properties of crystalline compounds. The infrared and Raman …","author":[{"dropping-particle":"","family":"Dovesi","given":"Roberto","non-dropping-particle":"","parse-names":false,"suffix":""},{"dropping-particle":"","family":"Orlando","given":"Roberto","non-dropping-particle":"","parse-names":false,"suffix":""},{"dropping-particle":"","family":"Erba","given":"Alessandro","non-dropping-particle":"","parse-names":false,"suffix":""},{"dropping-particle":"","family":"Zicovich-Wilson","given":"Claudio M.","non-dropping-particle":"","parse-names":false,"suffix":""},{"dropping-particle":"","family":"Civalleri","given":"Bartolomeo","non-dropping-particle":"","parse-names":false,"suffix":""},{"dropping-particle":"","family":"Casassa","given":"Silvia","non-dropping-particle":"","parse-names":false,"suffix":""},{"dropping-particle":"","family":"Maschio","given":"Lorenzo","non-dropping-particle":"","parse-names":false,"suffix":""},{"dropping-particle":"","family":"Ferrabone","given":"Matteo","non-dropping-particle":"","parse-names":false,"suffix":""},{"dropping-particle":"","family":"La Pierre","given":"Marco","non-dropping-particle":"De","parse-names":false,"suffix":""},{"dropping-particle":"","family":"D'Arco","given":"Philippe","non-dropping-particle":"","parse-names":false,"suffix":""},{"dropping-particle":"","family":"Noël","given":"Yves","non-dropping-particle":"","parse-names":false,"suffix":""},{"dropping-particle":"","family":"Causà","given":"Mauro","non-dropping-particle":"","parse-names":false,"suffix":""},{"dropping-particle":"","family":"Rérat","given":"Michel","non-dropping-particle":"","parse-names":false,"suffix":""},{"dropping-particle":"","family":"Kirtman","given":"Bernard","non-dropping-particle":"","parse-names":false,"suffix":""}],"container-title":"International Journal of Quantum Chemistry","id":"ITEM-1","issue":"19","issued":{"date-parts":[["2014"]]},"page":"1287-1317","title":"C RYSTAL14: A program for the ab initio investigation of crystalline solids","type":"article-journal","volume":"114"},"uris":["http://www.mendeley.com/documents/?uuid=762594c9-7d8d-45ff-9654-417c90aa2e83"]},{"id":"ITEM-2","itemData":{"DOI":"10.1063/5.0004892","ISSN":"10897690","PMID":"32486670","abstract":"CRYSTAL is a periodic ab initio code that uses a Gaussian-Type basis set to express crystalline orbitals (i.e., Bloch functions). The use of atomcentered basis functions allows treating 3D (crystals), 2D (slabs), 1D (polymers), and 0D (molecules) systems on the same grounds. In turn, all-electron calculations are inherently permitted along with pseudopotential strategies. A variety of density functionals are implemented, including global and range-separated hybrids of various natures and, as an extreme case, Hartree Fock (HF). The cost for HF or hybrids is only about 3 5 times higher than when using the local density approximation or the generalized gradient approximation. Symmetry is fully exploited at all steps of the calculation. Many tools are available to modify the structure as given in input and simplify the construction of complicated objects, such as slabs, nanotubes, molecules, and clusters. Many tensorial properties can be evaluated by using a single input keyword: elastic, piezoelectric, photoelastic, dielectric, first and second hyperpolarizabilities, etc. The calculation of infrared and Raman spectra is available, and the intensities are computed analytically. Automated tools are available for the generation of the relevant configurations of solid solutions and/or disordered systems. Three versions of the code exist: serial, parallel, and massive-parallel. In the second one, the most relevant matrices are duplicated on each core, whereas in the third one, the Fock matrix is distributed for diagonalization. All the relevant vectors are dynamically allocated and deallocated after use, making the code very agile. CRYSTAL can be used efficiently on high performance computing machines up to thousands of cores.","author":[{"dropping-particle":"","family":"Dovesi","given":"Roberto","non-dropping-particle":"","parse-names":false,"suffix":""},{"dropping-particle":"","family":"Pascale","given":"Fabien","non-dropping-particle":"","parse-names":false,"suffix":""},{"dropping-particle":"","family":"Civalleri","given":"Bartolomeo","non-dropping-particle":"","parse-names":false,"suffix":""},{"dropping-particle":"","family":"Doll","given":"Klaus","non-dropping-particle":"","parse-names":false,"suffix":""},{"dropping-particle":"","family":"Harrison","given":"Nicholas M.","non-dropping-particle":"","parse-names":false,"suffix":""},{"dropping-particle":"","family":"Bush","given":"Ian","non-dropping-particle":"","parse-names":false,"suffix":""},{"dropping-particle":"","family":"D'Arco","given":"Philippe","non-dropping-particle":"","parse-names":false,"suffix":""},{"dropping-particle":"","family":"Noel","given":"Yves","non-dropping-particle":"","parse-names":false,"suffix":""},{"dropping-particle":"","family":"Rera","given":"Michel","non-dropping-particle":"","parse-names":false,"suffix":""},{"dropping-particle":"","family":"Carbonniere","given":"Philippe","non-dropping-particle":"","parse-names":false,"suffix":""},{"dropping-particle":"","family":"Causa","given":"Mauro","non-dropping-particle":"","parse-names":false,"suffix":""},{"dropping-particle":"","family":"Salustro","given":"Simone","non-dropping-particle":"","parse-names":false,"suffix":""},{"dropping-particle":"","family":"Lacivita","given":"Valentina","non-dropping-particle":"","parse-names":false,"suffix":""},{"dropping-particle":"","family":"Kirtman","given":"Bernard","non-dropping-particle":"","parse-names":false,"suffix":""},{"dropping-particle":"","family":"Ferrari","given":"Anna Maria","non-dropping-particle":"","parse-names":false,"suffix":""},{"dropping-particle":"","family":"Gentile","given":"Francesco Silvio","non-dropping-particle":"","parse-names":false,"suffix":""},{"dropping-particle":"","family":"Baima","given":"Jacopo","non-dropping-particle":"","parse-names":false,"suffix":""},{"dropping-particle":"","family":"Ferrero","given":"Mauro","non-dropping-particle":"","parse-names":false,"suffix":""},{"dropping-particle":"","family":"Demichelis","given":"Raffaella","non-dropping-particle":"","parse-names":false,"suffix":""},{"dropping-particle":"","family":"La Pierre","given":"Marco","non-dropping-particle":"De","parse-names":false,"suffix":""}],"container-title":"Journal of Chemical Physics","id":"ITEM-2","issue":"20","issued":{"date-parts":[["2020"]]},"publisher":"AIP Publishing, LLC","title":"The CRYSTAL code, 1976-2020 and beyond, a long story","type":"article-journal","volume":"152"},"uris":["http://www.mendeley.com/documents/?uuid=15e0907c-3967-4a63-aeda-61a71ab08fe0"]}],"mendeley":{"formattedCitation":"&lt;sup&gt;39,40&lt;/sup&gt;","plainTextFormattedCitation":"39,40","previouslyFormattedCitation":"&lt;sup&gt;39,40&lt;/sup&gt;"},"properties":{"noteIndex":0},"schema":"https://github.com/citation-style-language/schema/raw/master/csl-citation.json"}</w:instrText>
      </w:r>
      <w:r w:rsidRPr="00F66666">
        <w:fldChar w:fldCharType="separate"/>
      </w:r>
      <w:r w:rsidR="00DC2B5C" w:rsidRPr="00DC2B5C">
        <w:rPr>
          <w:noProof/>
          <w:vertAlign w:val="superscript"/>
        </w:rPr>
        <w:t>39,40</w:t>
      </w:r>
      <w:r w:rsidRPr="00F66666">
        <w:fldChar w:fldCharType="end"/>
      </w:r>
      <w:r w:rsidR="00595D80" w:rsidRPr="00F66666">
        <w:t xml:space="preserve"> </w:t>
      </w:r>
      <w:r w:rsidR="00912F24" w:rsidRPr="00F66666">
        <w:t>Geometry optimizations started</w:t>
      </w:r>
      <w:r w:rsidR="00595D80" w:rsidRPr="00F66666">
        <w:t xml:space="preserve"> from the single crystal neutron diffraction structure</w:t>
      </w:r>
      <w:r w:rsidR="00736D5C" w:rsidRPr="00F66666">
        <w:t xml:space="preserve"> obtained </w:t>
      </w:r>
      <w:r w:rsidR="00912F24" w:rsidRPr="00F66666">
        <w:t>by</w:t>
      </w:r>
      <w:r w:rsidR="00736D5C" w:rsidRPr="00F66666">
        <w:t xml:space="preserve"> </w:t>
      </w:r>
      <w:proofErr w:type="spellStart"/>
      <w:r w:rsidR="00736D5C" w:rsidRPr="00F66666">
        <w:t>Nishiyami</w:t>
      </w:r>
      <w:proofErr w:type="spellEnd"/>
      <w:r w:rsidR="00736D5C" w:rsidRPr="00F66666">
        <w:t xml:space="preserve"> et al.</w:t>
      </w:r>
      <w:r w:rsidR="00736D5C" w:rsidRPr="00F66666">
        <w:fldChar w:fldCharType="begin" w:fldLock="1"/>
      </w:r>
      <w:r w:rsidR="009F56C9">
        <w:instrText>ADDIN CSL_CITATION {"citationItems":[{"id":"ITEM-1","itemData":{"DOI":"10.1021/ja0257319","ISSN":"0002-7863","PMID":"14624578","abstract":"The crystal and molecular structure, together with the hydrogen-bonding system in cellulose I(alpha), has been determined using atomic-resolution synchrotron and neutron diffraction data recorded from oriented fibrous samples prepared by aligning cellulose microcrystals from the cell wall of the freshwater alga Glaucocystis nostochinearum. The X-ray data were used to determine the C and O atom positions. The resulting structure is a one-chain triclinic unit cell with all glucosyl linkages and hydroxymethyl groups (tg) identical. However, adjacent sugar rings alternate in conformation giving the chain a cellobiosyl repeat. The chains organize in sheets packed in a \"parallel-up\" fashion. The positions of hydrogen atoms involved in hydrogen-bonding were determined from a Fourier-difference analysis using neutron diffraction data collected from hydrogenated and deuterated samples. The differences between the structure and hydrogen-bonding reported here for cellulose I(alpha) and previously for cellulose I(beta) provide potential explanations for the solid-state conversion of I(alpha) --&gt; I(beta) and for the occurrence of two crystal phases in naturally occurring cellulose.","author":[{"dropping-particle":"","family":"Nishiyama","given":"Yoshiharu","non-dropping-particle":"","parse-names":false,"suffix":""},{"dropping-particle":"","family":"Langan","given":"Paul","non-dropping-particle":"","parse-names":false,"suffix":""},{"dropping-particle":"","family":"Chanzy","given":"Henri","non-dropping-particle":"","parse-names":false,"suffix":""}],"container-title":"Journal of the American Chemical Society","id":"ITEM-1","issue":"31","issued":{"date-parts":[["2002","8","1"]]},"page":"9074-9082","title":"Crystal Structure and Hydrogen-Bonding System in Cellulose Iβ from Synchrotron X-ray and Neutron Fiber Diffraction","type":"article-journal","volume":"124"},"uris":["http://www.mendeley.com/documents/?uuid=3f9e4e0b-c440-4dfb-a4f7-0ffc777517dd"]}],"mendeley":{"formattedCitation":"&lt;sup&gt;34&lt;/sup&gt;","plainTextFormattedCitation":"34","previouslyFormattedCitation":"&lt;sup&gt;34&lt;/sup&gt;"},"properties":{"noteIndex":0},"schema":"https://github.com/citation-style-language/schema/raw/master/csl-citation.json"}</w:instrText>
      </w:r>
      <w:r w:rsidR="00736D5C" w:rsidRPr="00F66666">
        <w:fldChar w:fldCharType="separate"/>
      </w:r>
      <w:r w:rsidR="00DC2B5C" w:rsidRPr="00DC2B5C">
        <w:rPr>
          <w:noProof/>
          <w:vertAlign w:val="superscript"/>
        </w:rPr>
        <w:t>34</w:t>
      </w:r>
      <w:r w:rsidR="00736D5C" w:rsidRPr="00F66666">
        <w:fldChar w:fldCharType="end"/>
      </w:r>
      <w:r w:rsidR="00595D80" w:rsidRPr="00F66666">
        <w:t xml:space="preserve"> </w:t>
      </w:r>
      <w:r w:rsidR="00736D5C" w:rsidRPr="00F66666">
        <w:t xml:space="preserve">In this neutron diffraction structure, </w:t>
      </w:r>
      <w:r w:rsidR="00912F24" w:rsidRPr="00F66666">
        <w:t xml:space="preserve">each of the </w:t>
      </w:r>
      <w:r w:rsidR="00736D5C" w:rsidRPr="00F66666">
        <w:t>four deuterium atoms partially occupy two sites</w:t>
      </w:r>
      <w:r w:rsidR="00912F24" w:rsidRPr="00F66666">
        <w:t>,</w:t>
      </w:r>
      <w:r w:rsidR="00736D5C" w:rsidRPr="00F66666">
        <w:t xml:space="preserve"> with abundance: 1.0</w:t>
      </w:r>
      <m:oMath>
        <m:r>
          <w:rPr>
            <w:rFonts w:ascii="Cambria Math" w:hAnsi="Cambria Math"/>
          </w:rPr>
          <m:t>±</m:t>
        </m:r>
      </m:oMath>
      <w:r w:rsidR="00736D5C" w:rsidRPr="00F66666">
        <w:rPr>
          <w:rFonts w:eastAsiaTheme="minorEastAsia"/>
        </w:rPr>
        <w:t>0.2/0.0</w:t>
      </w:r>
      <m:oMath>
        <m:r>
          <w:rPr>
            <w:rFonts w:ascii="Cambria Math" w:hAnsi="Cambria Math"/>
          </w:rPr>
          <m:t>±</m:t>
        </m:r>
      </m:oMath>
      <w:r w:rsidR="00736D5C" w:rsidRPr="00F66666">
        <w:rPr>
          <w:rFonts w:eastAsiaTheme="minorEastAsia"/>
        </w:rPr>
        <w:t>0.2, 0.85</w:t>
      </w:r>
      <m:oMath>
        <m:r>
          <w:rPr>
            <w:rFonts w:ascii="Cambria Math" w:hAnsi="Cambria Math"/>
          </w:rPr>
          <m:t>±</m:t>
        </m:r>
      </m:oMath>
      <w:r w:rsidR="00736D5C" w:rsidRPr="00F66666">
        <w:rPr>
          <w:rFonts w:eastAsiaTheme="minorEastAsia"/>
        </w:rPr>
        <w:t>0.18/0.15</w:t>
      </w:r>
      <m:oMath>
        <m:r>
          <w:rPr>
            <w:rFonts w:ascii="Cambria Math" w:hAnsi="Cambria Math"/>
          </w:rPr>
          <m:t>±</m:t>
        </m:r>
      </m:oMath>
      <w:r w:rsidR="00736D5C" w:rsidRPr="00F66666">
        <w:rPr>
          <w:rFonts w:eastAsiaTheme="minorEastAsia"/>
        </w:rPr>
        <w:t>0.18, 0.57</w:t>
      </w:r>
      <m:oMath>
        <m:r>
          <w:rPr>
            <w:rFonts w:ascii="Cambria Math" w:hAnsi="Cambria Math"/>
          </w:rPr>
          <m:t>±</m:t>
        </m:r>
      </m:oMath>
      <w:r w:rsidR="00736D5C" w:rsidRPr="00F66666">
        <w:rPr>
          <w:rFonts w:eastAsiaTheme="minorEastAsia"/>
        </w:rPr>
        <w:t>0.14/0.43</w:t>
      </w:r>
      <m:oMath>
        <m:r>
          <w:rPr>
            <w:rFonts w:ascii="Cambria Math" w:hAnsi="Cambria Math"/>
          </w:rPr>
          <m:t>±</m:t>
        </m:r>
      </m:oMath>
      <w:r w:rsidR="00736D5C" w:rsidRPr="00F66666">
        <w:rPr>
          <w:rFonts w:eastAsiaTheme="minorEastAsia"/>
        </w:rPr>
        <w:t>0.14, and 0.68</w:t>
      </w:r>
      <m:oMath>
        <m:r>
          <w:rPr>
            <w:rFonts w:ascii="Cambria Math" w:hAnsi="Cambria Math"/>
          </w:rPr>
          <m:t>±</m:t>
        </m:r>
      </m:oMath>
      <w:r w:rsidR="00736D5C" w:rsidRPr="00F66666">
        <w:rPr>
          <w:rFonts w:eastAsiaTheme="minorEastAsia"/>
        </w:rPr>
        <w:t>0.16/0.32</w:t>
      </w:r>
      <m:oMath>
        <m:r>
          <w:rPr>
            <w:rFonts w:ascii="Cambria Math" w:hAnsi="Cambria Math"/>
          </w:rPr>
          <m:t>±</m:t>
        </m:r>
      </m:oMath>
      <w:r w:rsidR="00736D5C" w:rsidRPr="00F66666">
        <w:rPr>
          <w:rFonts w:eastAsiaTheme="minorEastAsia"/>
        </w:rPr>
        <w:t xml:space="preserve">0.16. For every calculation involving this structure, </w:t>
      </w:r>
      <w:r w:rsidR="00736D5C" w:rsidRPr="00F66666">
        <w:rPr>
          <w:rFonts w:eastAsiaTheme="minorEastAsia"/>
        </w:rPr>
        <w:lastRenderedPageBreak/>
        <w:t xml:space="preserve">the deuterium atoms have been replaced by hydrogens put in their site of highest occupancy. From this, a </w:t>
      </w:r>
      <w:r w:rsidR="003E2C9A" w:rsidRPr="00F66666">
        <w:rPr>
          <w:rFonts w:eastAsiaTheme="minorEastAsia"/>
        </w:rPr>
        <w:t xml:space="preserve">full </w:t>
      </w:r>
      <w:r w:rsidR="00912F24" w:rsidRPr="00F66666">
        <w:rPr>
          <w:rFonts w:eastAsiaTheme="minorEastAsia"/>
        </w:rPr>
        <w:t xml:space="preserve">geometry </w:t>
      </w:r>
      <w:r w:rsidR="00736D5C" w:rsidRPr="00F66666">
        <w:rPr>
          <w:rFonts w:eastAsiaTheme="minorEastAsia"/>
        </w:rPr>
        <w:t>optimization of the crystal was carried out</w:t>
      </w:r>
      <w:r w:rsidR="003E2C9A" w:rsidRPr="00F66666">
        <w:rPr>
          <w:rFonts w:eastAsiaTheme="minorEastAsia"/>
        </w:rPr>
        <w:t>, that is</w:t>
      </w:r>
      <w:r w:rsidR="00362AF2" w:rsidRPr="00F66666">
        <w:rPr>
          <w:rFonts w:eastAsiaTheme="minorEastAsia"/>
        </w:rPr>
        <w:t>,</w:t>
      </w:r>
      <w:r w:rsidR="003E2C9A" w:rsidRPr="00F66666">
        <w:rPr>
          <w:rFonts w:eastAsiaTheme="minorEastAsia"/>
        </w:rPr>
        <w:t xml:space="preserve"> both the unit cell parameters and the atomic positions are relaxed</w:t>
      </w:r>
      <w:r w:rsidR="00736D5C" w:rsidRPr="00F66666">
        <w:rPr>
          <w:rFonts w:eastAsiaTheme="minorEastAsia"/>
        </w:rPr>
        <w:t xml:space="preserve">. The selected level of approximation was </w:t>
      </w:r>
      <w:proofErr w:type="spellStart"/>
      <w:r w:rsidR="00736D5C" w:rsidRPr="00F66666">
        <w:rPr>
          <w:rFonts w:eastAsiaTheme="minorEastAsia"/>
        </w:rPr>
        <w:t>i</w:t>
      </w:r>
      <w:proofErr w:type="spellEnd"/>
      <w:r w:rsidR="00736D5C" w:rsidRPr="00F66666">
        <w:rPr>
          <w:rFonts w:eastAsiaTheme="minorEastAsia"/>
        </w:rPr>
        <w:t xml:space="preserve">) the </w:t>
      </w:r>
      <m:oMath>
        <m:r>
          <m:rPr>
            <m:sty m:val="p"/>
          </m:rPr>
          <w:rPr>
            <w:rFonts w:ascii="Cambria Math" w:hAnsi="Cambria Math"/>
          </w:rPr>
          <m:t>ω</m:t>
        </m:r>
      </m:oMath>
      <w:r w:rsidR="00736D5C" w:rsidRPr="00F66666">
        <w:rPr>
          <w:rFonts w:eastAsiaTheme="minorEastAsia"/>
        </w:rPr>
        <w:t>B97X</w:t>
      </w:r>
      <w:r w:rsidR="00736D5C" w:rsidRPr="00F66666">
        <w:rPr>
          <w:rFonts w:eastAsiaTheme="minorEastAsia"/>
          <w:vertAlign w:val="superscript"/>
        </w:rPr>
        <w:t xml:space="preserve"> </w:t>
      </w:r>
      <w:r w:rsidR="00736D5C" w:rsidRPr="00F66666">
        <w:rPr>
          <w:rFonts w:eastAsiaTheme="minorEastAsia"/>
        </w:rPr>
        <w:fldChar w:fldCharType="begin" w:fldLock="1"/>
      </w:r>
      <w:r w:rsidR="009F56C9">
        <w:rPr>
          <w:rFonts w:eastAsiaTheme="minorEastAsia"/>
        </w:rPr>
        <w:instrText>ADDIN CSL_CITATION {"citationItems":[{"id":"ITEM-1","itemData":{"DOI":"10.1063/1.3244209","ISSN":"00219606","abstract":"We extend the range of applicability of our previous long-range corrected (LC) hybrid functional, ωB97X [J.-D. Chai and M. Head-Gordon, J. Chem. Phys. 128, 084106 (2008)], with a nonlocal description of electron correlation, inspired by second-order Møller-Plesset (many-body) perturbation theory. This LC \"double-hybrid\" density functional, denoted as ωB97X-2, is fully optimized both at the complete basis set limit (using 2-point extrapolation from calculations using triple and quadruple zeta basis sets), and also separately using the somewhat less expensive 6-311++G (3df,3pd) basis. On independent test calculations (as well as training set results), ωB97X-2 yields high accuracy for thermochemistry, kinetics, and noncovalent interactions. In addition, owing to its high fraction of exact Hartree-Fock exchange, ωB97X-2 shows significant improvement for the systems where self-interaction errors are severe, such as symmetric homonuclear radical cations. © 2009 American Institute of Physics.","author":[{"dropping-particle":"Da","family":"Chai","given":"Jeng","non-dropping-particle":"","parse-names":false,"suffix":""},{"dropping-particle":"","family":"Head-Gordon","given":"Martin","non-dropping-particle":"","parse-names":false,"suffix":""}],"container-title":"Journal of Chemical Physics","id":"ITEM-1","issue":"17","issued":{"date-parts":[["2009"]]},"title":"Long-range corrected double-hybrid density functionals","type":"article-journal","volume":"131"},"uris":["http://www.mendeley.com/documents/?uuid=00367343-8369-4c3b-8780-b9dff9d45b59"]}],"mendeley":{"formattedCitation":"&lt;sup&gt;41&lt;/sup&gt;","plainTextFormattedCitation":"41","previouslyFormattedCitation":"&lt;sup&gt;41&lt;/sup&gt;"},"properties":{"noteIndex":0},"schema":"https://github.com/citation-style-language/schema/raw/master/csl-citation.json"}</w:instrText>
      </w:r>
      <w:r w:rsidR="00736D5C" w:rsidRPr="00F66666">
        <w:rPr>
          <w:rFonts w:eastAsiaTheme="minorEastAsia"/>
        </w:rPr>
        <w:fldChar w:fldCharType="separate"/>
      </w:r>
      <w:r w:rsidR="00DC2B5C" w:rsidRPr="00DC2B5C">
        <w:rPr>
          <w:rFonts w:eastAsiaTheme="minorEastAsia"/>
          <w:noProof/>
          <w:vertAlign w:val="superscript"/>
        </w:rPr>
        <w:t>41</w:t>
      </w:r>
      <w:r w:rsidR="00736D5C" w:rsidRPr="00F66666">
        <w:rPr>
          <w:rFonts w:eastAsiaTheme="minorEastAsia"/>
        </w:rPr>
        <w:fldChar w:fldCharType="end"/>
      </w:r>
      <w:r w:rsidR="00736D5C" w:rsidRPr="00F66666">
        <w:rPr>
          <w:rFonts w:eastAsiaTheme="minorEastAsia"/>
        </w:rPr>
        <w:t xml:space="preserve"> exchange correlation functional (XCF), and ii) the 6-311G**</w:t>
      </w:r>
      <w:r w:rsidR="00736D5C" w:rsidRPr="00F66666">
        <w:rPr>
          <w:rFonts w:eastAsiaTheme="minorEastAsia"/>
          <w:vertAlign w:val="superscript"/>
        </w:rPr>
        <w:t xml:space="preserve"> </w:t>
      </w:r>
      <w:r w:rsidR="00736D5C" w:rsidRPr="00F66666">
        <w:rPr>
          <w:rFonts w:eastAsiaTheme="minorEastAsia"/>
        </w:rPr>
        <w:fldChar w:fldCharType="begin" w:fldLock="1"/>
      </w:r>
      <w:r w:rsidR="009F56C9">
        <w:rPr>
          <w:rFonts w:eastAsiaTheme="minorEastAsia"/>
        </w:rPr>
        <w:instrText>ADDIN CSL_CITATION {"citationItems":[{"id":"ITEM-1","itemData":{"DOI":"10.1021/acs.jcim.9b00725","ISSN":"1549960X","PMID":"31600445","abstract":"The Basis Set Exchange (BSE) has been a prominent fixture in the quantum chemistry community. First publicly available in 2007, it is recognized by both users and basis set creators as the de facto source for information related to basis sets. This popular resource has been rewritten, utilizing modern software design and best practices. The basis set data has been separated into a stand-alone library with an accessible API, and the Web site has been updated to use the current generation of web development libraries. The general layout and workflow of the Web site is preserved, while helpful features requested by the user community have been added. Overall, this design should increase adaptability and lend itself well into the future as a dependable resource for the computational chemistry community. This article will discuss the decision to rewrite the BSE, the new architecture and design, and the new features that have been added.","author":[{"dropping-particle":"","family":"Pritchard","given":"Benjamin P.","non-dropping-particle":"","parse-names":false,"suffix":""},{"dropping-particle":"","family":"Altarawy","given":"Doaa","non-dropping-particle":"","parse-names":false,"suffix":""},{"dropping-particle":"","family":"Didier","given":"Brett","non-dropping-particle":"","parse-names":false,"suffix":""},{"dropping-particle":"","family":"Gibson","given":"Tara D.","non-dropping-particle":"","parse-names":false,"suffix":""},{"dropping-particle":"","family":"Windus","given":"Theresa L.","non-dropping-particle":"","parse-names":false,"suffix":""}],"container-title":"Journal of Chemical Information and Modeling","id":"ITEM-1","issue":"11","issued":{"date-parts":[["2019"]]},"page":"4814-4820","title":"New Basis Set Exchange: An Open, Up-to-Date Resource for the Molecular Sciences Community","type":"article-journal","volume":"59"},"uris":["http://www.mendeley.com/documents/?uuid=2e95d5b4-e754-4400-aa2e-0003fc11c57a"]}],"mendeley":{"formattedCitation":"&lt;sup&gt;42&lt;/sup&gt;","plainTextFormattedCitation":"42","previouslyFormattedCitation":"&lt;sup&gt;42&lt;/sup&gt;"},"properties":{"noteIndex":0},"schema":"https://github.com/citation-style-language/schema/raw/master/csl-citation.json"}</w:instrText>
      </w:r>
      <w:r w:rsidR="00736D5C" w:rsidRPr="00F66666">
        <w:rPr>
          <w:rFonts w:eastAsiaTheme="minorEastAsia"/>
        </w:rPr>
        <w:fldChar w:fldCharType="separate"/>
      </w:r>
      <w:r w:rsidR="00DC2B5C" w:rsidRPr="00DC2B5C">
        <w:rPr>
          <w:rFonts w:eastAsiaTheme="minorEastAsia"/>
          <w:noProof/>
          <w:vertAlign w:val="superscript"/>
        </w:rPr>
        <w:t>42</w:t>
      </w:r>
      <w:r w:rsidR="00736D5C" w:rsidRPr="00F66666">
        <w:rPr>
          <w:rFonts w:eastAsiaTheme="minorEastAsia"/>
        </w:rPr>
        <w:fldChar w:fldCharType="end"/>
      </w:r>
      <w:r w:rsidR="00736D5C" w:rsidRPr="00F66666">
        <w:rPr>
          <w:rFonts w:eastAsiaTheme="minorEastAsia"/>
        </w:rPr>
        <w:t xml:space="preserve"> basis </w:t>
      </w:r>
      <w:r w:rsidR="00736D5C" w:rsidRPr="008E1406">
        <w:rPr>
          <w:rFonts w:eastAsiaTheme="minorEastAsia"/>
        </w:rPr>
        <w:t xml:space="preserve">set. </w:t>
      </w:r>
      <w:r w:rsidR="00B4506C" w:rsidRPr="008E1406">
        <w:rPr>
          <w:rFonts w:eastAsiaTheme="minorEastAsia"/>
        </w:rPr>
        <w:t xml:space="preserve"> </w:t>
      </w:r>
      <w:r w:rsidR="00DB5534" w:rsidRPr="008E1406">
        <w:rPr>
          <w:rFonts w:eastAsiaTheme="minorEastAsia"/>
        </w:rPr>
        <w:t>The choice of the XC</w:t>
      </w:r>
      <w:r w:rsidR="007E6303" w:rsidRPr="008E1406">
        <w:rPr>
          <w:rFonts w:eastAsiaTheme="minorEastAsia"/>
        </w:rPr>
        <w:t>F</w:t>
      </w:r>
      <w:r w:rsidR="00B4506C" w:rsidRPr="008E1406">
        <w:rPr>
          <w:rFonts w:eastAsiaTheme="minorEastAsia"/>
        </w:rPr>
        <w:t xml:space="preserve"> and </w:t>
      </w:r>
      <w:r w:rsidR="00900902" w:rsidRPr="008E1406">
        <w:rPr>
          <w:rFonts w:eastAsiaTheme="minorEastAsia"/>
        </w:rPr>
        <w:t>the PBC-related parameters</w:t>
      </w:r>
      <w:r w:rsidR="007E6303" w:rsidRPr="008E1406">
        <w:rPr>
          <w:rFonts w:eastAsiaTheme="minorEastAsia"/>
        </w:rPr>
        <w:t xml:space="preserve"> were made considering the results of </w:t>
      </w:r>
      <w:proofErr w:type="spellStart"/>
      <w:r w:rsidR="007E6303" w:rsidRPr="008E1406">
        <w:rPr>
          <w:rFonts w:eastAsiaTheme="minorEastAsia"/>
        </w:rPr>
        <w:t>Mairesse</w:t>
      </w:r>
      <w:proofErr w:type="spellEnd"/>
      <w:r w:rsidR="007E6303" w:rsidRPr="008E1406">
        <w:rPr>
          <w:rFonts w:eastAsiaTheme="minorEastAsia"/>
        </w:rPr>
        <w:t xml:space="preserve"> et al.</w:t>
      </w:r>
      <w:r w:rsidR="00BB1DCE" w:rsidRPr="008E1406">
        <w:rPr>
          <w:rFonts w:eastAsiaTheme="minorEastAsia"/>
        </w:rPr>
        <w:fldChar w:fldCharType="begin" w:fldLock="1"/>
      </w:r>
      <w:r w:rsidR="009F56C9" w:rsidRPr="008E1406">
        <w:rPr>
          <w:rFonts w:eastAsiaTheme="minorEastAsia"/>
        </w:rPr>
        <w:instrText>ADDIN CSL_CITATION {"citationItems":[{"id":"ITEM-1","itemData":{"DOI":"10.1002/qua.27275","ISSN":"1097461X","abstract":"The quantum treatment of electrons at the Kohn-Sham Density Functional Theory (DFT) level of approximation is used in order to optimize the structure of four organic and organo-metallic crystalline systems, starting from experimentally determined structures, allowing subsequent quantum-level theoretical analysis, the accent here being put on crystals having nonlinear optical (NLO) properties. By employing DFT, one must select an exchange-correlation functional (XCF), that is, a mathematical description of the electron interactions. Among most of the XCFs, a well-known general discrepancy is the lack of London-type interactions description. One of the most popular correction schemes consists of adding a posteriori the contribution of these interactions by using empirical expressions. Here, the approach relies on the simple D* scheme, a variation of the D2 correction originally elaborated by Grimme for molecular clusters, where the D2 correction is scaled to account for the interactions in the crystal solid state. The performance of this simple D* scheme is demonstrated and the most suitable scaling factors for four prototypical organic and organo-metallic NLO crystals are determined for four representative XCFs: zero (no correction) for PBESol, PBESol0, and (Formula presented.) B97X, and 0.7 for B3LYP.","author":[{"dropping-particle":"","family":"Mairesse","given":"François","non-dropping-particle":"","parse-names":false,"suffix":""},{"dropping-particle":"","family":"Champagne","given":"Benoît","non-dropping-particle":"","parse-names":false,"suffix":""}],"container-title":"International Journal of Quantum Chemistry","id":"ITEM-1","issue":"1","issued":{"date-parts":[["2024"]]},"page":"1-17","title":"Simple scaling of the empirical London dispersion corrections in DFT geometry optimizations of prototypical nonlinear optical crystals","type":"article-journal","volume":"124"},"uris":["http://www.mendeley.com/documents/?uuid=da6230d5-a10c-40bd-965c-8618e62d7013"]}],"mendeley":{"formattedCitation":"&lt;sup&gt;43&lt;/sup&gt;","plainTextFormattedCitation":"43","previouslyFormattedCitation":"&lt;sup&gt;43&lt;/sup&gt;"},"properties":{"noteIndex":0},"schema":"https://github.com/citation-style-language/schema/raw/master/csl-citation.json"}</w:instrText>
      </w:r>
      <w:r w:rsidR="00BB1DCE" w:rsidRPr="008E1406">
        <w:rPr>
          <w:rFonts w:eastAsiaTheme="minorEastAsia"/>
        </w:rPr>
        <w:fldChar w:fldCharType="separate"/>
      </w:r>
      <w:r w:rsidR="00DC2B5C" w:rsidRPr="008E1406">
        <w:rPr>
          <w:rFonts w:eastAsiaTheme="minorEastAsia"/>
          <w:noProof/>
          <w:vertAlign w:val="superscript"/>
        </w:rPr>
        <w:t>43</w:t>
      </w:r>
      <w:r w:rsidR="00BB1DCE" w:rsidRPr="008E1406">
        <w:rPr>
          <w:rFonts w:eastAsiaTheme="minorEastAsia"/>
        </w:rPr>
        <w:fldChar w:fldCharType="end"/>
      </w:r>
      <w:r w:rsidR="00BB1DCE" w:rsidRPr="008E1406">
        <w:rPr>
          <w:rFonts w:eastAsiaTheme="minorEastAsia"/>
        </w:rPr>
        <w:t xml:space="preserve"> These are detailed in ESI.11.</w:t>
      </w:r>
      <w:r w:rsidR="00BB1DCE" w:rsidRPr="008E1406">
        <w:rPr>
          <w:rFonts w:eastAsiaTheme="minorEastAsia"/>
        </w:rPr>
        <w:fldChar w:fldCharType="begin" w:fldLock="1"/>
      </w:r>
      <w:r w:rsidR="00BA70FD" w:rsidRPr="008E1406">
        <w:rPr>
          <w:rFonts w:eastAsiaTheme="minorEastAsia"/>
        </w:rPr>
        <w:instrText>ADDIN CSL_CITATION {"citationItems":[{"id":"ITEM-1","itemData":{"DOI":"10.1002/qua.24658","ISSN":"1097461X","abstract":"The capabilities of the Crystal14 program are presented, and the improvements made with respect to the previous Crystal09 version discussed. Crystal14 is an ab initio code that uses a Gaussian-type basis set: both pseudopotential and all-electron strategies are permitted; the latter is not much more expensive than the former up to the first-second transition metal rows of the periodic table. A variety of density functionals is available, including as an extreme case Hartree-Fock; hybrids of various nature (global, range-separated, double) can be used. In particular, a very efficient implementation of global hybrids, such as popular B3LYP and PBE0 prescriptions, allows for such calculations to be performed at relatively low computational cost. The program can treat on the same grounds zero-dimensional (molecules), one-dimensional (polymers), two-dimensional (slabs), as well as three-dimensional (3D; crystals) systems. No spurious 3D periodicity is required for low-dimensional systems as happens when plane-waves are used as a basis set. Symmetry is fully exploited at all steps of the calculation; this permits, for example, to investigate nanotubes of increasing radius at a nearly constant cost (better than linear scaling!) or to perform self-consistent-field (SCF) calculations on fullerenes as large as (10,10), with 6000 atoms, 84,000 atomic orbitals, and 20 SCF cycles, on a single core in one day. Three versions of the code exist, serial, parallel, and massive-parallel. In the second one, the most relevant matrices are duplicated, whereas in the third one the matrices in reciprocal space are distributed for diagonalization. All the relevant vectors are now dynamically allocated and deallocated after use, making Crystal14 much more agile than the previous version, in which they were statically allocated. The program now fits more easily in low-memory machines (as many supercomputers nowadays are). Crystal14 can be used on parallel machines up to a high number of cores (benchmarks up to 10,240 cores are documented) with good scalability, the main limitation remaining the diagonalization step. Many tensorial properties can be evaluated in a fully automated way by using a single input keyword: elastic, piezoelectric, photoelastic, dielectric, as well as first and second hyperpolarizabilies, electric field gradients, Born tensors and so forth. Many tools permit a complete analysis of the vibrational properties of crystalline compounds. The infrared and Raman …","author":[{"dropping-particle":"","family":"Dovesi","given":"Roberto","non-dropping-particle":"","parse-names":false,"suffix":""},{"dropping-particle":"","family":"Orlando","given":"Roberto","non-dropping-particle":"","parse-names":false,"suffix":""},{"dropping-particle":"","family":"Erba","given":"Alessandro","non-dropping-particle":"","parse-names":false,"suffix":""},{"dropping-particle":"","family":"Zicovich-Wilson","given":"Claudio M.","non-dropping-particle":"","parse-names":false,"suffix":""},{"dropping-particle":"","family":"Civalleri","given":"Bartolomeo","non-dropping-particle":"","parse-names":false,"suffix":""},{"dropping-particle":"","family":"Casassa","given":"Silvia","non-dropping-particle":"","parse-names":false,"suffix":""},{"dropping-particle":"","family":"Maschio","given":"Lorenzo","non-dropping-particle":"","parse-names":false,"suffix":""},{"dropping-particle":"","family":"Ferrabone","given":"Matteo","non-dropping-particle":"","parse-names":false,"suffix":""},{"dropping-particle":"","family":"La Pierre","given":"Marco","non-dropping-particle":"De","parse-names":false,"suffix":""},{"dropping-particle":"","family":"D'Arco","given":"Philippe","non-dropping-particle":"","parse-names":false,"suffix":""},{"dropping-particle":"","family":"Noël","given":"Yves","non-dropping-particle":"","parse-names":false,"suffix":""},{"dropping-particle":"","family":"Causà","given":"Mauro","non-dropping-particle":"","parse-names":false,"suffix":""},{"dropping-particle":"","family":"Rérat","given":"Michel","non-dropping-particle":"","parse-names":false,"suffix":""},{"dropping-particle":"","family":"Kirtman","given":"Bernard","non-dropping-particle":"","parse-names":false,"suffix":""}],"container-title":"International Journal of Quantum Chemistry","id":"ITEM-1","issue":"19","issued":{"date-parts":[["2014"]]},"page":"1287-1317","title":"C RYSTAL14: A program for the ab initio investigation of crystalline solids","type":"article-journal","volume":"114"},"uris":["http://www.mendeley.com/documents/?uuid=762594c9-7d8d-45ff-9654-417c90aa2e83"]},{"id":"ITEM-2","itemData":{"DOI":"10.1002/qua.27275","ISSN":"1097461X","abstract":"The quantum treatment of electrons at the Kohn-Sham Density Functional Theory (DFT) level of approximation is used in order to optimize the structure of four organic and organo-metallic crystalline systems, starting from experimentally determined structures, allowing subsequent quantum-level theoretical analysis, the accent here being put on crystals having nonlinear optical (NLO) properties. By employing DFT, one must select an exchange-correlation functional (XCF), that is, a mathematical description of the electron interactions. Among most of the XCFs, a well-known general discrepancy is the lack of London-type interactions description. One of the most popular correction schemes consists of adding a posteriori the contribution of these interactions by using empirical expressions. Here, the approach relies on the simple D* scheme, a variation of the D2 correction originally elaborated by Grimme for molecular clusters, where the D2 correction is scaled to account for the interactions in the crystal solid state. The performance of this simple D* scheme is demonstrated and the most suitable scaling factors for four prototypical organic and organo-metallic NLO crystals are determined for four representative XCFs: zero (no correction) for PBESol, PBESol0, and (Formula presented.) B97X, and 0.7 for B3LYP.","author":[{"dropping-particle":"","family":"Mairesse","given":"François","non-dropping-particle":"","parse-names":false,"suffix":""},{"dropping-particle":"","family":"Champagne","given":"Benoît","non-dropping-particle":"","parse-names":false,"suffix":""}],"container-title":"International Journal of Quantum Chemistry","id":"ITEM-2","issue":"1","issued":{"date-parts":[["2024"]]},"page":"1-17","title":"Simple scaling of the empirical London dispersion corrections in DFT geometry optimizations of prototypical nonlinear optical crystals","type":"article-journal","volume":"124"},"uris":["http://www.mendeley.com/documents/?uuid=da6230d5-a10c-40bd-965c-8618e62d7013"]},{"id":"ITEM-3","itemData":{"DOI":"10.1063/1.3043366","ISSN":"00219606","abstract":"A computational scheme for the evaluation of the static first (Β) and second (γ) hyperpolarizability tensors of systems periodic in 1D (polymers), 2D (slabs), 3D (crystals), and, as a limiting case, 0D (molecules) has been implemented, within the coupled perturbed Hartree-Fock framework (CPHF), in the CRYSTAL code, which uses a Gaussian type basis set. This generalizes to 2D and 3D the work by Bishop (J. Chem. Phys. 114, 7633 (2001)). CPHF is applied for Β and γ (the polarizability tensor α is also reported for completeness) of LiF in different aggregation states: finite and infinite chains, slabs, and cubic crystal. Correctness of the computational scheme and its numerical efficiency are documented by the trend of Β and γ for increasing dimensionality: for a finite linear chain containing N LiF units, the hyperpolarizability tends to the infinite chain value at large N, N parallel chains give the slab value when N is sufficiently large, and N superimposed slabs tend to the bulk value. High numerical accuracy can be achieved at relatively low cost, with a dependence on the computational parameters similar to that observed for field-free self-consistent field (SCF) calculations. © 2008 American Institute of Physics.","author":[{"dropping-particle":"","family":"Ferrero","given":"Mauro","non-dropping-particle":"","parse-names":false,"suffix":""},{"dropping-particle":"","family":"Ŕrat","given":"Michel","non-dropping-particle":"","parse-names":false,"suffix":""},{"dropping-particle":"","family":"Kirtman","given":"Bernard","non-dropping-particle":"","parse-names":false,"suffix":""},{"dropping-particle":"","family":"Dovesi","given":"Roberto","non-dropping-particle":"","parse-names":false,"suffix":""}],"container-title":"Journal of Chemical Physics","id":"ITEM-3","issue":"24","issued":{"date-parts":[["2008"]]},"title":"Calculation of first and second static hyperpolarizabilities of one- to three-dimensional periodic compounds. Implementation in the CRYSTAL code","type":"article-journal","volume":"129"},"uris":["http://www.mendeley.com/documents/?uuid=c81f5d0e-630b-48dc-bee3-34e648dcad21"]},{"id":"ITEM-4","itemData":{"author":[{"dropping-particle":"","family":"Ferrero","given":"Mauro","non-dropping-particle":"","parse-names":false,"suffix":""},{"dropping-particle":"","family":"Rérat","given":"Michel","non-dropping-particle":"","parse-names":false,"suffix":""},{"dropping-particle":"","family":"Orlando","given":"Roberto","non-dropping-particle":"","parse-names":false,"suffix":""},{"dropping-particle":"","family":"Dovesi","given":"Roberto","non-dropping-particle":"","parse-names":false,"suffix":""}],"container-title":"J Comput Chem","id":"ITEM-4","issue":"29","issued":{"date-parts":[["2008"]]},"page":"1450-1459","title":"The Calculation of Static Polarizabilities of 1-3D Periodic Compounds. The Implementation in the CRYSTAL Code","type":"article-journal"},"uris":["http://www.mendeley.com/documents/?uuid=c8365659-156e-4f17-bc7b-aa292659a091"]},{"id":"ITEM-5","itemData":{"DOI":"10.1063/1.2817596","ISSN":"00219606","abstract":"A general and efficient implementation of the coupled perturbed Hartree-Fock (CPHF) scheme in the CRYSTAL06 code that applies to systems periodic in one dimension (polymers), two dimensions (slabs), three dimensions (crystals) and, as a limiting case, zero dimension (molecules) is presented. The dielectric tensor of large unit cell systems such as boehmite (γ-AlOOH, 8 atoms/cell), calcite (CaC O3, 10 atoms/cell), and pyrope (Mg3 Al2 Si3 O12, 80 atoms/cell) has been computed. Results are well converged with respect to the computational parameters, in particular, to the number of k points in the reciprocal space and tolerances used in the truncation of the Coulomb and exchange series, showing that the same standard computational conditions used for the self-consistent-field (SCF) step can also be used safely in a CPHF calculation. Point symmetry, being so important in determining crystal properties, also reduces dramatically the computational cost both of the preliminary SCF step and the CPHF calculation, so that the dielectric tensor for large unit cell systems such as pyrope can be computed within 2 CPU hours on a single processor PC. © 2008 American Institute of Physics.","author":[{"dropping-particle":"","family":"Ferrero","given":"Mauro","non-dropping-particle":"","parse-names":false,"suffix":""},{"dropping-particle":"","family":"Rérat","given":"Michel","non-dropping-particle":"","parse-names":false,"suffix":""},{"dropping-particle":"","family":"Orlando","given":"Roberto","non-dropping-particle":"","parse-names":false,"suffix":""},{"dropping-particle":"","family":"Dovesi","given":"Roberto","non-dropping-particle":"","parse-names":false,"suffix":""}],"container-title":"Journal of Chemical Physics","id":"ITEM-5","issue":"1","issued":{"date-parts":[["2008"]]},"title":"Coupled perturbed Hartree-Fock for periodic systems: The role of symmetry and related computational aspects","type":"article-journal","volume":"128"},"uris":["http://www.mendeley.com/documents/?uuid=d28469e2-0f63-4561-a4f8-23ff1671687d"]}],"mendeley":{"formattedCitation":"&lt;sup&gt;39,43–46&lt;/sup&gt;","plainTextFormattedCitation":"39,43–46","previouslyFormattedCitation":"&lt;sup&gt;39,43–46&lt;/sup&gt;"},"properties":{"noteIndex":0},"schema":"https://github.com/citation-style-language/schema/raw/master/csl-citation.json"}</w:instrText>
      </w:r>
      <w:r w:rsidR="00BB1DCE" w:rsidRPr="008E1406">
        <w:rPr>
          <w:rFonts w:eastAsiaTheme="minorEastAsia"/>
        </w:rPr>
        <w:fldChar w:fldCharType="separate"/>
      </w:r>
      <w:r w:rsidR="00966081" w:rsidRPr="008E1406">
        <w:rPr>
          <w:rFonts w:eastAsiaTheme="minorEastAsia"/>
          <w:noProof/>
          <w:vertAlign w:val="superscript"/>
        </w:rPr>
        <w:t>39,43–46</w:t>
      </w:r>
      <w:r w:rsidR="00BB1DCE" w:rsidRPr="008E1406">
        <w:rPr>
          <w:rFonts w:eastAsiaTheme="minorEastAsia"/>
        </w:rPr>
        <w:fldChar w:fldCharType="end"/>
      </w:r>
    </w:p>
    <w:p w14:paraId="0D75D363" w14:textId="44E6F2D9" w:rsidR="00736D5C" w:rsidRPr="00C5771B" w:rsidRDefault="008C2CB1" w:rsidP="00A42FFD">
      <w:pPr>
        <w:spacing w:after="0" w:line="480" w:lineRule="auto"/>
        <w:rPr>
          <w:b/>
          <w:bCs/>
        </w:rPr>
      </w:pPr>
      <w:r w:rsidRPr="00C5771B">
        <w:rPr>
          <w:b/>
          <w:bCs/>
        </w:rPr>
        <w:t>Theoretical and computational aspects of the calculations of the unit cell first hyperpolarizability at the DFT level with Periodic Boundary Conditions</w:t>
      </w:r>
    </w:p>
    <w:p w14:paraId="790FCF3B" w14:textId="40502C9E" w:rsidR="00293F30" w:rsidRPr="00C5771B" w:rsidRDefault="008C2CB1" w:rsidP="008C2CB1">
      <w:pPr>
        <w:spacing w:after="0" w:line="480" w:lineRule="auto"/>
      </w:pPr>
      <w:r w:rsidRPr="00C5771B">
        <w:rPr>
          <w:rFonts w:eastAsiaTheme="minorEastAsia"/>
        </w:rPr>
        <w:t xml:space="preserve">The unit cell first hyperpolarizability tensors of both the neutron diffraction and optimized structure of </w:t>
      </w:r>
      <m:oMath>
        <m:sSub>
          <m:sSubPr>
            <m:ctrlPr>
              <w:rPr>
                <w:rFonts w:ascii="Cambria Math" w:eastAsiaTheme="minorEastAsia" w:hAnsi="Cambria Math"/>
                <w:iCs/>
              </w:rPr>
            </m:ctrlPr>
          </m:sSubPr>
          <m:e>
            <m:r>
              <m:rPr>
                <m:sty m:val="p"/>
              </m:rPr>
              <w:rPr>
                <w:rFonts w:ascii="Cambria Math" w:eastAsiaTheme="minorEastAsia" w:hAnsi="Cambria Math"/>
              </w:rPr>
              <m:t>I</m:t>
            </m:r>
          </m:e>
          <m:sub>
            <m:r>
              <m:rPr>
                <m:sty m:val="p"/>
              </m:rPr>
              <w:rPr>
                <w:rFonts w:ascii="Cambria Math" w:eastAsiaTheme="minorEastAsia" w:hAnsi="Cambria Math"/>
              </w:rPr>
              <m:t>β</m:t>
            </m:r>
          </m:sub>
        </m:sSub>
      </m:oMath>
      <w:r w:rsidRPr="00C5771B">
        <w:rPr>
          <w:rFonts w:eastAsiaTheme="minorEastAsia"/>
        </w:rPr>
        <w:t xml:space="preserve"> cellulose were computed using CRYSTAL17. </w:t>
      </w:r>
      <w:r w:rsidR="00736D5C" w:rsidRPr="00C5771B">
        <w:rPr>
          <w:rFonts w:eastAsiaTheme="minorEastAsia"/>
        </w:rPr>
        <w:t xml:space="preserve">The selected levels of approximation are </w:t>
      </w:r>
      <w:proofErr w:type="spellStart"/>
      <w:r w:rsidR="00736D5C" w:rsidRPr="00C5771B">
        <w:rPr>
          <w:rFonts w:eastAsiaTheme="minorEastAsia"/>
        </w:rPr>
        <w:t>i</w:t>
      </w:r>
      <w:proofErr w:type="spellEnd"/>
      <w:r w:rsidR="00736D5C" w:rsidRPr="00C5771B">
        <w:rPr>
          <w:rFonts w:eastAsiaTheme="minorEastAsia"/>
        </w:rPr>
        <w:t xml:space="preserve">) </w:t>
      </w:r>
      <w:r w:rsidRPr="00C5771B">
        <w:rPr>
          <w:rFonts w:eastAsiaTheme="minorEastAsia"/>
        </w:rPr>
        <w:t xml:space="preserve">the </w:t>
      </w:r>
      <w:r w:rsidR="00736D5C" w:rsidRPr="00C5771B">
        <w:t>6-311G** basis set, with ii) the CAM-B3LYP</w:t>
      </w:r>
      <w:r w:rsidRPr="00C5771B">
        <w:t xml:space="preserve"> </w:t>
      </w:r>
      <w:r w:rsidR="00EE6CAA" w:rsidRPr="00C5771B">
        <w:fldChar w:fldCharType="begin" w:fldLock="1"/>
      </w:r>
      <w:r w:rsidR="00BA70FD">
        <w:instrText>ADDIN CSL_CITATION {"citationItems":[{"id":"ITEM-1","itemData":{"DOI":"10.1016/j.cplett.2004.06.011","ISSN":"00092614","abstract":"A new hybrid exchange-correlation functional named CAM-B3LYP is proposed. It combines the hybrid qualities of B3LYP and the long-range correction presented by Tawada et al. [J. Chem. Phys., in press]. We demonstrate that CAM-B3LYP yields atomization energies of similar quality to those from B3LYP, while also performing well for charge transfer excitations in a dipeptide model, which B3LYP underestimates enormously. The CAM-B3LYP functional comprises of 0.19 Hartree-Fock (HF) plus 0.81 Becke 1988 (B88) exchange interaction at short-range, and 0.65 HF plus 0.35 B88 at long-range. The intermediate region is smoothly described through the standard error function with parameter 0.33. © 2004 Elsevier B.V. All rights reserved.","author":[{"dropping-particle":"","family":"Yanai","given":"Takeshi","non-dropping-particle":"","parse-names":false,"suffix":""},{"dropping-particle":"","family":"Tew","given":"David P.","non-dropping-particle":"","parse-names":false,"suffix":""},{"dropping-particle":"","family":"Handy","given":"Nicholas C.","non-dropping-particle":"","parse-names":false,"suffix":""}],"container-title":"Chemical Physics Letters","id":"ITEM-1","issue":"1-3","issued":{"date-parts":[["2004"]]},"page":"51-57","title":"A new hybrid exchange-correlation functional using the Coulomb-attenuating method (CAM-B3LYP)","type":"article-journal","volume":"393"},"uris":["http://www.mendeley.com/documents/?uuid=a34e17f7-cc8e-43f0-b61c-738abfb83cb9"]}],"mendeley":{"formattedCitation":"&lt;sup&gt;47&lt;/sup&gt;","plainTextFormattedCitation":"47","previouslyFormattedCitation":"&lt;sup&gt;47&lt;/sup&gt;"},"properties":{"noteIndex":0},"schema":"https://github.com/citation-style-language/schema/raw/master/csl-citation.json"}</w:instrText>
      </w:r>
      <w:r w:rsidR="00EE6CAA" w:rsidRPr="00C5771B">
        <w:fldChar w:fldCharType="separate"/>
      </w:r>
      <w:r w:rsidR="00966081" w:rsidRPr="00966081">
        <w:rPr>
          <w:noProof/>
          <w:vertAlign w:val="superscript"/>
        </w:rPr>
        <w:t>47</w:t>
      </w:r>
      <w:r w:rsidR="00EE6CAA" w:rsidRPr="00C5771B">
        <w:fldChar w:fldCharType="end"/>
      </w:r>
      <w:r w:rsidR="00EE6CAA" w:rsidRPr="00C5771B">
        <w:t xml:space="preserve">, </w:t>
      </w:r>
      <w:r w:rsidR="00527192" w:rsidRPr="00C5771B">
        <w:t xml:space="preserve"> </w:t>
      </w:r>
      <m:oMath>
        <m:r>
          <m:rPr>
            <m:sty m:val="p"/>
          </m:rPr>
          <w:rPr>
            <w:rFonts w:ascii="Cambria Math" w:hAnsi="Cambria Math"/>
          </w:rPr>
          <m:t>ω</m:t>
        </m:r>
      </m:oMath>
      <w:r w:rsidR="00736D5C" w:rsidRPr="00C5771B">
        <w:rPr>
          <w:rFonts w:eastAsiaTheme="minorEastAsia"/>
          <w:iCs/>
        </w:rPr>
        <w:t>B97X, and LC-BLYP</w:t>
      </w:r>
      <w:r w:rsidR="00CA33BB" w:rsidRPr="00C5771B">
        <w:rPr>
          <w:rFonts w:eastAsiaTheme="minorEastAsia"/>
          <w:iCs/>
        </w:rPr>
        <w:t xml:space="preserve"> </w:t>
      </w:r>
      <w:r w:rsidR="00EE6CAA" w:rsidRPr="00C5771B">
        <w:rPr>
          <w:rFonts w:eastAsiaTheme="minorEastAsia"/>
          <w:iCs/>
          <w:szCs w:val="24"/>
        </w:rPr>
        <w:fldChar w:fldCharType="begin" w:fldLock="1"/>
      </w:r>
      <w:r w:rsidR="00BA70FD">
        <w:rPr>
          <w:rFonts w:eastAsiaTheme="minorEastAsia"/>
          <w:iCs/>
          <w:szCs w:val="24"/>
        </w:rPr>
        <w:instrText>ADDIN CSL_CITATION {"citationItems":[{"id":"ITEM-1","itemData":{"DOI":"10.1063/1.1688752","ISSN":"00219606","PMID":"15267767","author":[{"dropping-particle":"","family":"Tawada","given":"Yoshihiro","non-dropping-particle":"","parse-names":false,"suffix":""},{"dropping-particle":"","family":"Tsuneda","given":"Takao","non-dropping-particle":"","parse-names":false,"suffix":""},{"dropping-particle":"","family":"Yanagisawa","given":"Susumu","non-dropping-particle":"","parse-names":false,"suffix":""},{"dropping-particle":"","family":"Yanai","given":"Takeshi","non-dropping-particle":"","parse-names":false,"suffix":""},{"dropping-particle":"","family":"Hirao","given":"Kimihiko","non-dropping-particle":"","parse-names":false,"suffix":""}],"container-title":"Journal of Chemical Physics","id":"ITEM-1","issue":"18","issued":{"date-parts":[["2004"]]},"page":"8425-8433","title":"A long-range-corrected time-dependent density functional theory","type":"article-journal","volume":"120"},"uris":["http://www.mendeley.com/documents/?uuid=506ffcbd-52ab-45c0-93dc-a05fc59aae14"]}],"mendeley":{"formattedCitation":"&lt;sup&gt;48&lt;/sup&gt;","plainTextFormattedCitation":"48","previouslyFormattedCitation":"&lt;sup&gt;48&lt;/sup&gt;"},"properties":{"noteIndex":0},"schema":"https://github.com/citation-style-language/schema/raw/master/csl-citation.json"}</w:instrText>
      </w:r>
      <w:r w:rsidR="00EE6CAA" w:rsidRPr="00C5771B">
        <w:rPr>
          <w:rFonts w:eastAsiaTheme="minorEastAsia"/>
          <w:iCs/>
          <w:szCs w:val="24"/>
        </w:rPr>
        <w:fldChar w:fldCharType="separate"/>
      </w:r>
      <w:r w:rsidR="00966081" w:rsidRPr="00966081">
        <w:rPr>
          <w:rFonts w:eastAsiaTheme="minorEastAsia"/>
          <w:iCs/>
          <w:noProof/>
          <w:szCs w:val="24"/>
          <w:vertAlign w:val="superscript"/>
        </w:rPr>
        <w:t>48</w:t>
      </w:r>
      <w:r w:rsidR="00EE6CAA" w:rsidRPr="00C5771B">
        <w:rPr>
          <w:rFonts w:eastAsiaTheme="minorEastAsia"/>
          <w:iCs/>
          <w:szCs w:val="24"/>
        </w:rPr>
        <w:fldChar w:fldCharType="end"/>
      </w:r>
      <w:r w:rsidR="00EE6CAA" w:rsidRPr="00C5771B">
        <w:rPr>
          <w:rFonts w:eastAsiaTheme="minorEastAsia"/>
          <w:iCs/>
          <w:sz w:val="21"/>
          <w:szCs w:val="16"/>
        </w:rPr>
        <w:t xml:space="preserve"> </w:t>
      </w:r>
      <w:r w:rsidR="00736D5C" w:rsidRPr="00C5771B">
        <w:rPr>
          <w:rFonts w:eastAsiaTheme="minorEastAsia"/>
          <w:iCs/>
        </w:rPr>
        <w:t xml:space="preserve">XCFs. The calculation parameters </w:t>
      </w:r>
      <w:r w:rsidRPr="00C5771B">
        <w:rPr>
          <w:rFonts w:eastAsiaTheme="minorEastAsia"/>
          <w:iCs/>
        </w:rPr>
        <w:t>we</w:t>
      </w:r>
      <w:r w:rsidR="00736D5C" w:rsidRPr="00C5771B">
        <w:rPr>
          <w:rFonts w:eastAsiaTheme="minorEastAsia"/>
          <w:iCs/>
        </w:rPr>
        <w:t xml:space="preserve">re: </w:t>
      </w:r>
      <w:r w:rsidR="00736D5C" w:rsidRPr="00C5771B">
        <w:t xml:space="preserve">TOLINTEG 9 9 9 30 70, SHRINK 6 6. These choices were made in line with the results of </w:t>
      </w:r>
      <w:proofErr w:type="spellStart"/>
      <w:r w:rsidR="00736D5C" w:rsidRPr="00C5771B">
        <w:t>Mairesse</w:t>
      </w:r>
      <w:proofErr w:type="spellEnd"/>
      <w:r w:rsidR="00736D5C" w:rsidRPr="00C5771B">
        <w:t xml:space="preserve"> et al.</w:t>
      </w:r>
      <w:r w:rsidR="00736D5C" w:rsidRPr="00C5771B">
        <w:fldChar w:fldCharType="begin" w:fldLock="1"/>
      </w:r>
      <w:r w:rsidR="00BA70FD">
        <w:instrText>ADDIN CSL_CITATION {"citationItems":[{"id":"ITEM-1","itemData":{"DOI":"10.1063/5.0137274","ISSN":"10897690","PMID":"36792490","abstract":"Using the CRYSTAL17 package at the coupled-perturbed Kohn-Sham (CPKS) level, periodic boundary conditions first-principles calculations are enacted to predict the second harmonic generation second-order nonlinear optical (NLO) susceptibility, χ(2), values of six historical NLO crystals. This selection allowed the comparison between state-of-the-art calculations and experiment. Several computational aspects are tackled to define conditions where the results are converged with respect to the range of lattice summations, to the number of k-points in the first Brillouin zone, to the order of the multipole expansions for evaluating the long-range part of the electrostatic interactions, as well as to the atomic basis set size. A valence triple zeta basis set supplemented with polarization functions has been selected. Then, χ(2) calculations have been performed using a range of exchange-correlation functionals (XCFs). Results show the large impact of the amount of Hartree-Fock (HF) exchange on the amplitude but also on the sign on the χ(2) tensor components. To a given extent, these amplitude effects are consistent with results on molecules, but the sign reversal effects and the non-monotonic behavior of the χ(2) tensor components as a function of the amount of HF exchange are scarcely found for molecules. Then, using the recommended range-separated hybrid XCFs, the CPKS scheme leads to good agreement with experimental data for potassium dihydrogenophosphate, urea, and χZXX(2) of LiNbO3. The agreement is more questionable for χZZZ(2) of LiNbO3 whereas it remains poor for ammonium dihydrogenophosphate and 2-methyl-4-nitroaniline, with large underestimations by about a factor of 3, opening a path to further fine-tuning of the ranges of inclusion of HF exchange.","author":[{"dropping-particle":"","family":"Mairesse","given":"François","non-dropping-particle":"","parse-names":false,"suffix":""},{"dropping-particle":"","family":"Maschio","given":"Lorenzo","non-dropping-particle":"","parse-names":false,"suffix":""},{"dropping-particle":"","family":"Champagne","given":"Benoît","non-dropping-particle":"","parse-names":false,"suffix":""}],"container-title":"Journal of Chemical Physics","id":"ITEM-1","issue":"6","issued":{"date-parts":[["2023"]]},"publisher":"AIP Publishing, LLC","title":"First-principles evaluation of the second harmonic generation response of reference organic and inorganic crystals","type":"article-journal","volume":"158"},"uris":["http://www.mendeley.com/documents/?uuid=f9de6174-f948-4bb4-85e1-5c1c64b8544a"]}],"mendeley":{"formattedCitation":"&lt;sup&gt;49&lt;/sup&gt;","plainTextFormattedCitation":"49","previouslyFormattedCitation":"&lt;sup&gt;49&lt;/sup&gt;"},"properties":{"noteIndex":0},"schema":"https://github.com/citation-style-language/schema/raw/master/csl-citation.json"}</w:instrText>
      </w:r>
      <w:r w:rsidR="00736D5C" w:rsidRPr="00C5771B">
        <w:fldChar w:fldCharType="separate"/>
      </w:r>
      <w:r w:rsidR="00966081" w:rsidRPr="00966081">
        <w:rPr>
          <w:noProof/>
          <w:vertAlign w:val="superscript"/>
        </w:rPr>
        <w:t>49</w:t>
      </w:r>
      <w:r w:rsidR="00736D5C" w:rsidRPr="00C5771B">
        <w:fldChar w:fldCharType="end"/>
      </w:r>
      <w:r w:rsidR="00736D5C" w:rsidRPr="00C5771B">
        <w:t xml:space="preserve"> </w:t>
      </w:r>
      <w:r w:rsidR="00CA33BB" w:rsidRPr="00C5771B">
        <w:t xml:space="preserve"> </w:t>
      </w:r>
      <w:r w:rsidR="00736D5C" w:rsidRPr="00C5771B">
        <w:t xml:space="preserve">When using the </w:t>
      </w:r>
      <w:r w:rsidR="00736D5C" w:rsidRPr="00C5771B">
        <w:rPr>
          <w:rFonts w:eastAsiaTheme="minorEastAsia"/>
          <w:iCs/>
        </w:rPr>
        <w:t xml:space="preserve">LC-BLYP XCF, the percentage of Hartree-Fock exchange at long-range (for an infinite inter-electronic distance) was tuned, with the objective of reproducing the </w:t>
      </w:r>
      <w:r w:rsidR="00A17D92" w:rsidRPr="00C5771B">
        <w:rPr>
          <w:rFonts w:eastAsiaTheme="minorEastAsia"/>
          <w:iCs/>
        </w:rPr>
        <w:t>experimental</w:t>
      </w:r>
      <w:r w:rsidR="00736D5C" w:rsidRPr="00C5771B">
        <w:rPr>
          <w:rFonts w:eastAsiaTheme="minorEastAsia"/>
          <w:iCs/>
        </w:rPr>
        <w:t xml:space="preserve"> </w:t>
      </w:r>
      <w:r w:rsidR="00544583" w:rsidRPr="00B66B9D">
        <w:rPr>
          <w:rFonts w:eastAsiaTheme="minorEastAsia"/>
          <w:iCs/>
        </w:rPr>
        <w:t>optical</w:t>
      </w:r>
      <w:r w:rsidR="00544583">
        <w:rPr>
          <w:rFonts w:eastAsiaTheme="minorEastAsia"/>
          <w:iCs/>
        </w:rPr>
        <w:t xml:space="preserve"> </w:t>
      </w:r>
      <w:r w:rsidR="00736D5C" w:rsidRPr="00C5771B">
        <w:rPr>
          <w:rFonts w:eastAsiaTheme="minorEastAsia"/>
          <w:iCs/>
        </w:rPr>
        <w:t xml:space="preserve">band gap, which amounts to </w:t>
      </w:r>
      <w:r w:rsidR="00A17D92" w:rsidRPr="00C5771B">
        <w:rPr>
          <w:rFonts w:eastAsiaTheme="minorEastAsia"/>
          <w:iCs/>
        </w:rPr>
        <w:t>4.5 eV</w:t>
      </w:r>
      <w:r w:rsidR="00A17D92" w:rsidRPr="00C5771B">
        <w:rPr>
          <w:rFonts w:eastAsiaTheme="minorEastAsia"/>
          <w:iCs/>
        </w:rPr>
        <w:fldChar w:fldCharType="begin" w:fldLock="1"/>
      </w:r>
      <w:r w:rsidR="00BA70FD">
        <w:rPr>
          <w:rFonts w:eastAsiaTheme="minorEastAsia"/>
          <w:iCs/>
        </w:rPr>
        <w:instrText>ADDIN CSL_CITATION {"citationItems":[{"id":"ITEM-1","itemData":{"DOI":"10.3390/molecules27196240","ISSN":"1420-3049","abstract":"The phonon properties and thermodynamics of four crystalline cellulose allomorphs, Iα, Iβ, II, and III1, have been investigated using dispersion-corrected density functional theory (DFT). In line with experimental findings, the free energy differences between the studied cellulose allomorphs are small, less than 1 kJ/mol per atom. The calculated specific heat at constant volume (Cv) has been compared with the available experimental data in the temperature range 10–300 K. Quasiharmonic approximation has been employed to study thermodynamics and specific heat at constant pressure (Cp). For the studied temperature range of 10–400 K, the specific heat of all cellulose allomorphs shows very similar behavior. The calculated and experimental specific heat agree well at low temperatures below 100 K, but the deviation between theory and experiment increases with temperature. This may be due to increasing phonon anharmonicity as the temperature increases.","author":[{"dropping-particle":"","family":"Srivastava","given":"Divya","non-dropping-particle":"","parse-names":false,"suffix":""},{"dropping-particle":"","family":"Ahopelto","given":"Jouni","non-dropping-particle":"","parse-names":false,"suffix":""},{"dropping-particle":"","family":"Karttunen","given":"Antti J.","non-dropping-particle":"","parse-names":false,"suffix":""}],"container-title":"Molecules","id":"ITEM-1","issue":"19","issued":{"date-parts":[["2022","9","22"]]},"page":"6240","title":"Thermodynamic Properties of Crystalline Cellulose Allomorphs Studied with Dispersion-Corrected Density Functional Methods","type":"article-journal","volume":"27"},"uris":["http://www.mendeley.com/documents/?uuid=76d0c68c-28e8-4675-9006-e06e039e92e6"]}],"mendeley":{"formattedCitation":"&lt;sup&gt;50&lt;/sup&gt;","plainTextFormattedCitation":"50","previouslyFormattedCitation":"&lt;sup&gt;50&lt;/sup&gt;"},"properties":{"noteIndex":0},"schema":"https://github.com/citation-style-language/schema/raw/master/csl-citation.json"}</w:instrText>
      </w:r>
      <w:r w:rsidR="00A17D92" w:rsidRPr="00C5771B">
        <w:rPr>
          <w:rFonts w:eastAsiaTheme="minorEastAsia"/>
          <w:iCs/>
        </w:rPr>
        <w:fldChar w:fldCharType="separate"/>
      </w:r>
      <w:r w:rsidR="00966081" w:rsidRPr="00966081">
        <w:rPr>
          <w:rFonts w:eastAsiaTheme="minorEastAsia"/>
          <w:iCs/>
          <w:noProof/>
          <w:vertAlign w:val="superscript"/>
        </w:rPr>
        <w:t>50</w:t>
      </w:r>
      <w:r w:rsidR="00A17D92" w:rsidRPr="00C5771B">
        <w:rPr>
          <w:rFonts w:eastAsiaTheme="minorEastAsia"/>
          <w:iCs/>
        </w:rPr>
        <w:fldChar w:fldCharType="end"/>
      </w:r>
      <w:r w:rsidR="00A17D92" w:rsidRPr="00C5771B">
        <w:rPr>
          <w:rFonts w:eastAsiaTheme="minorEastAsia"/>
          <w:iCs/>
        </w:rPr>
        <w:t xml:space="preserve"> </w:t>
      </w:r>
      <w:r w:rsidR="00A17D92" w:rsidRPr="00C5771B">
        <w:rPr>
          <w:vertAlign w:val="superscript"/>
        </w:rPr>
        <w:t>and references therein</w:t>
      </w:r>
      <w:r w:rsidR="00A17D92" w:rsidRPr="00C5771B">
        <w:rPr>
          <w:rFonts w:eastAsiaTheme="minorEastAsia"/>
          <w:iCs/>
        </w:rPr>
        <w:t xml:space="preserve"> </w:t>
      </w:r>
      <w:r w:rsidR="00053708">
        <w:rPr>
          <w:rFonts w:eastAsiaTheme="minorEastAsia"/>
          <w:iCs/>
        </w:rPr>
        <w:t xml:space="preserve">. </w:t>
      </w:r>
      <w:r w:rsidR="00A17D92" w:rsidRPr="00C5771B">
        <w:rPr>
          <w:rFonts w:eastAsiaTheme="minorEastAsia"/>
          <w:iCs/>
        </w:rPr>
        <w:t xml:space="preserve">From literature, other PBC calculations have reported </w:t>
      </w:r>
      <w:r w:rsidR="002A0B07" w:rsidRPr="00C5771B">
        <w:rPr>
          <w:rFonts w:eastAsiaTheme="minorEastAsia"/>
          <w:iCs/>
        </w:rPr>
        <w:t>electronic</w:t>
      </w:r>
      <w:r w:rsidR="00A17D92" w:rsidRPr="00C5771B">
        <w:rPr>
          <w:rFonts w:eastAsiaTheme="minorEastAsia"/>
          <w:iCs/>
        </w:rPr>
        <w:t xml:space="preserve"> band gap</w:t>
      </w:r>
      <w:r w:rsidR="002A0B07" w:rsidRPr="00C5771B">
        <w:rPr>
          <w:rFonts w:eastAsiaTheme="minorEastAsia"/>
          <w:iCs/>
        </w:rPr>
        <w:t>s</w:t>
      </w:r>
      <w:r w:rsidR="00A17D92" w:rsidRPr="00C5771B">
        <w:rPr>
          <w:rFonts w:eastAsiaTheme="minorEastAsia"/>
          <w:iCs/>
        </w:rPr>
        <w:t xml:space="preserve">: </w:t>
      </w:r>
      <w:r w:rsidR="00736D5C" w:rsidRPr="00C5771B">
        <w:rPr>
          <w:rFonts w:eastAsiaTheme="minorEastAsia"/>
          <w:iCs/>
        </w:rPr>
        <w:t>5.5</w:t>
      </w:r>
      <w:r w:rsidR="00A2335D">
        <w:rPr>
          <w:rFonts w:eastAsiaTheme="minorEastAsia"/>
          <w:iCs/>
        </w:rPr>
        <w:t> </w:t>
      </w:r>
      <w:r w:rsidR="00736D5C" w:rsidRPr="00C5771B">
        <w:rPr>
          <w:rFonts w:eastAsiaTheme="minorEastAsia"/>
          <w:iCs/>
        </w:rPr>
        <w:t>eV</w:t>
      </w:r>
      <w:r w:rsidR="00736D5C" w:rsidRPr="00C5771B">
        <w:rPr>
          <w:vertAlign w:val="superscript"/>
        </w:rPr>
        <w:fldChar w:fldCharType="begin" w:fldLock="1"/>
      </w:r>
      <w:r w:rsidR="00BA70FD">
        <w:rPr>
          <w:vertAlign w:val="superscript"/>
        </w:rPr>
        <w:instrText>ADDIN CSL_CITATION {"citationItems":[{"id":"ITEM-1","itemData":{"DOI":"10.3390/molecules27196240","ISSN":"1420-3049","abstract":"The phonon properties and thermodynamics of four crystalline cellulose allomorphs, Iα, Iβ, II, and III1, have been investigated using dispersion-corrected density functional theory (DFT). In line with experimental findings, the free energy differences between the studied cellulose allomorphs are small, less than 1 kJ/mol per atom. The calculated specific heat at constant volume (Cv) has been compared with the available experimental data in the temperature range 10–300 K. Quasiharmonic approximation has been employed to study thermodynamics and specific heat at constant pressure (Cp). For the studied temperature range of 10–400 K, the specific heat of all cellulose allomorphs shows very similar behavior. The calculated and experimental specific heat agree well at low temperatures below 100 K, but the deviation between theory and experiment increases with temperature. This may be due to increasing phonon anharmonicity as the temperature increases.","author":[{"dropping-particle":"","family":"Srivastava","given":"Divya","non-dropping-particle":"","parse-names":false,"suffix":""},{"dropping-particle":"","family":"Ahopelto","given":"Jouni","non-dropping-particle":"","parse-names":false,"suffix":""},{"dropping-particle":"","family":"Karttunen","given":"Antti J.","non-dropping-particle":"","parse-names":false,"suffix":""}],"container-title":"Molecules","id":"ITEM-1","issue":"19","issued":{"date-parts":[["2022","9","22"]]},"page":"6240","title":"Thermodynamic Properties of Crystalline Cellulose Allomorphs Studied with Dispersion-Corrected Density Functional Methods","type":"article-journal","volume":"27"},"uris":["http://www.mendeley.com/documents/?uuid=76d0c68c-28e8-4675-9006-e06e039e92e6"]}],"mendeley":{"formattedCitation":"&lt;sup&gt;50&lt;/sup&gt;","plainTextFormattedCitation":"50","previouslyFormattedCitation":"&lt;sup&gt;50&lt;/sup&gt;"},"properties":{"noteIndex":0},"schema":"https://github.com/citation-style-language/schema/raw/master/csl-citation.json"}</w:instrText>
      </w:r>
      <w:r w:rsidR="00736D5C" w:rsidRPr="00C5771B">
        <w:rPr>
          <w:vertAlign w:val="superscript"/>
        </w:rPr>
        <w:fldChar w:fldCharType="separate"/>
      </w:r>
      <w:r w:rsidR="00966081" w:rsidRPr="00966081">
        <w:rPr>
          <w:noProof/>
          <w:vertAlign w:val="superscript"/>
        </w:rPr>
        <w:t>50</w:t>
      </w:r>
      <w:r w:rsidR="00736D5C" w:rsidRPr="00C5771B">
        <w:rPr>
          <w:vertAlign w:val="superscript"/>
        </w:rPr>
        <w:fldChar w:fldCharType="end"/>
      </w:r>
      <w:r w:rsidR="00736D5C" w:rsidRPr="00C5771B">
        <w:rPr>
          <w:rFonts w:eastAsiaTheme="minorEastAsia"/>
          <w:iCs/>
        </w:rPr>
        <w:t>(PBE-D2, def2-TZVP), 8.1 eV</w:t>
      </w:r>
      <w:r w:rsidR="00736D5C" w:rsidRPr="00C5771B">
        <w:rPr>
          <w:vertAlign w:val="superscript"/>
        </w:rPr>
        <w:fldChar w:fldCharType="begin" w:fldLock="1"/>
      </w:r>
      <w:r w:rsidR="00BA70FD">
        <w:rPr>
          <w:vertAlign w:val="superscript"/>
        </w:rPr>
        <w:instrText>ADDIN CSL_CITATION {"citationItems":[{"id":"ITEM-1","itemData":{"DOI":"10.3390/molecules27196240","ISSN":"1420-3049","abstract":"The phonon properties and thermodynamics of four crystalline cellulose allomorphs, Iα, Iβ, II, and III1, have been investigated using dispersion-corrected density functional theory (DFT). In line with experimental findings, the free energy differences between the studied cellulose allomorphs are small, less than 1 kJ/mol per atom. The calculated specific heat at constant volume (Cv) has been compared with the available experimental data in the temperature range 10–300 K. Quasiharmonic approximation has been employed to study thermodynamics and specific heat at constant pressure (Cp). For the studied temperature range of 10–400 K, the specific heat of all cellulose allomorphs shows very similar behavior. The calculated and experimental specific heat agree well at low temperatures below 100 K, but the deviation between theory and experiment increases with temperature. This may be due to increasing phonon anharmonicity as the temperature increases.","author":[{"dropping-particle":"","family":"Srivastava","given":"Divya","non-dropping-particle":"","parse-names":false,"suffix":""},{"dropping-particle":"","family":"Ahopelto","given":"Jouni","non-dropping-particle":"","parse-names":false,"suffix":""},{"dropping-particle":"","family":"Karttunen","given":"Antti J.","non-dropping-particle":"","parse-names":false,"suffix":""}],"container-title":"Molecules","id":"ITEM-1","issue":"19","issued":{"date-parts":[["2022","9","22"]]},"page":"6240","title":"Thermodynamic Properties of Crystalline Cellulose Allomorphs Studied with Dispersion-Corrected Density Functional Methods","type":"article-journal","volume":"27"},"uris":["http://www.mendeley.com/documents/?uuid=76d0c68c-28e8-4675-9006-e06e039e92e6"]}],"mendeley":{"formattedCitation":"&lt;sup&gt;50&lt;/sup&gt;","plainTextFormattedCitation":"50","previouslyFormattedCitation":"&lt;sup&gt;50&lt;/sup&gt;"},"properties":{"noteIndex":0},"schema":"https://github.com/citation-style-language/schema/raw/master/csl-citation.json"}</w:instrText>
      </w:r>
      <w:r w:rsidR="00736D5C" w:rsidRPr="00C5771B">
        <w:rPr>
          <w:vertAlign w:val="superscript"/>
        </w:rPr>
        <w:fldChar w:fldCharType="separate"/>
      </w:r>
      <w:r w:rsidR="00966081" w:rsidRPr="00966081">
        <w:rPr>
          <w:noProof/>
          <w:vertAlign w:val="superscript"/>
        </w:rPr>
        <w:t>50</w:t>
      </w:r>
      <w:r w:rsidR="00736D5C" w:rsidRPr="00C5771B">
        <w:rPr>
          <w:vertAlign w:val="superscript"/>
        </w:rPr>
        <w:fldChar w:fldCharType="end"/>
      </w:r>
      <w:r w:rsidR="00736D5C" w:rsidRPr="00C5771B">
        <w:rPr>
          <w:rFonts w:eastAsiaTheme="minorEastAsia"/>
          <w:iCs/>
        </w:rPr>
        <w:t xml:space="preserve"> (PBE0-D2, def2-TZVP),</w:t>
      </w:r>
      <w:r w:rsidR="00A17D92" w:rsidRPr="00C5771B">
        <w:rPr>
          <w:rFonts w:eastAsiaTheme="minorEastAsia"/>
          <w:iCs/>
        </w:rPr>
        <w:t xml:space="preserve"> and</w:t>
      </w:r>
      <w:r w:rsidR="00736D5C" w:rsidRPr="00C5771B">
        <w:rPr>
          <w:rFonts w:eastAsiaTheme="minorEastAsia"/>
          <w:iCs/>
        </w:rPr>
        <w:t xml:space="preserve"> 5.4 eV</w:t>
      </w:r>
      <w:r w:rsidR="00736D5C" w:rsidRPr="00C5771B">
        <w:rPr>
          <w:vertAlign w:val="superscript"/>
        </w:rPr>
        <w:fldChar w:fldCharType="begin" w:fldLock="1"/>
      </w:r>
      <w:r w:rsidR="00BA70FD">
        <w:rPr>
          <w:vertAlign w:val="superscript"/>
        </w:rPr>
        <w:instrText>ADDIN CSL_CITATION {"citationItems":[{"id":"ITEM-1","itemData":{"DOI":"10.1021/ma051683b","ISSN":"00249297","abstract":"A theoretical model based on the competition between hydrogen-bonding energy and strain energy was constructed to explain the size of native cellulose Iβ. The cellodextrins in native crystalline cellulose Iα and Iβ are unusually stable compared to other polysaccharides, not easily prone to hydrolysis even though they are only nanometers in diameter. The stability of crystalline cellulose Iβ is most likely due to its greatly enhanced hydrogen-bonding (HB) network. We carried out ab initio calculations to determine the native crystalline cellulose Iβ atomic and conformational structures. For crystalline cellulose, we found that every hydroxyl group in the cellulose structure is hydrogen bonded as both a donor and an acceptor. This agrees well with published X-ray and neutron diffraction data. We also determined the electronic structures and the energetics for one cellodextrin chain, one to four sheets of cellodextrins in cellulose, and the bulk cellulose Iβ. © 2005 American Chemical Society.","author":[{"dropping-particle":"","family":"Qian","given":"Xianghong","non-dropping-particle":"","parse-names":false,"suffix":""},{"dropping-particle":"","family":"Ding","given":"Shi You","non-dropping-particle":"","parse-names":false,"suffix":""},{"dropping-particle":"","family":"Nimlos","given":"Mark R.","non-dropping-particle":"","parse-names":false,"suffix":""},{"dropping-particle":"","family":"Johnson","given":"David K.","non-dropping-particle":"","parse-names":false,"suffix":""},{"dropping-particle":"","family":"Himmel","given":"Michael E.","non-dropping-particle":"","parse-names":false,"suffix":""}],"container-title":"Macromolecules","id":"ITEM-1","issue":"25","issued":{"date-parts":[["2005"]]},"page":"10580-10589","title":"Atomic and electronic structures of molecular crystalline cellulose Iβ: A first-principles investigation","type":"article-journal","volume":"38"},"uris":["http://www.mendeley.com/documents/?uuid=8cbeb0b1-ec45-4ad6-af98-b8437471645f"]}],"mendeley":{"formattedCitation":"&lt;sup&gt;51&lt;/sup&gt;","plainTextFormattedCitation":"51","previouslyFormattedCitation":"&lt;sup&gt;51&lt;/sup&gt;"},"properties":{"noteIndex":0},"schema":"https://github.com/citation-style-language/schema/raw/master/csl-citation.json"}</w:instrText>
      </w:r>
      <w:r w:rsidR="00736D5C" w:rsidRPr="00C5771B">
        <w:rPr>
          <w:vertAlign w:val="superscript"/>
        </w:rPr>
        <w:fldChar w:fldCharType="separate"/>
      </w:r>
      <w:r w:rsidR="00966081" w:rsidRPr="00966081">
        <w:rPr>
          <w:noProof/>
          <w:vertAlign w:val="superscript"/>
        </w:rPr>
        <w:t>51</w:t>
      </w:r>
      <w:r w:rsidR="00736D5C" w:rsidRPr="00C5771B">
        <w:rPr>
          <w:vertAlign w:val="superscript"/>
        </w:rPr>
        <w:fldChar w:fldCharType="end"/>
      </w:r>
      <w:r w:rsidR="00736D5C" w:rsidRPr="00C5771B">
        <w:rPr>
          <w:rFonts w:eastAsiaTheme="minorEastAsia"/>
          <w:iCs/>
        </w:rPr>
        <w:t xml:space="preserve"> (plane-wave based Car-Parrinello, BLYP)</w:t>
      </w:r>
      <w:r w:rsidR="002A0B07" w:rsidRPr="00C5771B">
        <w:rPr>
          <w:rFonts w:eastAsiaTheme="minorEastAsia"/>
          <w:iCs/>
        </w:rPr>
        <w:t>, which are in qualitative good agreement with experiment</w:t>
      </w:r>
      <w:r w:rsidR="00A2335D">
        <w:rPr>
          <w:rFonts w:eastAsiaTheme="minorEastAsia"/>
          <w:iCs/>
        </w:rPr>
        <w:t>al observations</w:t>
      </w:r>
      <w:r w:rsidR="002A0B07" w:rsidRPr="00C5771B">
        <w:rPr>
          <w:rFonts w:eastAsiaTheme="minorEastAsia"/>
          <w:iCs/>
        </w:rPr>
        <w:t xml:space="preserve"> since the optical gap is smaller than the electronic one (a value of ~6 eV is considered as the reference). </w:t>
      </w:r>
      <w:r w:rsidR="00736D5C" w:rsidRPr="00C5771B">
        <w:rPr>
          <w:rFonts w:eastAsiaTheme="minorEastAsia"/>
          <w:iCs/>
        </w:rPr>
        <w:t>So, the “LC-BLYPXX” notation means that there is XX % of Hartree-Fock exchange at infinite inter-electronic distance (</w:t>
      </w:r>
      <w:r w:rsidR="008D0964" w:rsidRPr="00C5771B">
        <w:rPr>
          <w:rFonts w:eastAsiaTheme="minorEastAsia"/>
          <w:iCs/>
        </w:rPr>
        <w:t xml:space="preserve">starting from </w:t>
      </w:r>
      <w:r w:rsidR="00736D5C" w:rsidRPr="00C5771B">
        <w:rPr>
          <w:rFonts w:eastAsiaTheme="minorEastAsia"/>
          <w:iCs/>
        </w:rPr>
        <w:t>0% for a zero inter-electronic distance).</w:t>
      </w:r>
    </w:p>
    <w:p w14:paraId="1F286781" w14:textId="10C3A154" w:rsidR="00C53A49" w:rsidRPr="00C5771B" w:rsidRDefault="00A17D92" w:rsidP="00C53A49">
      <w:pPr>
        <w:spacing w:after="0" w:line="480" w:lineRule="auto"/>
      </w:pPr>
      <w:r w:rsidRPr="00C5771B">
        <w:t>The</w:t>
      </w:r>
      <w:r w:rsidR="00C53A49" w:rsidRPr="00C5771B">
        <w:t xml:space="preserve"> relative permittivity tensor of the cellulose crystals</w:t>
      </w:r>
      <w:r w:rsidRPr="00C5771B">
        <w:t xml:space="preserve"> was calculated </w:t>
      </w:r>
      <w:r w:rsidR="00C53A49" w:rsidRPr="00C5771B">
        <w:t>from the unit cell polarizability</w:t>
      </w:r>
      <w:r w:rsidRPr="00C5771B">
        <w:t xml:space="preserve"> </w:t>
      </w:r>
      <m:oMath>
        <m:r>
          <w:rPr>
            <w:rFonts w:ascii="Cambria Math" w:eastAsiaTheme="minorEastAsia" w:hAnsi="Cambria Math" w:cs="Arial"/>
            <w:color w:val="222222"/>
            <w:shd w:val="clear" w:color="auto" w:fill="FFFFFF"/>
          </w:rPr>
          <m:t>α</m:t>
        </m:r>
      </m:oMath>
      <w:r w:rsidRPr="00C5771B">
        <w:t>,</w:t>
      </w:r>
      <w:r w:rsidR="00C53A49" w:rsidRPr="00C5771B">
        <w:t xml:space="preserve"> </w:t>
      </w:r>
      <w:r w:rsidRPr="00C5771B">
        <w:t>according to</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678"/>
      </w:tblGrid>
      <w:tr w:rsidR="00823FA2" w:rsidRPr="009950B4" w14:paraId="51AD20AF" w14:textId="77777777">
        <w:trPr>
          <w:trHeight w:val="850"/>
        </w:trPr>
        <w:tc>
          <w:tcPr>
            <w:tcW w:w="8960" w:type="dxa"/>
            <w:vAlign w:val="center"/>
          </w:tcPr>
          <w:p w14:paraId="07EBA441" w14:textId="77777777" w:rsidR="00823FA2" w:rsidRPr="00C5771B" w:rsidRDefault="00823FA2" w:rsidP="00823FA2">
            <w:pPr>
              <w:spacing w:after="0" w:line="480" w:lineRule="auto"/>
              <w:rPr>
                <w:color w:val="222222"/>
                <w:shd w:val="clear" w:color="auto" w:fill="FFFFFF"/>
              </w:rPr>
            </w:pPr>
            <m:oMathPara>
              <m:oMath>
                <m:r>
                  <w:rPr>
                    <w:rFonts w:ascii="Cambria Math" w:eastAsiaTheme="minorEastAsia" w:hAnsi="Cambria Math" w:cs="Arial"/>
                    <w:color w:val="222222"/>
                    <w:shd w:val="clear" w:color="auto" w:fill="FFFFFF"/>
                  </w:rPr>
                  <w:lastRenderedPageBreak/>
                  <m:t>ε=</m:t>
                </m:r>
                <m:sSup>
                  <m:sSupPr>
                    <m:ctrlPr>
                      <w:rPr>
                        <w:rFonts w:ascii="Cambria Math" w:eastAsiaTheme="minorEastAsia" w:hAnsi="Cambria Math" w:cs="Arial"/>
                        <w:i/>
                        <w:color w:val="222222"/>
                        <w:shd w:val="clear" w:color="auto" w:fill="FFFFFF"/>
                      </w:rPr>
                    </m:ctrlPr>
                  </m:sSupPr>
                  <m:e>
                    <m:r>
                      <w:rPr>
                        <w:rFonts w:ascii="Cambria Math" w:eastAsiaTheme="minorEastAsia" w:hAnsi="Cambria Math" w:cs="Arial"/>
                        <w:color w:val="222222"/>
                        <w:shd w:val="clear" w:color="auto" w:fill="FFFFFF"/>
                      </w:rPr>
                      <m:t>χ</m:t>
                    </m:r>
                  </m:e>
                  <m:sup>
                    <m:r>
                      <w:rPr>
                        <w:rFonts w:ascii="Cambria Math" w:eastAsiaTheme="minorEastAsia" w:hAnsi="Cambria Math" w:cs="Arial"/>
                        <w:color w:val="222222"/>
                        <w:shd w:val="clear" w:color="auto" w:fill="FFFFFF"/>
                      </w:rPr>
                      <m:t>(1)</m:t>
                    </m:r>
                  </m:sup>
                </m:sSup>
                <m:r>
                  <w:rPr>
                    <w:rFonts w:ascii="Cambria Math" w:eastAsiaTheme="minorEastAsia" w:hAnsi="Cambria Math" w:cs="Arial"/>
                    <w:color w:val="222222"/>
                    <w:shd w:val="clear" w:color="auto" w:fill="FFFFFF"/>
                  </w:rPr>
                  <m:t>+I=</m:t>
                </m:r>
                <m:f>
                  <m:fPr>
                    <m:ctrlPr>
                      <w:rPr>
                        <w:rFonts w:ascii="Cambria Math" w:eastAsiaTheme="minorEastAsia" w:hAnsi="Cambria Math" w:cs="Arial"/>
                        <w:i/>
                        <w:color w:val="222222"/>
                        <w:shd w:val="clear" w:color="auto" w:fill="FFFFFF"/>
                      </w:rPr>
                    </m:ctrlPr>
                  </m:fPr>
                  <m:num>
                    <m:r>
                      <w:rPr>
                        <w:rFonts w:ascii="Cambria Math" w:eastAsiaTheme="minorEastAsia" w:hAnsi="Cambria Math" w:cs="Arial"/>
                        <w:color w:val="222222"/>
                        <w:shd w:val="clear" w:color="auto" w:fill="FFFFFF"/>
                      </w:rPr>
                      <m:t>4πα</m:t>
                    </m:r>
                  </m:num>
                  <m:den>
                    <m:r>
                      <w:rPr>
                        <w:rFonts w:ascii="Cambria Math" w:eastAsiaTheme="minorEastAsia" w:hAnsi="Cambria Math" w:cs="Arial"/>
                        <w:color w:val="222222"/>
                        <w:shd w:val="clear" w:color="auto" w:fill="FFFFFF"/>
                      </w:rPr>
                      <m:t>V</m:t>
                    </m:r>
                  </m:den>
                </m:f>
                <m:r>
                  <w:rPr>
                    <w:rFonts w:ascii="Cambria Math" w:eastAsiaTheme="minorEastAsia" w:hAnsi="Cambria Math" w:cs="Arial"/>
                    <w:color w:val="222222"/>
                    <w:shd w:val="clear" w:color="auto" w:fill="FFFFFF"/>
                  </w:rPr>
                  <m:t>+I</m:t>
                </m:r>
              </m:oMath>
            </m:oMathPara>
          </w:p>
          <w:p w14:paraId="3EECC0E0" w14:textId="20195C03" w:rsidR="00823FA2" w:rsidRPr="00C5771B" w:rsidRDefault="00823FA2">
            <w:pPr>
              <w:pStyle w:val="TAMainText"/>
              <w:rPr>
                <w:rFonts w:eastAsia="Times New Roman" w:cs="Times New Roman"/>
              </w:rPr>
            </w:pPr>
          </w:p>
        </w:tc>
        <w:tc>
          <w:tcPr>
            <w:tcW w:w="678" w:type="dxa"/>
            <w:vAlign w:val="center"/>
          </w:tcPr>
          <w:p w14:paraId="1BB0334F" w14:textId="42D5A557" w:rsidR="00823FA2" w:rsidRPr="00C5771B" w:rsidRDefault="00000000">
            <w:pPr>
              <w:pStyle w:val="TAMainText"/>
            </w:pPr>
            <m:oMathPara>
              <m:oMath>
                <m:d>
                  <m:dPr>
                    <m:ctrlPr>
                      <w:rPr>
                        <w:rFonts w:ascii="Cambria Math" w:hAnsi="Cambria Math"/>
                      </w:rPr>
                    </m:ctrlPr>
                  </m:dPr>
                  <m:e>
                    <m:r>
                      <w:rPr>
                        <w:rFonts w:ascii="Cambria Math" w:hAnsi="Cambria Math"/>
                      </w:rPr>
                      <m:t>9</m:t>
                    </m:r>
                  </m:e>
                </m:d>
              </m:oMath>
            </m:oMathPara>
          </w:p>
        </w:tc>
      </w:tr>
    </w:tbl>
    <w:p w14:paraId="5D4D66C7" w14:textId="3A02786D" w:rsidR="00C53A49" w:rsidRPr="00C5771B" w:rsidRDefault="00823FA2" w:rsidP="008C2CB1">
      <w:pPr>
        <w:spacing w:after="0" w:line="480" w:lineRule="auto"/>
        <w:rPr>
          <w:rFonts w:eastAsiaTheme="minorEastAsia"/>
          <w:iCs/>
        </w:rPr>
      </w:pPr>
      <w:r w:rsidRPr="00C5771B">
        <w:rPr>
          <w:color w:val="222222"/>
          <w:shd w:val="clear" w:color="auto" w:fill="FFFFFF"/>
        </w:rPr>
        <w:t>w</w:t>
      </w:r>
      <w:r w:rsidR="00C53A49" w:rsidRPr="00C5771B">
        <w:rPr>
          <w:color w:val="222222"/>
          <w:shd w:val="clear" w:color="auto" w:fill="FFFFFF"/>
        </w:rPr>
        <w:t xml:space="preserve">here </w:t>
      </w:r>
      <m:oMath>
        <m:sSup>
          <m:sSupPr>
            <m:ctrlPr>
              <w:rPr>
                <w:rFonts w:ascii="Cambria Math" w:eastAsiaTheme="minorEastAsia" w:hAnsi="Cambria Math" w:cs="Arial"/>
                <w:i/>
                <w:color w:val="222222"/>
                <w:shd w:val="clear" w:color="auto" w:fill="FFFFFF"/>
              </w:rPr>
            </m:ctrlPr>
          </m:sSupPr>
          <m:e>
            <m:r>
              <w:rPr>
                <w:rFonts w:ascii="Cambria Math" w:eastAsiaTheme="minorEastAsia" w:hAnsi="Cambria Math" w:cs="Arial"/>
                <w:color w:val="222222"/>
                <w:shd w:val="clear" w:color="auto" w:fill="FFFFFF"/>
              </w:rPr>
              <m:t>χ</m:t>
            </m:r>
          </m:e>
          <m:sup>
            <m:r>
              <w:rPr>
                <w:rFonts w:ascii="Cambria Math" w:eastAsiaTheme="minorEastAsia" w:hAnsi="Cambria Math" w:cs="Arial"/>
                <w:color w:val="222222"/>
                <w:shd w:val="clear" w:color="auto" w:fill="FFFFFF"/>
              </w:rPr>
              <m:t>(1)</m:t>
            </m:r>
          </m:sup>
        </m:sSup>
      </m:oMath>
      <w:r w:rsidR="00C53A49" w:rsidRPr="00C5771B">
        <w:rPr>
          <w:color w:val="222222"/>
          <w:shd w:val="clear" w:color="auto" w:fill="FFFFFF"/>
        </w:rPr>
        <w:t xml:space="preserve"> is the linear electric susceptibility</w:t>
      </w:r>
      <w:r w:rsidR="00A17D92" w:rsidRPr="00C5771B">
        <w:rPr>
          <w:color w:val="222222"/>
          <w:shd w:val="clear" w:color="auto" w:fill="FFFFFF"/>
        </w:rPr>
        <w:t xml:space="preserve"> tensor</w:t>
      </w:r>
      <w:r w:rsidR="00C53A49" w:rsidRPr="00C5771B">
        <w:rPr>
          <w:color w:val="222222"/>
          <w:shd w:val="clear" w:color="auto" w:fill="FFFFFF"/>
        </w:rPr>
        <w:t xml:space="preserve">, </w:t>
      </w:r>
      <m:oMath>
        <m:r>
          <w:rPr>
            <w:rFonts w:ascii="Cambria Math" w:eastAsiaTheme="minorEastAsia" w:hAnsi="Cambria Math" w:cs="Arial"/>
            <w:color w:val="222222"/>
            <w:shd w:val="clear" w:color="auto" w:fill="FFFFFF"/>
          </w:rPr>
          <m:t>I</m:t>
        </m:r>
      </m:oMath>
      <w:r w:rsidR="00C53A49" w:rsidRPr="00C5771B">
        <w:rPr>
          <w:color w:val="222222"/>
          <w:shd w:val="clear" w:color="auto" w:fill="FFFFFF"/>
        </w:rPr>
        <w:t xml:space="preserve"> is the identity </w:t>
      </w:r>
      <w:r w:rsidR="00A17D92" w:rsidRPr="00C5771B">
        <w:rPr>
          <w:color w:val="222222"/>
          <w:shd w:val="clear" w:color="auto" w:fill="FFFFFF"/>
        </w:rPr>
        <w:t>tensor</w:t>
      </w:r>
      <w:r w:rsidR="00C53A49" w:rsidRPr="00C5771B">
        <w:rPr>
          <w:color w:val="222222"/>
          <w:shd w:val="clear" w:color="auto" w:fill="FFFFFF"/>
        </w:rPr>
        <w:t xml:space="preserve"> and </w:t>
      </w:r>
      <m:oMath>
        <m:r>
          <w:rPr>
            <w:rFonts w:ascii="Cambria Math" w:eastAsiaTheme="minorEastAsia" w:hAnsi="Cambria Math" w:cs="Arial"/>
            <w:color w:val="222222"/>
            <w:shd w:val="clear" w:color="auto" w:fill="FFFFFF"/>
          </w:rPr>
          <m:t>V</m:t>
        </m:r>
      </m:oMath>
      <w:r w:rsidR="00C53A49" w:rsidRPr="00C5771B">
        <w:rPr>
          <w:color w:val="222222"/>
          <w:shd w:val="clear" w:color="auto" w:fill="FFFFFF"/>
        </w:rPr>
        <w:t xml:space="preserve"> is the unit cell volume. Not</w:t>
      </w:r>
      <w:r w:rsidR="00334D1B" w:rsidRPr="00C5771B">
        <w:rPr>
          <w:color w:val="222222"/>
          <w:shd w:val="clear" w:color="auto" w:fill="FFFFFF"/>
        </w:rPr>
        <w:t>e</w:t>
      </w:r>
      <w:r w:rsidR="00C53A49" w:rsidRPr="00C5771B">
        <w:rPr>
          <w:color w:val="222222"/>
          <w:shd w:val="clear" w:color="auto" w:fill="FFFFFF"/>
        </w:rPr>
        <w:t xml:space="preserve"> that</w:t>
      </w:r>
      <w:r w:rsidR="00334D1B" w:rsidRPr="00C5771B">
        <w:rPr>
          <w:color w:val="222222"/>
          <w:shd w:val="clear" w:color="auto" w:fill="FFFFFF"/>
        </w:rPr>
        <w:t>, from a methodological</w:t>
      </w:r>
      <w:r w:rsidR="004D507F">
        <w:rPr>
          <w:color w:val="222222"/>
          <w:shd w:val="clear" w:color="auto" w:fill="FFFFFF"/>
        </w:rPr>
        <w:t xml:space="preserve"> and computational</w:t>
      </w:r>
      <w:r w:rsidR="00334D1B" w:rsidRPr="00C5771B">
        <w:rPr>
          <w:color w:val="222222"/>
          <w:shd w:val="clear" w:color="auto" w:fill="FFFFFF"/>
        </w:rPr>
        <w:t xml:space="preserve"> viewpoint,</w:t>
      </w:r>
      <w:r w:rsidR="00C53A49" w:rsidRPr="00C5771B">
        <w:rPr>
          <w:color w:val="222222"/>
          <w:shd w:val="clear" w:color="auto" w:fill="FFFFFF"/>
        </w:rPr>
        <w:t xml:space="preserve"> the same </w:t>
      </w:r>
      <w:r w:rsidR="008D0964" w:rsidRPr="00C5771B">
        <w:rPr>
          <w:color w:val="222222"/>
          <w:shd w:val="clear" w:color="auto" w:fill="FFFFFF"/>
        </w:rPr>
        <w:t xml:space="preserve">intermediate </w:t>
      </w:r>
      <w:r w:rsidR="00C53A49" w:rsidRPr="00C5771B">
        <w:rPr>
          <w:color w:val="222222"/>
          <w:shd w:val="clear" w:color="auto" w:fill="FFFFFF"/>
        </w:rPr>
        <w:t>matrices are needed to evaluate the polarizability as well as the first hyperpolarizability, that is</w:t>
      </w:r>
      <w:r w:rsidR="008D0964" w:rsidRPr="00C5771B">
        <w:rPr>
          <w:color w:val="222222"/>
          <w:shd w:val="clear" w:color="auto" w:fill="FFFFFF"/>
        </w:rPr>
        <w:t>,</w:t>
      </w:r>
      <w:r w:rsidR="00C53A49" w:rsidRPr="00C5771B">
        <w:rPr>
          <w:color w:val="222222"/>
          <w:shd w:val="clear" w:color="auto" w:fill="FFFFFF"/>
        </w:rPr>
        <w:t xml:space="preserve"> </w:t>
      </w:r>
      <w:r w:rsidR="00221432">
        <w:rPr>
          <w:color w:val="222222"/>
          <w:shd w:val="clear" w:color="auto" w:fill="FFFFFF"/>
        </w:rPr>
        <w:t xml:space="preserve">the </w:t>
      </w:r>
      <w:r w:rsidR="00C53A49" w:rsidRPr="00C5771B">
        <w:rPr>
          <w:color w:val="222222"/>
          <w:shd w:val="clear" w:color="auto" w:fill="FFFFFF"/>
        </w:rPr>
        <w:t>first</w:t>
      </w:r>
      <w:r w:rsidR="00CD57D0">
        <w:rPr>
          <w:color w:val="222222"/>
          <w:shd w:val="clear" w:color="auto" w:fill="FFFFFF"/>
        </w:rPr>
        <w:t>-order</w:t>
      </w:r>
      <w:r w:rsidR="00C53A49" w:rsidRPr="00C5771B">
        <w:rPr>
          <w:color w:val="222222"/>
          <w:shd w:val="clear" w:color="auto" w:fill="FFFFFF"/>
        </w:rPr>
        <w:t xml:space="preserve"> derivatives </w:t>
      </w:r>
      <w:r w:rsidR="00334D1B" w:rsidRPr="00C5771B">
        <w:rPr>
          <w:color w:val="222222"/>
          <w:shd w:val="clear" w:color="auto" w:fill="FFFFFF"/>
        </w:rPr>
        <w:t xml:space="preserve">of the wavefunction (LCAO coefficients) </w:t>
      </w:r>
      <w:r w:rsidR="00C53A49" w:rsidRPr="00C5771B">
        <w:rPr>
          <w:color w:val="222222"/>
          <w:shd w:val="clear" w:color="auto" w:fill="FFFFFF"/>
        </w:rPr>
        <w:t>with respect to the incident electric field, thanks to the Wigner 2n+1 rule,</w:t>
      </w:r>
      <w:r w:rsidR="00F05F4D" w:rsidRPr="00C5771B">
        <w:rPr>
          <w:color w:val="222222"/>
          <w:shd w:val="clear" w:color="auto" w:fill="FFFFFF"/>
        </w:rPr>
        <w:t xml:space="preserve"> </w:t>
      </w:r>
      <w:r w:rsidR="00C53A49" w:rsidRPr="00C5771B">
        <w:rPr>
          <w:color w:val="222222"/>
          <w:shd w:val="clear" w:color="auto" w:fill="FFFFFF"/>
        </w:rPr>
        <w:t xml:space="preserve">so that all the optical quantities are obtained from </w:t>
      </w:r>
      <w:r w:rsidR="00334D1B" w:rsidRPr="00C5771B">
        <w:rPr>
          <w:color w:val="222222"/>
          <w:shd w:val="clear" w:color="auto" w:fill="FFFFFF"/>
        </w:rPr>
        <w:t>the same set of</w:t>
      </w:r>
      <w:r w:rsidR="00C53A49" w:rsidRPr="00C5771B">
        <w:rPr>
          <w:color w:val="222222"/>
          <w:shd w:val="clear" w:color="auto" w:fill="FFFFFF"/>
        </w:rPr>
        <w:t xml:space="preserve"> calculation</w:t>
      </w:r>
      <w:r w:rsidR="00334D1B" w:rsidRPr="00C5771B">
        <w:rPr>
          <w:color w:val="222222"/>
          <w:shd w:val="clear" w:color="auto" w:fill="FFFFFF"/>
        </w:rPr>
        <w:t>s</w:t>
      </w:r>
      <w:r w:rsidR="00C53A49" w:rsidRPr="00C5771B">
        <w:rPr>
          <w:color w:val="222222"/>
          <w:shd w:val="clear" w:color="auto" w:fill="FFFFFF"/>
        </w:rPr>
        <w:t>.</w:t>
      </w:r>
      <w:r w:rsidR="0093739B" w:rsidRPr="00C5771B">
        <w:rPr>
          <w:color w:val="222222"/>
          <w:shd w:val="clear" w:color="auto" w:fill="FFFFFF"/>
        </w:rPr>
        <w:fldChar w:fldCharType="begin" w:fldLock="1"/>
      </w:r>
      <w:r w:rsidR="00BA70FD">
        <w:rPr>
          <w:color w:val="222222"/>
          <w:shd w:val="clear" w:color="auto" w:fill="FFFFFF"/>
        </w:rPr>
        <w:instrText>ADDIN CSL_CITATION {"citationItems":[{"id":"ITEM-1","itemData":{"author":[{"dropping-particle":"","family":"Neuman","given":"J","non-dropping-particle":"von","parse-names":false,"suffix":""},{"dropping-particle":"","family":"Wigner","given":"Eugene","non-dropping-particle":"","parse-names":false,"suffix":""}],"container-title":"Physikalische Zeitschrift","id":"ITEM-1","issue":"470","issued":{"date-parts":[["1929"]]},"page":"467","title":"Prozessen, Uber merkwürdige diskrete Eigenwerte. Uber das Verhalten von Eigenwerten bei adiabatischen","type":"article-journal","volume":"30"},"uris":["http://www.mendeley.com/documents/?uuid=5f256c08-4631-463c-8284-424e6b1bac34"]},{"id":"ITEM-2","itemData":{"author":[{"dropping-particle":"","family":"Wigner","given":"Eugene","non-dropping-particle":"","parse-names":false,"suffix":""}],"id":"ITEM-2","issued":{"date-parts":[["1993"]]},"title":"The Collected Works of Eugene Paul Wigner Part A: The Scientific Papers","type":"book"},"uris":["http://www.mendeley.com/documents/?uuid=b0009b3a-29d6-44d8-9e19-aa1eb0bb47b0"]}],"mendeley":{"formattedCitation":"&lt;sup&gt;52,53&lt;/sup&gt;","plainTextFormattedCitation":"52,53","previouslyFormattedCitation":"&lt;sup&gt;52,53&lt;/sup&gt;"},"properties":{"noteIndex":0},"schema":"https://github.com/citation-style-language/schema/raw/master/csl-citation.json"}</w:instrText>
      </w:r>
      <w:r w:rsidR="0093739B" w:rsidRPr="00C5771B">
        <w:rPr>
          <w:color w:val="222222"/>
          <w:shd w:val="clear" w:color="auto" w:fill="FFFFFF"/>
        </w:rPr>
        <w:fldChar w:fldCharType="separate"/>
      </w:r>
      <w:r w:rsidR="00966081" w:rsidRPr="00966081">
        <w:rPr>
          <w:noProof/>
          <w:color w:val="222222"/>
          <w:shd w:val="clear" w:color="auto" w:fill="FFFFFF"/>
          <w:vertAlign w:val="superscript"/>
        </w:rPr>
        <w:t>52,53</w:t>
      </w:r>
      <w:r w:rsidR="0093739B" w:rsidRPr="00C5771B">
        <w:rPr>
          <w:color w:val="222222"/>
          <w:shd w:val="clear" w:color="auto" w:fill="FFFFFF"/>
        </w:rPr>
        <w:fldChar w:fldCharType="end"/>
      </w:r>
      <w:r w:rsidR="00F05F4D" w:rsidRPr="00C5771B">
        <w:rPr>
          <w:color w:val="222222"/>
          <w:shd w:val="clear" w:color="auto" w:fill="FFFFFF"/>
        </w:rPr>
        <w:t xml:space="preserve"> </w:t>
      </w:r>
      <w:r w:rsidR="00C53A49" w:rsidRPr="00C5771B">
        <w:rPr>
          <w:rFonts w:eastAsiaTheme="minorEastAsia"/>
          <w:iCs/>
        </w:rPr>
        <w:t xml:space="preserve">More details about the </w:t>
      </w:r>
      <w:r w:rsidR="00334D1B" w:rsidRPr="00C5771B">
        <w:rPr>
          <w:rFonts w:eastAsiaTheme="minorEastAsia"/>
          <w:iCs/>
        </w:rPr>
        <w:t xml:space="preserve">PBC </w:t>
      </w:r>
      <w:r w:rsidR="00C53A49" w:rsidRPr="00C5771B">
        <w:rPr>
          <w:rFonts w:eastAsiaTheme="minorEastAsia"/>
          <w:iCs/>
        </w:rPr>
        <w:t>computation of the unit cell first hyperpolarizability at the DFT level are available in ESI.</w:t>
      </w:r>
      <w:r w:rsidR="004927DD">
        <w:rPr>
          <w:rFonts w:eastAsiaTheme="minorEastAsia"/>
          <w:iCs/>
        </w:rPr>
        <w:t>1</w:t>
      </w:r>
      <w:r w:rsidR="00D9499B">
        <w:rPr>
          <w:rFonts w:eastAsiaTheme="minorEastAsia"/>
          <w:iCs/>
        </w:rPr>
        <w:t>2</w:t>
      </w:r>
      <w:r w:rsidR="00BA70FD">
        <w:rPr>
          <w:rFonts w:eastAsiaTheme="minorEastAsia"/>
          <w:iCs/>
        </w:rPr>
        <w:fldChar w:fldCharType="begin" w:fldLock="1"/>
      </w:r>
      <w:r w:rsidR="00230CB5">
        <w:rPr>
          <w:rFonts w:eastAsiaTheme="minorEastAsia"/>
          <w:iCs/>
        </w:rPr>
        <w:instrText>ADDIN CSL_CITATION {"citationItems":[{"id":"ITEM-1","itemData":{"DOI":"10.1016/j.cplett.2004.06.011","ISSN":"00092614","abstract":"A new hybrid exchange-correlation functional named CAM-B3LYP is proposed. It combines the hybrid qualities of B3LYP and the long-range correction presented by Tawada et al. [J. Chem. Phys., in press]. We demonstrate that CAM-B3LYP yields atomization energies of similar quality to those from B3LYP, while also performing well for charge transfer excitations in a dipeptide model, which B3LYP underestimates enormously. The CAM-B3LYP functional comprises of 0.19 Hartree-Fock (HF) plus 0.81 Becke 1988 (B88) exchange interaction at short-range, and 0.65 HF plus 0.35 B88 at long-range. The intermediate region is smoothly described through the standard error function with parameter 0.33. © 2004 Elsevier B.V. All rights reserved.","author":[{"dropping-particle":"","family":"Yanai","given":"Takeshi","non-dropping-particle":"","parse-names":false,"suffix":""},{"dropping-particle":"","family":"Tew","given":"David P.","non-dropping-particle":"","parse-names":false,"suffix":""},{"dropping-particle":"","family":"Handy","given":"Nicholas C.","non-dropping-particle":"","parse-names":false,"suffix":""}],"container-title":"Chemical Physics Letters","id":"ITEM-1","issue":"1-3","issued":{"date-parts":[["2004"]]},"page":"51-57","title":"A new hybrid exchange-correlation functional using the Coulomb-attenuating method (CAM-B3LYP)","type":"article-journal","volume":"393"},"uris":["http://www.mendeley.com/documents/?uuid=a34e17f7-cc8e-43f0-b61c-738abfb83cb9"]},{"id":"ITEM-2","itemData":{"DOI":"10.1063/1.1688752","ISSN":"00219606","PMID":"15267767","author":[{"dropping-particle":"","family":"Tawada","given":"Yoshihiro","non-dropping-particle":"","parse-names":false,"suffix":""},{"dropping-particle":"","family":"Tsuneda","given":"Takao","non-dropping-particle":"","parse-names":false,"suffix":""},{"dropping-particle":"","family":"Yanagisawa","given":"Susumu","non-dropping-particle":"","parse-names":false,"suffix":""},{"dropping-particle":"","family":"Yanai","given":"Takeshi","non-dropping-particle":"","parse-names":false,"suffix":""},{"dropping-particle":"","family":"Hirao","given":"Kimihiko","non-dropping-particle":"","parse-names":false,"suffix":""}],"container-title":"Journal of Chemical Physics","id":"ITEM-2","issue":"18","issued":{"date-parts":[["2004"]]},"page":"8425-8433","title":"A long-range-corrected time-dependent density functional theory","type":"article-journal","volume":"120"},"uris":["http://www.mendeley.com/documents/?uuid=506ffcbd-52ab-45c0-93dc-a05fc59aae14"]},{"id":"ITEM-3","itemData":{"DOI":"10.1063/5.0137274","ISSN":"10897690","PMID":"36792490","abstract":"Using the CRYSTAL17 package at the coupled-perturbed Kohn-Sham (CPKS) level, periodic boundary conditions first-principles calculations are enacted to predict the second harmonic generation second-order nonlinear optical (NLO) susceptibility, χ(2), values of six historical NLO crystals. This selection allowed the comparison between state-of-the-art calculations and experiment. Several computational aspects are tackled to define conditions where the results are converged with respect to the range of lattice summations, to the number of k-points in the first Brillouin zone, to the order of the multipole expansions for evaluating the long-range part of the electrostatic interactions, as well as to the atomic basis set size. A valence triple zeta basis set supplemented with polarization functions has been selected. Then, χ(2) calculations have been performed using a range of exchange-correlation functionals (XCFs). Results show the large impact of the amount of Hartree-Fock (HF) exchange on the amplitude but also on the sign on the χ(2) tensor components. To a given extent, these amplitude effects are consistent with results on molecules, but the sign reversal effects and the non-monotonic behavior of the χ(2) tensor components as a function of the amount of HF exchange are scarcely found for molecules. Then, using the recommended range-separated hybrid XCFs, the CPKS scheme leads to good agreement with experimental data for potassium dihydrogenophosphate, urea, and χZXX(2) of LiNbO3. The agreement is more questionable for χZZZ(2) of LiNbO3 whereas it remains poor for ammonium dihydrogenophosphate and 2-methyl-4-nitroaniline, with large underestimations by about a factor of 3, opening a path to further fine-tuning of the ranges of inclusion of HF exchange.","author":[{"dropping-particle":"","family":"Mairesse","given":"François","non-dropping-particle":"","parse-names":false,"suffix":""},{"dropping-particle":"","family":"Maschio","given":"Lorenzo","non-dropping-particle":"","parse-names":false,"suffix":""},{"dropping-particle":"","family":"Champagne","given":"Benoît","non-dropping-particle":"","parse-names":false,"suffix":""}],"container-title":"Journal of Chemical Physics","id":"ITEM-3","issue":"6","issued":{"date-parts":[["2023"]]},"publisher":"AIP Publishing, LLC","title":"First-principles evaluation of the second harmonic generation response of reference organic and inorganic crystals","type":"article-journal","volume":"158"},"uris":["http://www.mendeley.com/documents/?uuid=f9de6174-f948-4bb4-85e1-5c1c64b8544a"]},{"id":"ITEM-4","itemData":{"DOI":"10.1039/d0cp02992k","ISSN":"14639076","PMID":"32677655","abstract":"The second-order nonlinear optical responses of a series of recently designed dipolar merocyanines are investigated using the 2006 Minnesota family of hybrid exchange-correlation functionals (XCFs), as well as the LC-BLYP, ωB97XD and CAM-B3LYP long-range (LR) corrected XCFs. The performance of these different levels of approximation is discussed in regard to reference second-order Møller-Plesset calculations and experimental data obtained from Hyper-Rayleigh Scattering (HRS) measurements. Particular focus is given to the influence of the amount of exact Hartree-Fock exchange included in the XCF on the magnitude of the static HRS responses, as well as to the impact of tuning the range-separation parameter in LR-XCFs, according to a system-specific nonempirical procedure. Frequency dispersion effects are also investigated, as well as their crucial role in the comparison between theoretical and experimental data. This journal is","author":[{"dropping-particle":"","family":"Lescos","given":"Laurie","non-dropping-particle":"","parse-names":false,"suffix":""},{"dropping-particle":"","family":"Sitkiewicz","given":"Sebastian P.","non-dropping-particle":"","parse-names":false,"suffix":""},{"dropping-particle":"","family":"Beaujean","given":"Pierre","non-dropping-particle":"","parse-names":false,"suffix":""},{"dropping-particle":"","family":"Blanchard-Desce","given":"Mireille","non-dropping-particle":"","parse-names":false,"suffix":""},{"dropping-particle":"","family":"Champagne","given":"Benoît","non-dropping-particle":"","parse-names":false,"suffix":""},{"dropping-particle":"","family":"Matito","given":"Eduard","non-dropping-particle":"","parse-names":false,"suffix":""},{"dropping-particle":"","family":"Castet","given":"Frédéric","non-dropping-particle":"","parse-names":false,"suffix":""}],"container-title":"Physical Chemistry Chemical Physics","id":"ITEM-4","issue":"29","issued":{"date-parts":[["2020"]]},"page":"16579-16594","title":"Performance of DFT functionals for calculating the second-order nonlinear optical properties of dipolar merocyanines","type":"article-journal","volume":"22"},"uris":["http://www.mendeley.com/documents/?uuid=442476ee-7d76-400c-a199-e3187995847e"]},{"id":"ITEM-5","itemData":{"DOI":"10.1021/ct500528z","ISSN":"15499626","abstract":"Organic electro-optic (OEO) materials integrated into silicon-organic hybrid devices afford significant improvements in size, weight, power, and bandwidth performance of integrated electronic/photonic systems critical for current and next generation telecommunication, computer, sensor, transportation, and defense technologies. Improvement in molecular first hyperpolarizability (β), and in turn electro-optic activity, is crucial to optimizing device performance. Common hybrid density functional theory (DFT) methods, while attractive due to their computational scaling, often perform poorly for optical properties in systems with substantial intramolecular charge-transfer character, such as OEO chromophores. This study evaluates the utility of the long-range corrected (LC) DFT methods for computation of the molecular second-order nonlinear optical response. We compare calculated results for a 14-molecule benchmark set of OEO chromophores with the corresponding experimentally measured β and one-photon absorption energy, λmax. We analyze the distance dependence of the fraction of exact exchange in LC-DFT methods for accurately computing these properties for OEO chromophores. We also examine systematic tuning of the range-separation parameter to enforce Koopmans'/ionization potential theorem. This tuning method improves prediction of excitation energies but is not reliable for predicting the hyperpolarizabilities of larger chromophores since the tuning parameter value can be too small, leading to instabilities in the computation of βHRS. Additionally, we find that the size dependence of the optimal tuning parameter for the ionization potential has the opposite size dependence of optimal tuning parameter for best agreement with the experimental λmax, suggesting the tuning for the ionization potential is unreliable for extended conjugated systems.","author":[{"dropping-particle":"","family":"Garrett","given":"Kerry","non-dropping-particle":"","parse-names":false,"suffix":""},{"dropping-particle":"","family":"Sosa Vazquez","given":"Xochitla","non-dropping-particle":"","parse-names":false,"suffix":""},{"dropping-particle":"","family":"Egri","given":"Shawn B.","non-dropping-particle":"","parse-names":false,"suffix":""},{"dropping-particle":"","family":"Wilmer","given":"Jacob","non-dropping-particle":"","parse-names":false,"suffix":""},{"dropping-particle":"","family":"Johnson","given":"Lewis E.","non-dropping-particle":"","parse-names":false,"suffix":""},{"dropping-particle":"","family":"Robinson","given":"Bruce H.","non-dropping-particle":"","parse-names":false,"suffix":""},{"dropping-particle":"","family":"Isborn","given":"Christine M.","non-dropping-particle":"","parse-names":false,"suffix":""}],"container-title":"Journal of Chemical Theory and Computation","id":"ITEM-5","issue":"9","issued":{"date-parts":[["2014"]]},"page":"3821-3831","title":"Optimum exchange for calculation of excitation energies and hyperpolarizabilities of organic electro-optic chromophores","type":"article-journal","volume":"10"},"uris":["http://www.mendeley.com/documents/?uuid=5791b0ef-a87c-4223-bd55-36811152b077"]}],"mendeley":{"formattedCitation":"&lt;sup&gt;47–49,54,55&lt;/sup&gt;","plainTextFormattedCitation":"47–49,54,55","previouslyFormattedCitation":"&lt;sup&gt;47–49,54,55&lt;/sup&gt;"},"properties":{"noteIndex":0},"schema":"https://github.com/citation-style-language/schema/raw/master/csl-citation.json"}</w:instrText>
      </w:r>
      <w:r w:rsidR="00BA70FD">
        <w:rPr>
          <w:rFonts w:eastAsiaTheme="minorEastAsia"/>
          <w:iCs/>
        </w:rPr>
        <w:fldChar w:fldCharType="separate"/>
      </w:r>
      <w:r w:rsidR="00D91D8C" w:rsidRPr="00D91D8C">
        <w:rPr>
          <w:rFonts w:eastAsiaTheme="minorEastAsia"/>
          <w:iCs/>
          <w:noProof/>
          <w:vertAlign w:val="superscript"/>
        </w:rPr>
        <w:t>47–49,54,55</w:t>
      </w:r>
      <w:r w:rsidR="00BA70FD">
        <w:rPr>
          <w:rFonts w:eastAsiaTheme="minorEastAsia"/>
          <w:iCs/>
        </w:rPr>
        <w:fldChar w:fldCharType="end"/>
      </w:r>
      <w:r w:rsidR="004927DD" w:rsidRPr="00C5771B">
        <w:rPr>
          <w:rFonts w:eastAsiaTheme="minorEastAsia"/>
          <w:iCs/>
        </w:rPr>
        <w:t xml:space="preserve"> </w:t>
      </w:r>
      <w:r w:rsidR="00C53A49" w:rsidRPr="00C5771B">
        <w:rPr>
          <w:rFonts w:eastAsiaTheme="minorEastAsia"/>
          <w:iCs/>
        </w:rPr>
        <w:t>and</w:t>
      </w:r>
      <w:r w:rsidR="00096CF9" w:rsidRPr="00C5771B">
        <w:rPr>
          <w:rFonts w:eastAsiaTheme="minorEastAsia"/>
          <w:iCs/>
        </w:rPr>
        <w:t xml:space="preserve"> the works of Dovesi </w:t>
      </w:r>
      <w:r w:rsidR="00096CF9" w:rsidRPr="0045333A">
        <w:rPr>
          <w:rFonts w:eastAsiaTheme="minorEastAsia"/>
          <w:i/>
        </w:rPr>
        <w:t>et al.</w:t>
      </w:r>
      <w:r w:rsidR="005E060A" w:rsidRPr="00C5771B">
        <w:rPr>
          <w:rFonts w:eastAsiaTheme="minorEastAsia"/>
          <w:iCs/>
        </w:rPr>
        <w:fldChar w:fldCharType="begin" w:fldLock="1"/>
      </w:r>
      <w:r w:rsidR="00230CB5">
        <w:rPr>
          <w:rFonts w:eastAsiaTheme="minorEastAsia"/>
          <w:iCs/>
        </w:rPr>
        <w:instrText>ADDIN CSL_CITATION {"citationItems":[{"id":"ITEM-1","itemData":{"DOI":"10.1002/qua.24658","ISSN":"1097461X","abstract":"The capabilities of the Crystal14 program are presented, and the improvements made with respect to the previous Crystal09 version discussed. Crystal14 is an ab initio code that uses a Gaussian-type basis set: both pseudopotential and all-electron strategies are permitted; the latter is not much more expensive than the former up to the first-second transition metal rows of the periodic table. A variety of density functionals is available, including as an extreme case Hartree-Fock; hybrids of various nature (global, range-separated, double) can be used. In particular, a very efficient implementation of global hybrids, such as popular B3LYP and PBE0 prescriptions, allows for such calculations to be performed at relatively low computational cost. The program can treat on the same grounds zero-dimensional (molecules), one-dimensional (polymers), two-dimensional (slabs), as well as three-dimensional (3D; crystals) systems. No spurious 3D periodicity is required for low-dimensional systems as happens when plane-waves are used as a basis set. Symmetry is fully exploited at all steps of the calculation; this permits, for example, to investigate nanotubes of increasing radius at a nearly constant cost (better than linear scaling!) or to perform self-consistent-field (SCF) calculations on fullerenes as large as (10,10), with 6000 atoms, 84,000 atomic orbitals, and 20 SCF cycles, on a single core in one day. Three versions of the code exist, serial, parallel, and massive-parallel. In the second one, the most relevant matrices are duplicated, whereas in the third one the matrices in reciprocal space are distributed for diagonalization. All the relevant vectors are now dynamically allocated and deallocated after use, making Crystal14 much more agile than the previous version, in which they were statically allocated. The program now fits more easily in low-memory machines (as many supercomputers nowadays are). Crystal14 can be used on parallel machines up to a high number of cores (benchmarks up to 10,240 cores are documented) with good scalability, the main limitation remaining the diagonalization step. Many tensorial properties can be evaluated in a fully automated way by using a single input keyword: elastic, piezoelectric, photoelastic, dielectric, as well as first and second hyperpolarizabilies, electric field gradients, Born tensors and so forth. Many tools permit a complete analysis of the vibrational properties of crystalline compounds. The infrared and Raman …","author":[{"dropping-particle":"","family":"Dovesi","given":"Roberto","non-dropping-particle":"","parse-names":false,"suffix":""},{"dropping-particle":"","family":"Orlando","given":"Roberto","non-dropping-particle":"","parse-names":false,"suffix":""},{"dropping-particle":"","family":"Erba","given":"Alessandro","non-dropping-particle":"","parse-names":false,"suffix":""},{"dropping-particle":"","family":"Zicovich-Wilson","given":"Claudio M.","non-dropping-particle":"","parse-names":false,"suffix":""},{"dropping-particle":"","family":"Civalleri","given":"Bartolomeo","non-dropping-particle":"","parse-names":false,"suffix":""},{"dropping-particle":"","family":"Casassa","given":"Silvia","non-dropping-particle":"","parse-names":false,"suffix":""},{"dropping-particle":"","family":"Maschio","given":"Lorenzo","non-dropping-particle":"","parse-names":false,"suffix":""},{"dropping-particle":"","family":"Ferrabone","given":"Matteo","non-dropping-particle":"","parse-names":false,"suffix":""},{"dropping-particle":"","family":"La Pierre","given":"Marco","non-dropping-particle":"De","parse-names":false,"suffix":""},{"dropping-particle":"","family":"D'Arco","given":"Philippe","non-dropping-particle":"","parse-names":false,"suffix":""},{"dropping-particle":"","family":"Noël","given":"Yves","non-dropping-particle":"","parse-names":false,"suffix":""},{"dropping-particle":"","family":"Causà","given":"Mauro","non-dropping-particle":"","parse-names":false,"suffix":""},{"dropping-particle":"","family":"Rérat","given":"Michel","non-dropping-particle":"","parse-names":false,"suffix":""},{"dropping-particle":"","family":"Kirtman","given":"Bernard","non-dropping-particle":"","parse-names":false,"suffix":""}],"container-title":"International Journal of Quantum Chemistry","id":"ITEM-1","issue":"19","issued":{"date-parts":[["2014"]]},"page":"1287-1317","title":"C RYSTAL14: A program for the ab initio investigation of crystalline solids","type":"article-journal","volume":"114"},"uris":["http://www.mendeley.com/documents/?uuid=762594c9-7d8d-45ff-9654-417c90aa2e83"]},{"id":"ITEM-2","itemData":{"DOI":"10.1063/1.3043366","ISSN":"00219606","abstract":"A computational scheme for the evaluation of the static first (Β) and second (γ) hyperpolarizability tensors of systems periodic in 1D (polymers), 2D (slabs), 3D (crystals), and, as a limiting case, 0D (molecules) has been implemented, within the coupled perturbed Hartree-Fock framework (CPHF), in the CRYSTAL code, which uses a Gaussian type basis set. This generalizes to 2D and 3D the work by Bishop (J. Chem. Phys. 114, 7633 (2001)). CPHF is applied for Β and γ (the polarizability tensor α is also reported for completeness) of LiF in different aggregation states: finite and infinite chains, slabs, and cubic crystal. Correctness of the computational scheme and its numerical efficiency are documented by the trend of Β and γ for increasing dimensionality: for a finite linear chain containing N LiF units, the hyperpolarizability tends to the infinite chain value at large N, N parallel chains give the slab value when N is sufficiently large, and N superimposed slabs tend to the bulk value. High numerical accuracy can be achieved at relatively low cost, with a dependence on the computational parameters similar to that observed for field-free self-consistent field (SCF) calculations. © 2008 American Institute of Physics.","author":[{"dropping-particle":"","family":"Ferrero","given":"Mauro","non-dropping-particle":"","parse-names":false,"suffix":""},{"dropping-particle":"","family":"Rérat","given":"Michel","non-dropping-particle":"","parse-names":false,"suffix":""},{"dropping-particle":"","family":"Kirtman","given":"Bernard","non-dropping-particle":"","parse-names":false,"suffix":""},{"dropping-particle":"","family":"Dovesi","given":"Roberto","non-dropping-particle":"","parse-names":false,"suffix":""}],"container-title":"Journal of Chemical Physics","id":"ITEM-2","issue":"24","issued":{"date-parts":[["2008"]]},"title":"Calculation of first and second static hyperpolarizabilities of one- to three-dimensional periodic compounds. Implementation in the CRYSTAL code","type":"article-journal","volume":"129"},"uris":["http://www.mendeley.com/documents/?uuid=c5cca5ed-f4ca-45ee-9af6-217be73ed19d"]},{"id":"ITEM-3","itemData":{"author":[{"dropping-particle":"","family":"Ferrero","given":"Mauro","non-dropping-particle":"","parse-names":false,"suffix":""},{"dropping-particle":"","family":"Rérat","given":"Michel","non-dropping-particle":"","parse-names":false,"suffix":""},{"dropping-particle":"","family":"Orlando","given":"Roberto","non-dropping-particle":"","parse-names":false,"suffix":""},{"dropping-particle":"","family":"Dovesi","given":"Roberto","non-dropping-particle":"","parse-names":false,"suffix":""}],"container-title":"J Comput Chem","id":"ITEM-3","issue":"29","issued":{"date-parts":[["2008"]]},"page":"1450-1459","title":"The Calculation of Static Polarizabilities of 1-3D Periodic Compounds. The Implementation in the CRYSTAL Code","type":"article-journal"},"uris":["http://www.mendeley.com/documents/?uuid=c8365659-156e-4f17-bc7b-aa292659a091"]},{"id":"ITEM-4","itemData":{"DOI":"10.1063/1.2817596","ISSN":"00219606","abstract":"A general and efficient implementation of the coupled perturbed Hartree-Fock (CPHF) scheme in the CRYSTAL06 code that applies to systems periodic in one dimension (polymers), two dimensions (slabs), three dimensions (crystals) and, as a limiting case, zero dimension (molecules) is presented. The dielectric tensor of large unit cell systems such as boehmite (γ-AlOOH, 8 atoms/cell), calcite (CaC O3, 10 atoms/cell), and pyrope (Mg3 Al2 Si3 O12, 80 atoms/cell) has been computed. Results are well converged with respect to the computational parameters, in particular, to the number of k points in the reciprocal space and tolerances used in the truncation of the Coulomb and exchange series, showing that the same standard computational conditions used for the self-consistent-field (SCF) step can also be used safely in a CPHF calculation. Point symmetry, being so important in determining crystal properties, also reduces dramatically the computational cost both of the preliminary SCF step and the CPHF calculation, so that the dielectric tensor for large unit cell systems such as pyrope can be computed within 2 CPU hours on a single processor PC. © 2008 American Institute of Physics.","author":[{"dropping-particle":"","family":"Ferrero","given":"Mauro","non-dropping-particle":"","parse-names":false,"suffix":""},{"dropping-particle":"","family":"Rérat","given":"Michel","non-dropping-particle":"","parse-names":false,"suffix":""},{"dropping-particle":"","family":"Orlando","given":"Roberto","non-dropping-particle":"","parse-names":false,"suffix":""},{"dropping-particle":"","family":"Dovesi","given":"Roberto","non-dropping-particle":"","parse-names":false,"suffix":""}],"container-title":"Journal of Chemical Physics","id":"ITEM-4","issue":"1","issued":{"date-parts":[["2008"]]},"title":"Coupled perturbed Hartree-Fock for periodic systems: The role of symmetry and related computational aspects","type":"article-journal","volume":"128"},"uris":["http://www.mendeley.com/documents/?uuid=d28469e2-0f63-4561-a4f8-23ff1671687d"]}],"mendeley":{"formattedCitation":"&lt;sup&gt;39,45,46,56&lt;/sup&gt;","plainTextFormattedCitation":"39,45,46,56","previouslyFormattedCitation":"&lt;sup&gt;39,45,46,56&lt;/sup&gt;"},"properties":{"noteIndex":0},"schema":"https://github.com/citation-style-language/schema/raw/master/csl-citation.json"}</w:instrText>
      </w:r>
      <w:r w:rsidR="005E060A" w:rsidRPr="00C5771B">
        <w:rPr>
          <w:rFonts w:eastAsiaTheme="minorEastAsia"/>
          <w:iCs/>
        </w:rPr>
        <w:fldChar w:fldCharType="separate"/>
      </w:r>
      <w:r w:rsidR="00D91D8C" w:rsidRPr="00D91D8C">
        <w:rPr>
          <w:rFonts w:eastAsiaTheme="minorEastAsia"/>
          <w:iCs/>
          <w:noProof/>
          <w:vertAlign w:val="superscript"/>
        </w:rPr>
        <w:t>39,45,46,56</w:t>
      </w:r>
      <w:r w:rsidR="005E060A" w:rsidRPr="00C5771B">
        <w:rPr>
          <w:rFonts w:eastAsiaTheme="minorEastAsia"/>
          <w:iCs/>
        </w:rPr>
        <w:fldChar w:fldCharType="end"/>
      </w:r>
      <w:r w:rsidR="00C53A49" w:rsidRPr="00C5771B">
        <w:rPr>
          <w:rFonts w:eastAsiaTheme="minorEastAsia"/>
          <w:iCs/>
        </w:rPr>
        <w:t xml:space="preserve"> </w:t>
      </w:r>
    </w:p>
    <w:p w14:paraId="638B7479" w14:textId="77777777" w:rsidR="00F61386" w:rsidRDefault="00F61386" w:rsidP="00C53A49">
      <w:pPr>
        <w:spacing w:after="0" w:line="480" w:lineRule="auto"/>
        <w:rPr>
          <w:b/>
          <w:bCs/>
          <w:highlight w:val="cyan"/>
        </w:rPr>
      </w:pPr>
    </w:p>
    <w:p w14:paraId="1A3636B9" w14:textId="3F77F179" w:rsidR="00C53A49" w:rsidRPr="00610FC0" w:rsidRDefault="00C53A49" w:rsidP="00C53A49">
      <w:pPr>
        <w:spacing w:after="0" w:line="480" w:lineRule="auto"/>
        <w:rPr>
          <w:b/>
          <w:bCs/>
        </w:rPr>
      </w:pPr>
      <w:r w:rsidRPr="00610FC0">
        <w:rPr>
          <w:b/>
          <w:bCs/>
        </w:rPr>
        <w:t>Electrostatic model to take into account the shape and dielectric properties of nanocrystals in solution</w:t>
      </w:r>
    </w:p>
    <w:p w14:paraId="1E9F033A" w14:textId="4CE629C2" w:rsidR="009950B4" w:rsidRPr="00610FC0" w:rsidRDefault="009950B4" w:rsidP="009950B4">
      <w:pPr>
        <w:pStyle w:val="TAMainText"/>
      </w:pPr>
      <w:r w:rsidRPr="00610FC0">
        <w:t xml:space="preserve">The nanocrystals in solution have prism/needle shapes, and their dielectric properties are different from the solvent (water) one, so that the electric field actually acting within the cellulose bulk is different from the one in the solvent. The local field factors needed to describe this effect can be tricky to compute, </w:t>
      </w:r>
      <w:r w:rsidR="008D0964" w:rsidRPr="00610FC0">
        <w:t>so</w:t>
      </w:r>
      <w:r w:rsidRPr="00610FC0">
        <w:t xml:space="preserve"> in order to improve the comparison of the theoretical results to the experimental ones, the first hyperpolarizability tensor can be altered according to a simple electrostatic model. The nanocrystals are thus approximated </w:t>
      </w:r>
      <w:r w:rsidR="0022087A">
        <w:t>as</w:t>
      </w:r>
      <w:r w:rsidR="0022087A" w:rsidRPr="00610FC0">
        <w:t xml:space="preserve"> </w:t>
      </w:r>
      <w:r w:rsidRPr="00610FC0">
        <w:t>ellipsoids of homogeneous material with anisotropic relative permittivity, see Fig</w:t>
      </w:r>
      <w:r w:rsidR="00610FC0">
        <w:t>. 2</w:t>
      </w:r>
      <w:r w:rsidRPr="00610FC0">
        <w:t xml:space="preserve">, embedded into a homogeneous dielectric (the solvent). Also, to maintain the workability of this idea, </w:t>
      </w:r>
      <w:r w:rsidR="00F61386" w:rsidRPr="00610FC0">
        <w:t>one</w:t>
      </w:r>
      <w:r w:rsidR="00E72F8C" w:rsidRPr="00610FC0">
        <w:t xml:space="preserve"> assume</w:t>
      </w:r>
      <w:r w:rsidR="00F61386" w:rsidRPr="00610FC0">
        <w:t>s</w:t>
      </w:r>
      <w:r w:rsidR="00E72F8C" w:rsidRPr="00610FC0">
        <w:t xml:space="preserve"> that </w:t>
      </w:r>
      <w:r w:rsidRPr="00610FC0">
        <w:t xml:space="preserve">the ellipsoid representing the nanocrystals </w:t>
      </w:r>
      <w:r w:rsidR="00E72F8C" w:rsidRPr="00610FC0">
        <w:t>has</w:t>
      </w:r>
      <w:r w:rsidRPr="00610FC0">
        <w:t xml:space="preserve"> a diagonal relative permittivity</w:t>
      </w:r>
      <w:r w:rsidR="00E72F8C" w:rsidRPr="00610FC0">
        <w:t xml:space="preserve"> and that the</w:t>
      </w:r>
      <w:r w:rsidRPr="00610FC0">
        <w:t xml:space="preserve"> </w:t>
      </w:r>
      <w:r w:rsidRPr="006010C6">
        <w:rPr>
          <w:i/>
          <w:iCs/>
        </w:rPr>
        <w:t>L</w:t>
      </w:r>
      <w:r w:rsidRPr="006010C6">
        <w:rPr>
          <w:i/>
          <w:iCs/>
          <w:vertAlign w:val="subscript"/>
        </w:rPr>
        <w:t>1</w:t>
      </w:r>
      <w:r w:rsidRPr="00610FC0">
        <w:t xml:space="preserve"> and </w:t>
      </w:r>
      <w:r w:rsidRPr="006010C6">
        <w:rPr>
          <w:i/>
          <w:iCs/>
        </w:rPr>
        <w:t>L</w:t>
      </w:r>
      <w:r w:rsidRPr="006010C6">
        <w:rPr>
          <w:i/>
          <w:iCs/>
          <w:vertAlign w:val="subscript"/>
        </w:rPr>
        <w:t>2</w:t>
      </w:r>
      <w:r w:rsidRPr="00610FC0">
        <w:t xml:space="preserve"> principal axes hav</w:t>
      </w:r>
      <w:r w:rsidR="00E72F8C" w:rsidRPr="00610FC0">
        <w:t>e</w:t>
      </w:r>
      <w:r w:rsidRPr="00610FC0">
        <w:t xml:space="preserve"> the same length.</w:t>
      </w:r>
    </w:p>
    <w:p w14:paraId="554B9B77" w14:textId="77777777" w:rsidR="009950B4" w:rsidRPr="00610FC0" w:rsidRDefault="009950B4" w:rsidP="009950B4">
      <w:pPr>
        <w:pStyle w:val="TAMainText"/>
        <w:keepNext/>
        <w:jc w:val="center"/>
      </w:pPr>
      <w:r w:rsidRPr="00610FC0">
        <w:rPr>
          <w:noProof/>
        </w:rPr>
        <w:lastRenderedPageBreak/>
        <w:drawing>
          <wp:inline distT="0" distB="0" distL="0" distR="0" wp14:anchorId="72EF1F37" wp14:editId="5A8D7BB6">
            <wp:extent cx="1705970" cy="989176"/>
            <wp:effectExtent l="0" t="0" r="0" b="1905"/>
            <wp:docPr id="972715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87934" name=""/>
                    <pic:cNvPicPr/>
                  </pic:nvPicPr>
                  <pic:blipFill>
                    <a:blip r:embed="rId14"/>
                    <a:stretch>
                      <a:fillRect/>
                    </a:stretch>
                  </pic:blipFill>
                  <pic:spPr>
                    <a:xfrm>
                      <a:off x="0" y="0"/>
                      <a:ext cx="1728146" cy="1002034"/>
                    </a:xfrm>
                    <a:prstGeom prst="rect">
                      <a:avLst/>
                    </a:prstGeom>
                  </pic:spPr>
                </pic:pic>
              </a:graphicData>
            </a:graphic>
          </wp:inline>
        </w:drawing>
      </w:r>
    </w:p>
    <w:p w14:paraId="320B497E" w14:textId="73438FB2" w:rsidR="00F82442" w:rsidRPr="00610FC0" w:rsidRDefault="009950B4" w:rsidP="00F923D0">
      <w:pPr>
        <w:pStyle w:val="Caption"/>
        <w:spacing w:line="480" w:lineRule="auto"/>
        <w:jc w:val="center"/>
        <w:rPr>
          <w:rFonts w:ascii="Times" w:hAnsi="Times" w:cs="Times"/>
          <w:color w:val="auto"/>
          <w:sz w:val="24"/>
          <w:szCs w:val="24"/>
        </w:rPr>
      </w:pPr>
      <w:r w:rsidRPr="00610FC0">
        <w:rPr>
          <w:rFonts w:ascii="Times" w:hAnsi="Times" w:cs="Times"/>
          <w:color w:val="auto"/>
          <w:sz w:val="24"/>
          <w:szCs w:val="24"/>
        </w:rPr>
        <w:t>Fig</w:t>
      </w:r>
      <w:r w:rsidR="00135C49" w:rsidRPr="00610FC0">
        <w:rPr>
          <w:rFonts w:ascii="Times" w:hAnsi="Times" w:cs="Times"/>
          <w:color w:val="auto"/>
          <w:sz w:val="24"/>
          <w:szCs w:val="24"/>
        </w:rPr>
        <w:t>ure</w:t>
      </w:r>
      <w:r w:rsidRPr="00610FC0">
        <w:rPr>
          <w:rFonts w:ascii="Times" w:hAnsi="Times" w:cs="Times"/>
          <w:color w:val="auto"/>
          <w:sz w:val="24"/>
          <w:szCs w:val="24"/>
        </w:rPr>
        <w:t xml:space="preserve"> </w:t>
      </w:r>
      <w:r w:rsidR="00610FC0">
        <w:rPr>
          <w:rFonts w:ascii="Times" w:hAnsi="Times" w:cs="Times"/>
          <w:color w:val="auto"/>
          <w:sz w:val="24"/>
          <w:szCs w:val="24"/>
        </w:rPr>
        <w:t>2</w:t>
      </w:r>
      <w:r w:rsidR="00135C49" w:rsidRPr="00610FC0">
        <w:rPr>
          <w:rFonts w:ascii="Times" w:hAnsi="Times" w:cs="Times"/>
          <w:color w:val="auto"/>
          <w:sz w:val="24"/>
          <w:szCs w:val="24"/>
        </w:rPr>
        <w:t xml:space="preserve">: </w:t>
      </w:r>
      <w:r w:rsidRPr="00610FC0">
        <w:rPr>
          <w:rFonts w:ascii="Times" w:hAnsi="Times" w:cs="Times"/>
          <w:color w:val="auto"/>
          <w:sz w:val="24"/>
          <w:szCs w:val="24"/>
        </w:rPr>
        <w:t xml:space="preserve"> </w:t>
      </w:r>
      <w:r w:rsidR="00C85A56" w:rsidRPr="00610FC0">
        <w:rPr>
          <w:rFonts w:ascii="Times" w:hAnsi="Times" w:cs="Times"/>
          <w:b/>
          <w:bCs/>
          <w:color w:val="auto"/>
          <w:sz w:val="24"/>
          <w:szCs w:val="24"/>
        </w:rPr>
        <w:t>Electrostatic Model Representation of CNC</w:t>
      </w:r>
      <w:r w:rsidR="001163F8" w:rsidRPr="00610FC0">
        <w:rPr>
          <w:rFonts w:ascii="Times" w:hAnsi="Times" w:cs="Times"/>
          <w:b/>
          <w:bCs/>
          <w:color w:val="auto"/>
          <w:sz w:val="24"/>
          <w:szCs w:val="24"/>
        </w:rPr>
        <w:t xml:space="preserve">. </w:t>
      </w:r>
      <w:r w:rsidR="001163F8" w:rsidRPr="00610FC0">
        <w:rPr>
          <w:rFonts w:ascii="Times" w:hAnsi="Times" w:cs="Times"/>
          <w:color w:val="auto"/>
          <w:sz w:val="24"/>
          <w:szCs w:val="24"/>
        </w:rPr>
        <w:t xml:space="preserve">The geometrical dimensions of the CNCs </w:t>
      </w:r>
      <w:r w:rsidR="00F82442" w:rsidRPr="00610FC0">
        <w:rPr>
          <w:rFonts w:ascii="Times" w:hAnsi="Times" w:cs="Times"/>
          <w:color w:val="auto"/>
          <w:sz w:val="24"/>
          <w:szCs w:val="24"/>
        </w:rPr>
        <w:t>is approximated by an ellipsoid with</w:t>
      </w:r>
      <w:r w:rsidR="00A85792" w:rsidRPr="00610FC0">
        <w:rPr>
          <w:rFonts w:ascii="Times" w:hAnsi="Times" w:cs="Times"/>
          <w:color w:val="auto"/>
          <w:sz w:val="24"/>
          <w:szCs w:val="24"/>
        </w:rPr>
        <w:t xml:space="preserve"> the principal axis</w:t>
      </w:r>
      <w:r w:rsidR="00F82442" w:rsidRPr="00610FC0">
        <w:rPr>
          <w:rFonts w:ascii="Times" w:hAnsi="Times" w:cs="Times"/>
          <w:color w:val="auto"/>
          <w:sz w:val="24"/>
          <w:szCs w:val="24"/>
        </w:rPr>
        <w:t xml:space="preserve"> </w:t>
      </w:r>
      <m:oMath>
        <m:sSub>
          <m:sSubPr>
            <m:ctrlPr>
              <w:rPr>
                <w:rFonts w:ascii="Cambria Math" w:hAnsi="Cambria Math" w:cs="Times"/>
                <w:color w:val="auto"/>
                <w:sz w:val="24"/>
                <w:szCs w:val="24"/>
              </w:rPr>
            </m:ctrlPr>
          </m:sSubPr>
          <m:e>
            <m:r>
              <w:rPr>
                <w:rFonts w:ascii="Cambria Math" w:hAnsi="Cambria Math" w:cs="Times"/>
                <w:color w:val="auto"/>
                <w:sz w:val="24"/>
                <w:szCs w:val="24"/>
              </w:rPr>
              <m:t>L</m:t>
            </m:r>
          </m:e>
          <m:sub>
            <m:r>
              <w:rPr>
                <w:rFonts w:ascii="Cambria Math" w:hAnsi="Cambria Math" w:cs="Times"/>
                <w:color w:val="auto"/>
                <w:sz w:val="24"/>
                <w:szCs w:val="24"/>
              </w:rPr>
              <m:t>1</m:t>
            </m:r>
          </m:sub>
        </m:sSub>
        <m:r>
          <w:rPr>
            <w:rFonts w:ascii="Cambria Math" w:hAnsi="Cambria Math" w:cs="Times"/>
            <w:color w:val="auto"/>
            <w:sz w:val="24"/>
            <w:szCs w:val="24"/>
          </w:rPr>
          <m:t xml:space="preserve"> = </m:t>
        </m:r>
        <m:sSub>
          <m:sSubPr>
            <m:ctrlPr>
              <w:rPr>
                <w:rFonts w:ascii="Cambria Math" w:hAnsi="Cambria Math" w:cs="Times"/>
                <w:color w:val="auto"/>
                <w:sz w:val="24"/>
                <w:szCs w:val="24"/>
              </w:rPr>
            </m:ctrlPr>
          </m:sSubPr>
          <m:e>
            <m:r>
              <w:rPr>
                <w:rFonts w:ascii="Cambria Math" w:hAnsi="Cambria Math" w:cs="Times"/>
                <w:color w:val="auto"/>
                <w:sz w:val="24"/>
                <w:szCs w:val="24"/>
              </w:rPr>
              <m:t>L</m:t>
            </m:r>
          </m:e>
          <m:sub>
            <m:r>
              <w:rPr>
                <w:rFonts w:ascii="Cambria Math" w:hAnsi="Cambria Math" w:cs="Times"/>
                <w:color w:val="auto"/>
                <w:sz w:val="24"/>
                <w:szCs w:val="24"/>
              </w:rPr>
              <m:t>2</m:t>
            </m:r>
          </m:sub>
        </m:sSub>
      </m:oMath>
      <w:r w:rsidR="00F82442" w:rsidRPr="00610FC0">
        <w:rPr>
          <w:rFonts w:ascii="Times" w:hAnsi="Times" w:cs="Times"/>
          <w:color w:val="auto"/>
          <w:sz w:val="24"/>
          <w:szCs w:val="24"/>
        </w:rPr>
        <w:t xml:space="preserve"> </w:t>
      </w:r>
      <w:r w:rsidR="00A85792" w:rsidRPr="00610FC0">
        <w:rPr>
          <w:rFonts w:ascii="Times" w:hAnsi="Times" w:cs="Times"/>
          <w:color w:val="auto"/>
          <w:sz w:val="24"/>
          <w:szCs w:val="24"/>
        </w:rPr>
        <w:t xml:space="preserve"> </w:t>
      </w:r>
      <w:r w:rsidR="00F82442" w:rsidRPr="00610FC0">
        <w:rPr>
          <w:rFonts w:ascii="Times" w:hAnsi="Times" w:cs="Times"/>
          <w:color w:val="auto"/>
          <w:sz w:val="24"/>
          <w:szCs w:val="24"/>
        </w:rPr>
        <w:t>having the same length.</w:t>
      </w:r>
    </w:p>
    <w:p w14:paraId="75380604" w14:textId="33158EE9" w:rsidR="00E72F8C" w:rsidRDefault="00E72F8C" w:rsidP="00E72F8C">
      <w:pPr>
        <w:spacing w:line="480" w:lineRule="auto"/>
        <w:rPr>
          <w:color w:val="FF0000"/>
          <w:szCs w:val="24"/>
        </w:rPr>
      </w:pPr>
      <w:r w:rsidRPr="00610FC0">
        <w:t xml:space="preserve">In such a case, the ratio between the electric field amplitude in the solvent, called the Maxwell field, and the electric field amplitude in the ellipsoid, can be computed </w:t>
      </w:r>
      <w:r w:rsidR="007770C5" w:rsidRPr="00610FC0">
        <w:t>from an equation from the work of Böttcher et al. (</w:t>
      </w:r>
      <w:r w:rsidR="00836748" w:rsidRPr="00610FC0">
        <w:t>eq</w:t>
      </w:r>
      <w:r w:rsidR="007770C5" w:rsidRPr="00610FC0">
        <w:t>uation</w:t>
      </w:r>
      <w:r w:rsidRPr="00610FC0">
        <w:t xml:space="preserve"> 2.79</w:t>
      </w:r>
      <w:r w:rsidR="007770C5" w:rsidRPr="00610FC0">
        <w:t>).</w:t>
      </w:r>
      <w:r w:rsidRPr="00610FC0">
        <w:t xml:space="preserve"> </w:t>
      </w:r>
      <w:r w:rsidR="00D20001" w:rsidRPr="00610FC0">
        <w:fldChar w:fldCharType="begin" w:fldLock="1"/>
      </w:r>
      <w:r w:rsidR="00230CB5">
        <w:instrText>ADDIN CSL_CITATION {"citationItems":[{"id":"ITEM-1","itemData":{"author":[{"dropping-particle":"","family":"Böttcher","given":"Carl Johan Friedrich","non-dropping-particle":"","parse-names":false,"suffix":""}],"id":"ITEM-1","issued":{"date-parts":[["1973"]]},"publisher":"Elsevier Scientific Publishing Company","publisher-place":"New York","title":"Theory of Electric Polarization","type":"book"},"uris":["http://www.mendeley.com/documents/?uuid=6a5a1845-58f6-4a0e-a45f-f4342b3863b9"]}],"mendeley":{"formattedCitation":"&lt;sup&gt;57&lt;/sup&gt;","plainTextFormattedCitation":"57","previouslyFormattedCitation":"&lt;sup&gt;57&lt;/sup&gt;"},"properties":{"noteIndex":0},"schema":"https://github.com/citation-style-language/schema/raw/master/csl-citation.json"}</w:instrText>
      </w:r>
      <w:r w:rsidR="00D20001" w:rsidRPr="00610FC0">
        <w:fldChar w:fldCharType="separate"/>
      </w:r>
      <w:r w:rsidR="00D91D8C" w:rsidRPr="00D91D8C">
        <w:rPr>
          <w:noProof/>
          <w:vertAlign w:val="superscript"/>
        </w:rPr>
        <w:t>57</w:t>
      </w:r>
      <w:r w:rsidR="00D20001" w:rsidRPr="00610FC0">
        <w:fldChar w:fldCharType="end"/>
      </w:r>
      <w:r w:rsidRPr="00E72F8C">
        <w:rPr>
          <w:color w:val="FF0000"/>
          <w:szCs w:val="24"/>
        </w:rPr>
        <w:t xml:space="preserve"> </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C62848" w:rsidRPr="006B0E08" w14:paraId="6BE9AC75" w14:textId="77777777" w:rsidTr="007A3A5F">
        <w:trPr>
          <w:trHeight w:val="1077"/>
        </w:trPr>
        <w:tc>
          <w:tcPr>
            <w:tcW w:w="8960" w:type="dxa"/>
            <w:vAlign w:val="center"/>
          </w:tcPr>
          <w:p w14:paraId="132BC443" w14:textId="3399AABF" w:rsidR="00C62848" w:rsidRPr="006B0E08" w:rsidRDefault="00000000" w:rsidP="007A3A5F">
            <w:pPr>
              <w:pStyle w:val="TAMainText"/>
              <w:jc w:val="center"/>
              <w:rPr>
                <w:rFonts w:ascii="Palatino Linotype" w:eastAsiaTheme="minorEastAsia" w:hAnsi="Palatino Linotype"/>
                <w:iCs/>
                <w:szCs w:val="24"/>
              </w:rPr>
            </w:pPr>
            <m:oMathPara>
              <m:oMath>
                <m:f>
                  <m:fPr>
                    <m:ctrlPr>
                      <w:rPr>
                        <w:rFonts w:ascii="Cambria Math" w:hAnsi="Cambria Math"/>
                        <w:iCs/>
                        <w:szCs w:val="24"/>
                      </w:rPr>
                    </m:ctrlPr>
                  </m:fPr>
                  <m:num>
                    <m:sSub>
                      <m:sSubPr>
                        <m:ctrlPr>
                          <w:rPr>
                            <w:rFonts w:ascii="Cambria Math" w:hAnsi="Cambria Math"/>
                            <w:iCs/>
                            <w:szCs w:val="24"/>
                          </w:rPr>
                        </m:ctrlPr>
                      </m:sSubPr>
                      <m:e>
                        <m:r>
                          <m:rPr>
                            <m:sty m:val="p"/>
                          </m:rPr>
                          <w:rPr>
                            <w:rFonts w:ascii="Cambria Math" w:hAnsi="Cambria Math"/>
                            <w:szCs w:val="24"/>
                          </w:rPr>
                          <m:t>E</m:t>
                        </m:r>
                      </m:e>
                      <m:sub>
                        <m:r>
                          <m:rPr>
                            <m:sty m:val="p"/>
                          </m:rPr>
                          <w:rPr>
                            <w:rFonts w:ascii="Cambria Math" w:hAnsi="Cambria Math"/>
                            <w:szCs w:val="24"/>
                          </w:rPr>
                          <m:t>α,cellulose</m:t>
                        </m:r>
                      </m:sub>
                    </m:sSub>
                  </m:num>
                  <m:den>
                    <m:sSub>
                      <m:sSubPr>
                        <m:ctrlPr>
                          <w:rPr>
                            <w:rFonts w:ascii="Cambria Math" w:hAnsi="Cambria Math"/>
                            <w:iCs/>
                            <w:szCs w:val="24"/>
                          </w:rPr>
                        </m:ctrlPr>
                      </m:sSubPr>
                      <m:e>
                        <m:r>
                          <m:rPr>
                            <m:sty m:val="p"/>
                          </m:rPr>
                          <w:rPr>
                            <w:rFonts w:ascii="Cambria Math" w:hAnsi="Cambria Math"/>
                            <w:szCs w:val="24"/>
                          </w:rPr>
                          <m:t>E</m:t>
                        </m:r>
                      </m:e>
                      <m:sub>
                        <m:r>
                          <m:rPr>
                            <m:sty m:val="p"/>
                          </m:rPr>
                          <w:rPr>
                            <w:rFonts w:ascii="Cambria Math" w:hAnsi="Cambria Math"/>
                            <w:szCs w:val="24"/>
                          </w:rPr>
                          <m:t>α,Maxwell</m:t>
                        </m:r>
                      </m:sub>
                    </m:sSub>
                  </m:den>
                </m:f>
                <m:r>
                  <m:rPr>
                    <m:sty m:val="p"/>
                  </m:rPr>
                  <w:rPr>
                    <w:rFonts w:ascii="Cambria Math" w:eastAsiaTheme="minorEastAsia" w:hAnsi="Cambria Math"/>
                    <w:szCs w:val="24"/>
                  </w:rPr>
                  <m:t>=</m:t>
                </m:r>
                <m:sSub>
                  <m:sSubPr>
                    <m:ctrlPr>
                      <w:rPr>
                        <w:rFonts w:ascii="Cambria Math" w:eastAsiaTheme="minorEastAsia" w:hAnsi="Cambria Math"/>
                        <w:iCs/>
                        <w:szCs w:val="24"/>
                      </w:rPr>
                    </m:ctrlPr>
                  </m:sSubPr>
                  <m:e>
                    <m:r>
                      <m:rPr>
                        <m:sty m:val="p"/>
                      </m:rPr>
                      <w:rPr>
                        <w:rFonts w:ascii="Cambria Math" w:eastAsiaTheme="minorEastAsia" w:hAnsi="Cambria Math"/>
                        <w:szCs w:val="24"/>
                      </w:rPr>
                      <m:t>ratio</m:t>
                    </m:r>
                  </m:e>
                  <m:sub>
                    <m:r>
                      <m:rPr>
                        <m:sty m:val="p"/>
                      </m:rPr>
                      <w:rPr>
                        <w:rFonts w:ascii="Cambria Math" w:eastAsiaTheme="minorEastAsia" w:hAnsi="Cambria Math"/>
                        <w:szCs w:val="24"/>
                      </w:rPr>
                      <m:t>α</m:t>
                    </m:r>
                  </m:sub>
                </m:sSub>
                <m:r>
                  <m:rPr>
                    <m:sty m:val="p"/>
                  </m:rPr>
                  <w:rPr>
                    <w:rFonts w:ascii="Cambria Math" w:eastAsiaTheme="minorEastAsia" w:hAnsi="Cambria Math"/>
                    <w:szCs w:val="24"/>
                  </w:rPr>
                  <m:t>=</m:t>
                </m:r>
                <m:f>
                  <m:fPr>
                    <m:ctrlPr>
                      <w:rPr>
                        <w:rFonts w:ascii="Cambria Math" w:eastAsiaTheme="minorEastAsia" w:hAnsi="Cambria Math"/>
                        <w:iCs/>
                        <w:szCs w:val="24"/>
                      </w:rPr>
                    </m:ctrlPr>
                  </m:fPr>
                  <m:num>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eastAsiaTheme="minorEastAsia" w:hAnsi="Cambria Math"/>
                            <w:szCs w:val="24"/>
                          </w:rPr>
                          <m:t>water</m:t>
                        </m:r>
                      </m:sub>
                    </m:sSub>
                  </m:num>
                  <m:den>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eastAsiaTheme="minorEastAsia" w:hAnsi="Cambria Math"/>
                            <w:szCs w:val="24"/>
                          </w:rPr>
                          <m:t>water</m:t>
                        </m:r>
                      </m:sub>
                    </m:sSub>
                    <m:r>
                      <m:rPr>
                        <m:sty m:val="p"/>
                      </m:rPr>
                      <w:rPr>
                        <w:rFonts w:ascii="Cambria Math" w:eastAsiaTheme="minorEastAsia" w:hAnsi="Cambria Math"/>
                        <w:szCs w:val="24"/>
                      </w:rPr>
                      <m:t>+</m:t>
                    </m:r>
                    <m:d>
                      <m:dPr>
                        <m:ctrlPr>
                          <w:rPr>
                            <w:rFonts w:ascii="Cambria Math" w:eastAsiaTheme="minorEastAsia" w:hAnsi="Cambria Math"/>
                            <w:iCs/>
                            <w:szCs w:val="24"/>
                          </w:rPr>
                        </m:ctrlPr>
                      </m:dPr>
                      <m:e>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hAnsi="Cambria Math"/>
                                <w:szCs w:val="24"/>
                              </w:rPr>
                              <m:t>α,</m:t>
                            </m:r>
                            <m:r>
                              <m:rPr>
                                <m:sty m:val="p"/>
                              </m:rPr>
                              <w:rPr>
                                <w:rFonts w:ascii="Cambria Math" w:eastAsiaTheme="minorEastAsia" w:hAnsi="Cambria Math"/>
                                <w:szCs w:val="24"/>
                              </w:rPr>
                              <m:t>cellulose</m:t>
                            </m:r>
                          </m:sub>
                        </m:sSub>
                        <m:r>
                          <m:rPr>
                            <m:sty m:val="p"/>
                          </m:rPr>
                          <w:rPr>
                            <w:rFonts w:ascii="Cambria Math" w:eastAsiaTheme="minorEastAsia" w:hAnsi="Cambria Math"/>
                            <w:szCs w:val="24"/>
                          </w:rPr>
                          <m:t>-</m:t>
                        </m:r>
                        <m:sSub>
                          <m:sSubPr>
                            <m:ctrlPr>
                              <w:rPr>
                                <w:rFonts w:ascii="Cambria Math" w:eastAsiaTheme="minorEastAsia" w:hAnsi="Cambria Math"/>
                                <w:iCs/>
                                <w:szCs w:val="24"/>
                              </w:rPr>
                            </m:ctrlPr>
                          </m:sSubPr>
                          <m:e>
                            <m:r>
                              <m:rPr>
                                <m:sty m:val="p"/>
                              </m:rPr>
                              <w:rPr>
                                <w:rFonts w:ascii="Cambria Math" w:eastAsiaTheme="minorEastAsia" w:hAnsi="Cambria Math"/>
                                <w:szCs w:val="24"/>
                              </w:rPr>
                              <m:t>ε</m:t>
                            </m:r>
                          </m:e>
                          <m:sub>
                            <m:r>
                              <m:rPr>
                                <m:sty m:val="p"/>
                              </m:rPr>
                              <w:rPr>
                                <w:rFonts w:ascii="Cambria Math" w:eastAsiaTheme="minorEastAsia" w:hAnsi="Cambria Math"/>
                                <w:szCs w:val="24"/>
                              </w:rPr>
                              <m:t>water</m:t>
                            </m:r>
                          </m:sub>
                        </m:sSub>
                      </m:e>
                    </m:d>
                    <m:sSub>
                      <m:sSubPr>
                        <m:ctrlPr>
                          <w:rPr>
                            <w:rFonts w:ascii="Cambria Math" w:eastAsiaTheme="minorEastAsia" w:hAnsi="Cambria Math"/>
                            <w:iCs/>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α</m:t>
                        </m:r>
                      </m:sub>
                    </m:sSub>
                  </m:den>
                </m:f>
              </m:oMath>
            </m:oMathPara>
          </w:p>
        </w:tc>
        <w:tc>
          <w:tcPr>
            <w:tcW w:w="678" w:type="dxa"/>
            <w:vAlign w:val="center"/>
          </w:tcPr>
          <w:p w14:paraId="1114F437" w14:textId="0D48C0D0" w:rsidR="00C62848" w:rsidRPr="006B0E08" w:rsidRDefault="00000000" w:rsidP="007A3A5F">
            <w:pPr>
              <w:pStyle w:val="TAMainText"/>
              <w:jc w:val="center"/>
            </w:pPr>
            <m:oMathPara>
              <m:oMath>
                <m:d>
                  <m:dPr>
                    <m:ctrlPr>
                      <w:rPr>
                        <w:rFonts w:ascii="Cambria Math" w:hAnsi="Cambria Math"/>
                      </w:rPr>
                    </m:ctrlPr>
                  </m:dPr>
                  <m:e>
                    <m:r>
                      <m:rPr>
                        <m:sty m:val="p"/>
                      </m:rPr>
                      <w:rPr>
                        <w:rFonts w:ascii="Cambria Math" w:hAnsi="Cambria Math"/>
                      </w:rPr>
                      <m:t>10</m:t>
                    </m:r>
                  </m:e>
                </m:d>
              </m:oMath>
            </m:oMathPara>
          </w:p>
        </w:tc>
      </w:tr>
    </w:tbl>
    <w:p w14:paraId="50E58099" w14:textId="52FD34F3" w:rsidR="00E72F8C" w:rsidRPr="00B1003C" w:rsidRDefault="00E72F8C" w:rsidP="00C62848">
      <w:pPr>
        <w:pStyle w:val="TAMainText"/>
        <w:ind w:firstLine="0"/>
        <w:rPr>
          <w:rFonts w:eastAsiaTheme="minorEastAsia" w:cs="Times"/>
          <w:iCs/>
          <w:szCs w:val="24"/>
        </w:rPr>
      </w:pPr>
      <w:r w:rsidRPr="00B1003C">
        <w:rPr>
          <w:rFonts w:cs="Times"/>
          <w:iCs/>
          <w:szCs w:val="24"/>
        </w:rPr>
        <w:t xml:space="preserve">where </w:t>
      </w:r>
      <m:oMath>
        <m:r>
          <m:rPr>
            <m:sty m:val="p"/>
          </m:rPr>
          <w:rPr>
            <w:rFonts w:ascii="Cambria Math" w:eastAsiaTheme="minorEastAsia" w:hAnsi="Cambria Math" w:cs="Times"/>
            <w:szCs w:val="24"/>
          </w:rPr>
          <m:t>α</m:t>
        </m:r>
      </m:oMath>
      <w:r w:rsidRPr="00B1003C">
        <w:rPr>
          <w:rFonts w:eastAsiaTheme="minorEastAsia" w:cs="Times"/>
          <w:iCs/>
          <w:szCs w:val="24"/>
        </w:rPr>
        <w:t xml:space="preserve"> is a c</w:t>
      </w:r>
      <w:r w:rsidRPr="0084141A">
        <w:rPr>
          <w:rFonts w:eastAsiaTheme="minorEastAsia" w:cs="Times"/>
          <w:iCs/>
          <w:szCs w:val="24"/>
        </w:rPr>
        <w:t>artesia</w:t>
      </w:r>
      <w:r w:rsidRPr="00B1003C">
        <w:rPr>
          <w:rFonts w:eastAsiaTheme="minorEastAsia" w:cs="Times"/>
          <w:iCs/>
          <w:szCs w:val="24"/>
        </w:rPr>
        <w:t>n direction along one of the principal ax</w:t>
      </w:r>
      <w:r w:rsidR="00F61386" w:rsidRPr="00B1003C">
        <w:rPr>
          <w:rFonts w:eastAsiaTheme="minorEastAsia" w:cs="Times"/>
          <w:iCs/>
          <w:szCs w:val="24"/>
        </w:rPr>
        <w:t>e</w:t>
      </w:r>
      <w:r w:rsidRPr="00B1003C">
        <w:rPr>
          <w:rFonts w:eastAsiaTheme="minorEastAsia" w:cs="Times"/>
          <w:iCs/>
          <w:szCs w:val="24"/>
        </w:rPr>
        <w:t>s of the ellipsoid, and</w:t>
      </w:r>
      <w:r w:rsidRPr="00B1003C">
        <w:rPr>
          <w:rFonts w:cs="Times"/>
          <w:iCs/>
          <w:szCs w:val="24"/>
        </w:rPr>
        <w:t xml:space="preserve"> </w:t>
      </w:r>
      <m:oMath>
        <m:sSub>
          <m:sSubPr>
            <m:ctrlPr>
              <w:rPr>
                <w:rFonts w:ascii="Cambria Math" w:eastAsiaTheme="minorEastAsia" w:hAnsi="Cambria Math" w:cs="Times"/>
                <w:iCs/>
                <w:szCs w:val="24"/>
              </w:rPr>
            </m:ctrlPr>
          </m:sSubPr>
          <m:e>
            <m:r>
              <m:rPr>
                <m:sty m:val="p"/>
              </m:rPr>
              <w:rPr>
                <w:rFonts w:ascii="Cambria Math" w:eastAsiaTheme="minorEastAsia" w:hAnsi="Cambria Math" w:cs="Times"/>
                <w:szCs w:val="24"/>
              </w:rPr>
              <m:t>A</m:t>
            </m:r>
          </m:e>
          <m:sub>
            <m:r>
              <m:rPr>
                <m:sty m:val="p"/>
              </m:rPr>
              <w:rPr>
                <w:rFonts w:ascii="Cambria Math" w:eastAsiaTheme="minorEastAsia" w:hAnsi="Cambria Math" w:cs="Times"/>
                <w:szCs w:val="24"/>
              </w:rPr>
              <m:t>α</m:t>
            </m:r>
          </m:sub>
        </m:sSub>
      </m:oMath>
      <w:r w:rsidRPr="00B1003C">
        <w:rPr>
          <w:rFonts w:eastAsiaTheme="minorEastAsia" w:cs="Times"/>
          <w:iCs/>
          <w:szCs w:val="24"/>
        </w:rPr>
        <w:t xml:space="preserve"> is a geometrical parameter defined as</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C62848" w:rsidRPr="006B0E08" w14:paraId="6637A417" w14:textId="77777777" w:rsidTr="007A3A5F">
        <w:trPr>
          <w:trHeight w:val="1134"/>
        </w:trPr>
        <w:tc>
          <w:tcPr>
            <w:tcW w:w="8957" w:type="dxa"/>
            <w:vAlign w:val="center"/>
          </w:tcPr>
          <w:p w14:paraId="6818D867" w14:textId="5C853130" w:rsidR="00C62848" w:rsidRPr="006B0E08" w:rsidRDefault="00000000" w:rsidP="00A06AB5">
            <w:pPr>
              <w:pStyle w:val="TAMainText"/>
              <w:rPr>
                <w:rFonts w:eastAsia="Times New Roman" w:cs="Times New Roman"/>
              </w:rPr>
            </w:pPr>
            <m:oMathPara>
              <m:oMath>
                <m:sSub>
                  <m:sSubPr>
                    <m:ctrlPr>
                      <w:rPr>
                        <w:rFonts w:ascii="Cambria Math" w:eastAsiaTheme="minorEastAsia" w:hAnsi="Cambria Math"/>
                        <w:iCs/>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α</m:t>
                    </m:r>
                  </m:sub>
                </m:sSub>
                <m:r>
                  <m:rPr>
                    <m:sty m:val="p"/>
                  </m:rPr>
                  <w:rPr>
                    <w:rFonts w:ascii="Cambria Math" w:eastAsiaTheme="minorEastAsia" w:hAnsi="Cambria Math"/>
                    <w:szCs w:val="24"/>
                  </w:rPr>
                  <m:t>=</m:t>
                </m:r>
                <m:f>
                  <m:fPr>
                    <m:ctrlPr>
                      <w:rPr>
                        <w:rFonts w:ascii="Cambria Math" w:eastAsiaTheme="minorEastAsia" w:hAnsi="Cambria Math"/>
                        <w:iCs/>
                        <w:szCs w:val="24"/>
                      </w:rPr>
                    </m:ctrlPr>
                  </m:fPr>
                  <m:num>
                    <m:sSub>
                      <m:sSubPr>
                        <m:ctrlPr>
                          <w:rPr>
                            <w:rFonts w:ascii="Cambria Math" w:hAnsi="Cambria Math" w:cs="Times"/>
                            <w:szCs w:val="24"/>
                          </w:rPr>
                        </m:ctrlPr>
                      </m:sSubPr>
                      <m:e>
                        <m:r>
                          <w:rPr>
                            <w:rFonts w:ascii="Cambria Math" w:hAnsi="Cambria Math" w:cs="Times"/>
                            <w:szCs w:val="24"/>
                          </w:rPr>
                          <m:t>L</m:t>
                        </m:r>
                      </m:e>
                      <m:sub>
                        <m:r>
                          <w:rPr>
                            <w:rFonts w:ascii="Cambria Math" w:hAnsi="Cambria Math" w:cs="Times"/>
                            <w:szCs w:val="24"/>
                          </w:rPr>
                          <m:t>1</m:t>
                        </m:r>
                      </m:sub>
                    </m:sSub>
                    <m:sSub>
                      <m:sSubPr>
                        <m:ctrlPr>
                          <w:rPr>
                            <w:rFonts w:ascii="Cambria Math" w:hAnsi="Cambria Math" w:cs="Times"/>
                            <w:szCs w:val="24"/>
                          </w:rPr>
                        </m:ctrlPr>
                      </m:sSubPr>
                      <m:e>
                        <m:r>
                          <w:rPr>
                            <w:rFonts w:ascii="Cambria Math" w:hAnsi="Cambria Math" w:cs="Times"/>
                            <w:szCs w:val="24"/>
                          </w:rPr>
                          <m:t>L</m:t>
                        </m:r>
                      </m:e>
                      <m:sub>
                        <m:r>
                          <w:rPr>
                            <w:rFonts w:ascii="Cambria Math" w:hAnsi="Cambria Math" w:cs="Times"/>
                            <w:szCs w:val="24"/>
                          </w:rPr>
                          <m:t>2</m:t>
                        </m:r>
                      </m:sub>
                    </m:sSub>
                    <m:sSub>
                      <m:sSubPr>
                        <m:ctrlPr>
                          <w:rPr>
                            <w:rFonts w:ascii="Cambria Math" w:hAnsi="Cambria Math" w:cs="Times"/>
                            <w:szCs w:val="24"/>
                          </w:rPr>
                        </m:ctrlPr>
                      </m:sSubPr>
                      <m:e>
                        <m:r>
                          <w:rPr>
                            <w:rFonts w:ascii="Cambria Math" w:hAnsi="Cambria Math" w:cs="Times"/>
                            <w:szCs w:val="24"/>
                          </w:rPr>
                          <m:t>L</m:t>
                        </m:r>
                      </m:e>
                      <m:sub>
                        <m:r>
                          <w:rPr>
                            <w:rFonts w:ascii="Cambria Math" w:hAnsi="Cambria Math" w:cs="Times"/>
                            <w:szCs w:val="24"/>
                          </w:rPr>
                          <m:t>3</m:t>
                        </m:r>
                      </m:sub>
                    </m:sSub>
                  </m:num>
                  <m:den>
                    <m:r>
                      <m:rPr>
                        <m:sty m:val="p"/>
                      </m:rPr>
                      <w:rPr>
                        <w:rFonts w:ascii="Cambria Math" w:eastAsiaTheme="minorEastAsia" w:hAnsi="Cambria Math"/>
                        <w:szCs w:val="24"/>
                      </w:rPr>
                      <m:t>2</m:t>
                    </m:r>
                  </m:den>
                </m:f>
                <m:nary>
                  <m:naryPr>
                    <m:limLoc m:val="subSup"/>
                    <m:ctrlPr>
                      <w:rPr>
                        <w:rFonts w:ascii="Cambria Math" w:eastAsiaTheme="minorEastAsia" w:hAnsi="Cambria Math"/>
                        <w:iCs/>
                        <w:szCs w:val="24"/>
                      </w:rPr>
                    </m:ctrlPr>
                  </m:naryPr>
                  <m:sub>
                    <m:r>
                      <m:rPr>
                        <m:sty m:val="p"/>
                      </m:rPr>
                      <w:rPr>
                        <w:rFonts w:ascii="Cambria Math" w:eastAsiaTheme="minorEastAsia" w:hAnsi="Cambria Math"/>
                        <w:szCs w:val="24"/>
                      </w:rPr>
                      <m:t>0</m:t>
                    </m:r>
                  </m:sub>
                  <m:sup>
                    <m:r>
                      <m:rPr>
                        <m:sty m:val="p"/>
                      </m:rPr>
                      <w:rPr>
                        <w:rFonts w:ascii="Cambria Math" w:eastAsiaTheme="minorEastAsia" w:hAnsi="Cambria Math"/>
                        <w:szCs w:val="24"/>
                      </w:rPr>
                      <m:t>∞</m:t>
                    </m:r>
                  </m:sup>
                  <m:e>
                    <m:f>
                      <m:fPr>
                        <m:ctrlPr>
                          <w:rPr>
                            <w:rFonts w:ascii="Cambria Math" w:eastAsiaTheme="minorEastAsia" w:hAnsi="Cambria Math"/>
                            <w:iCs/>
                            <w:szCs w:val="24"/>
                          </w:rPr>
                        </m:ctrlPr>
                      </m:fPr>
                      <m:num>
                        <m:r>
                          <m:rPr>
                            <m:sty m:val="p"/>
                          </m:rPr>
                          <w:rPr>
                            <w:rFonts w:ascii="Cambria Math" w:eastAsiaTheme="minorEastAsia" w:hAnsi="Cambria Math"/>
                            <w:szCs w:val="24"/>
                          </w:rPr>
                          <m:t>1</m:t>
                        </m:r>
                      </m:num>
                      <m:den>
                        <m:r>
                          <m:rPr>
                            <m:sty m:val="p"/>
                          </m:rPr>
                          <w:rPr>
                            <w:rFonts w:ascii="Cambria Math" w:eastAsiaTheme="minorEastAsia" w:hAnsi="Cambria Math"/>
                            <w:szCs w:val="24"/>
                          </w:rPr>
                          <m:t>(s+</m:t>
                        </m:r>
                        <m:sSubSup>
                          <m:sSubSupPr>
                            <m:ctrlPr>
                              <w:rPr>
                                <w:rFonts w:ascii="Cambria Math" w:eastAsiaTheme="minorEastAsia" w:hAnsi="Cambria Math"/>
                                <w:szCs w:val="24"/>
                              </w:rPr>
                            </m:ctrlPr>
                          </m:sSubSupPr>
                          <m:e>
                            <m:r>
                              <w:rPr>
                                <w:rFonts w:ascii="Cambria Math" w:eastAsiaTheme="minorEastAsia" w:hAnsi="Cambria Math"/>
                                <w:szCs w:val="24"/>
                              </w:rPr>
                              <m:t>L</m:t>
                            </m:r>
                          </m:e>
                          <m:sub>
                            <m:r>
                              <m:rPr>
                                <m:sty m:val="p"/>
                              </m:rPr>
                              <w:rPr>
                                <w:rFonts w:ascii="Cambria Math" w:eastAsiaTheme="minorEastAsia" w:hAnsi="Cambria Math"/>
                                <w:szCs w:val="24"/>
                              </w:rPr>
                              <m:t>α</m:t>
                            </m:r>
                          </m:sub>
                          <m:sup>
                            <m:r>
                              <w:rPr>
                                <w:rFonts w:ascii="Cambria Math" w:eastAsiaTheme="minorEastAsia" w:hAnsi="Cambria Math"/>
                                <w:szCs w:val="24"/>
                              </w:rPr>
                              <m:t>2</m:t>
                            </m:r>
                          </m:sup>
                        </m:sSubSup>
                        <m:r>
                          <m:rPr>
                            <m:sty m:val="p"/>
                          </m:rPr>
                          <w:rPr>
                            <w:rFonts w:ascii="Cambria Math" w:eastAsiaTheme="minorEastAsia" w:hAnsi="Cambria Math"/>
                            <w:szCs w:val="24"/>
                          </w:rPr>
                          <m:t>)</m:t>
                        </m:r>
                        <m:rad>
                          <m:radPr>
                            <m:degHide m:val="1"/>
                            <m:ctrlPr>
                              <w:rPr>
                                <w:rFonts w:ascii="Cambria Math" w:eastAsiaTheme="minorEastAsia" w:hAnsi="Cambria Math"/>
                                <w:iCs/>
                                <w:szCs w:val="24"/>
                              </w:rPr>
                            </m:ctrlPr>
                          </m:radPr>
                          <m:deg/>
                          <m:e>
                            <m:d>
                              <m:dPr>
                                <m:ctrlPr>
                                  <w:rPr>
                                    <w:rFonts w:ascii="Cambria Math" w:eastAsiaTheme="minorEastAsia" w:hAnsi="Cambria Math"/>
                                    <w:iCs/>
                                    <w:szCs w:val="24"/>
                                  </w:rPr>
                                </m:ctrlPr>
                              </m:dPr>
                              <m:e>
                                <m:r>
                                  <m:rPr>
                                    <m:sty m:val="p"/>
                                  </m:rPr>
                                  <w:rPr>
                                    <w:rFonts w:ascii="Cambria Math" w:eastAsiaTheme="minorEastAsia" w:hAnsi="Cambria Math"/>
                                    <w:szCs w:val="24"/>
                                  </w:rPr>
                                  <m:t>s+</m:t>
                                </m:r>
                                <m:sSubSup>
                                  <m:sSubSupPr>
                                    <m:ctrlPr>
                                      <w:rPr>
                                        <w:rFonts w:ascii="Cambria Math" w:eastAsiaTheme="minorEastAsia" w:hAnsi="Cambria Math"/>
                                        <w:szCs w:val="24"/>
                                      </w:rPr>
                                    </m:ctrlPr>
                                  </m:sSubSupPr>
                                  <m:e>
                                    <m:r>
                                      <w:rPr>
                                        <w:rFonts w:ascii="Cambria Math" w:eastAsiaTheme="minorEastAsia" w:hAnsi="Cambria Math"/>
                                        <w:szCs w:val="24"/>
                                      </w:rPr>
                                      <m:t>L</m:t>
                                    </m:r>
                                  </m:e>
                                  <m:sub>
                                    <m:r>
                                      <w:rPr>
                                        <w:rFonts w:ascii="Cambria Math" w:eastAsiaTheme="minorEastAsia" w:hAnsi="Cambria Math"/>
                                        <w:szCs w:val="24"/>
                                      </w:rPr>
                                      <m:t>1</m:t>
                                    </m:r>
                                  </m:sub>
                                  <m:sup>
                                    <m:r>
                                      <w:rPr>
                                        <w:rFonts w:ascii="Cambria Math" w:eastAsiaTheme="minorEastAsia" w:hAnsi="Cambria Math"/>
                                        <w:szCs w:val="24"/>
                                      </w:rPr>
                                      <m:t>2</m:t>
                                    </m:r>
                                  </m:sup>
                                </m:sSubSup>
                              </m:e>
                            </m:d>
                            <m:d>
                              <m:dPr>
                                <m:ctrlPr>
                                  <w:rPr>
                                    <w:rFonts w:ascii="Cambria Math" w:eastAsiaTheme="minorEastAsia" w:hAnsi="Cambria Math"/>
                                    <w:iCs/>
                                    <w:szCs w:val="24"/>
                                  </w:rPr>
                                </m:ctrlPr>
                              </m:dPr>
                              <m:e>
                                <m:r>
                                  <m:rPr>
                                    <m:sty m:val="p"/>
                                  </m:rPr>
                                  <w:rPr>
                                    <w:rFonts w:ascii="Cambria Math" w:eastAsiaTheme="minorEastAsia" w:hAnsi="Cambria Math"/>
                                    <w:szCs w:val="24"/>
                                  </w:rPr>
                                  <m:t>s+</m:t>
                                </m:r>
                                <m:sSubSup>
                                  <m:sSubSupPr>
                                    <m:ctrlPr>
                                      <w:rPr>
                                        <w:rFonts w:ascii="Cambria Math" w:eastAsiaTheme="minorEastAsia" w:hAnsi="Cambria Math"/>
                                        <w:szCs w:val="24"/>
                                      </w:rPr>
                                    </m:ctrlPr>
                                  </m:sSubSupPr>
                                  <m:e>
                                    <m:r>
                                      <w:rPr>
                                        <w:rFonts w:ascii="Cambria Math" w:eastAsiaTheme="minorEastAsia" w:hAnsi="Cambria Math"/>
                                        <w:szCs w:val="24"/>
                                      </w:rPr>
                                      <m:t>L</m:t>
                                    </m:r>
                                  </m:e>
                                  <m:sub>
                                    <m:r>
                                      <w:rPr>
                                        <w:rFonts w:ascii="Cambria Math" w:eastAsiaTheme="minorEastAsia" w:hAnsi="Cambria Math"/>
                                        <w:szCs w:val="24"/>
                                      </w:rPr>
                                      <m:t>2</m:t>
                                    </m:r>
                                  </m:sub>
                                  <m:sup>
                                    <m:r>
                                      <w:rPr>
                                        <w:rFonts w:ascii="Cambria Math" w:eastAsiaTheme="minorEastAsia" w:hAnsi="Cambria Math"/>
                                        <w:szCs w:val="24"/>
                                      </w:rPr>
                                      <m:t>2</m:t>
                                    </m:r>
                                  </m:sup>
                                </m:sSubSup>
                              </m:e>
                            </m:d>
                            <m:d>
                              <m:dPr>
                                <m:ctrlPr>
                                  <w:rPr>
                                    <w:rFonts w:ascii="Cambria Math" w:eastAsiaTheme="minorEastAsia" w:hAnsi="Cambria Math"/>
                                    <w:iCs/>
                                    <w:szCs w:val="24"/>
                                  </w:rPr>
                                </m:ctrlPr>
                              </m:dPr>
                              <m:e>
                                <m:r>
                                  <m:rPr>
                                    <m:sty m:val="p"/>
                                  </m:rPr>
                                  <w:rPr>
                                    <w:rFonts w:ascii="Cambria Math" w:eastAsiaTheme="minorEastAsia" w:hAnsi="Cambria Math"/>
                                    <w:szCs w:val="24"/>
                                  </w:rPr>
                                  <m:t>s+</m:t>
                                </m:r>
                                <m:sSubSup>
                                  <m:sSubSupPr>
                                    <m:ctrlPr>
                                      <w:rPr>
                                        <w:rFonts w:ascii="Cambria Math" w:eastAsiaTheme="minorEastAsia" w:hAnsi="Cambria Math"/>
                                        <w:szCs w:val="24"/>
                                      </w:rPr>
                                    </m:ctrlPr>
                                  </m:sSubSupPr>
                                  <m:e>
                                    <m:r>
                                      <w:rPr>
                                        <w:rFonts w:ascii="Cambria Math" w:eastAsiaTheme="minorEastAsia" w:hAnsi="Cambria Math"/>
                                        <w:szCs w:val="24"/>
                                      </w:rPr>
                                      <m:t>L</m:t>
                                    </m:r>
                                  </m:e>
                                  <m:sub>
                                    <m:r>
                                      <w:rPr>
                                        <w:rFonts w:ascii="Cambria Math" w:eastAsiaTheme="minorEastAsia" w:hAnsi="Cambria Math"/>
                                        <w:szCs w:val="24"/>
                                      </w:rPr>
                                      <m:t>3</m:t>
                                    </m:r>
                                  </m:sub>
                                  <m:sup>
                                    <m:r>
                                      <w:rPr>
                                        <w:rFonts w:ascii="Cambria Math" w:eastAsiaTheme="minorEastAsia" w:hAnsi="Cambria Math"/>
                                        <w:szCs w:val="24"/>
                                      </w:rPr>
                                      <m:t>2</m:t>
                                    </m:r>
                                  </m:sup>
                                </m:sSubSup>
                              </m:e>
                            </m:d>
                          </m:e>
                        </m:rad>
                      </m:den>
                    </m:f>
                    <m:r>
                      <m:rPr>
                        <m:sty m:val="p"/>
                      </m:rPr>
                      <w:rPr>
                        <w:rFonts w:ascii="Cambria Math" w:eastAsiaTheme="minorEastAsia" w:hAnsi="Cambria Math"/>
                        <w:szCs w:val="24"/>
                      </w:rPr>
                      <m:t>ds</m:t>
                    </m:r>
                  </m:e>
                </m:nary>
              </m:oMath>
            </m:oMathPara>
          </w:p>
        </w:tc>
        <w:tc>
          <w:tcPr>
            <w:tcW w:w="681" w:type="dxa"/>
            <w:vAlign w:val="center"/>
          </w:tcPr>
          <w:p w14:paraId="1C32DC3C" w14:textId="717C54F8" w:rsidR="00C62848" w:rsidRPr="006B0E08" w:rsidRDefault="00000000">
            <w:pPr>
              <w:pStyle w:val="TAMainText"/>
            </w:pPr>
            <m:oMathPara>
              <m:oMath>
                <m:d>
                  <m:dPr>
                    <m:ctrlPr>
                      <w:rPr>
                        <w:rFonts w:ascii="Cambria Math" w:hAnsi="Cambria Math"/>
                      </w:rPr>
                    </m:ctrlPr>
                  </m:dPr>
                  <m:e>
                    <m:r>
                      <w:rPr>
                        <w:rFonts w:ascii="Cambria Math" w:hAnsi="Cambria Math"/>
                      </w:rPr>
                      <m:t>11</m:t>
                    </m:r>
                  </m:e>
                </m:d>
              </m:oMath>
            </m:oMathPara>
          </w:p>
        </w:tc>
      </w:tr>
    </w:tbl>
    <w:p w14:paraId="743A1366" w14:textId="5F021958" w:rsidR="0053122C" w:rsidRPr="006B0E08" w:rsidRDefault="00C24761" w:rsidP="00E72F8C">
      <w:pPr>
        <w:spacing w:line="480" w:lineRule="auto"/>
        <w:rPr>
          <w:szCs w:val="24"/>
        </w:rPr>
      </w:pPr>
      <w:r>
        <w:t>w</w:t>
      </w:r>
      <w:r w:rsidR="00E72F8C" w:rsidRPr="006B0E08">
        <w:t>here</w:t>
      </w:r>
      <w:r>
        <w:t xml:space="preserve"> </w:t>
      </w:r>
      <m:oMath>
        <m:sSub>
          <m:sSubPr>
            <m:ctrlPr>
              <w:rPr>
                <w:rFonts w:ascii="Cambria Math" w:hAnsi="Cambria Math" w:cs="Times"/>
                <w:szCs w:val="24"/>
              </w:rPr>
            </m:ctrlPr>
          </m:sSubPr>
          <m:e>
            <m:r>
              <w:rPr>
                <w:rFonts w:ascii="Cambria Math" w:hAnsi="Cambria Math" w:cs="Times"/>
                <w:szCs w:val="24"/>
              </w:rPr>
              <m:t>L</m:t>
            </m:r>
          </m:e>
          <m:sub>
            <m:r>
              <m:rPr>
                <m:sty m:val="p"/>
              </m:rPr>
              <w:rPr>
                <w:rFonts w:ascii="Cambria Math" w:eastAsiaTheme="minorEastAsia" w:hAnsi="Cambria Math"/>
                <w:szCs w:val="24"/>
              </w:rPr>
              <m:t>α</m:t>
            </m:r>
          </m:sub>
        </m:sSub>
      </m:oMath>
      <w:r w:rsidR="00E72F8C" w:rsidRPr="006B0E08">
        <w:t xml:space="preserve"> </w:t>
      </w:r>
      <w:r>
        <w:rPr>
          <w:szCs w:val="24"/>
        </w:rPr>
        <w:t xml:space="preserve">is the length along the </w:t>
      </w:r>
      <m:oMath>
        <m:r>
          <m:rPr>
            <m:sty m:val="p"/>
          </m:rPr>
          <w:rPr>
            <w:rFonts w:ascii="Cambria Math" w:eastAsiaTheme="minorEastAsia" w:hAnsi="Cambria Math" w:cs="Times"/>
            <w:szCs w:val="24"/>
          </w:rPr>
          <m:t>α</m:t>
        </m:r>
      </m:oMath>
      <w:r w:rsidRPr="00B1003C">
        <w:rPr>
          <w:rFonts w:eastAsiaTheme="minorEastAsia" w:cs="Times"/>
          <w:iCs/>
          <w:szCs w:val="24"/>
        </w:rPr>
        <w:t xml:space="preserve"> direction</w:t>
      </w:r>
      <w:r>
        <w:rPr>
          <w:szCs w:val="24"/>
        </w:rPr>
        <w:t xml:space="preserve"> and </w:t>
      </w:r>
      <m:oMath>
        <m:r>
          <m:rPr>
            <m:sty m:val="p"/>
          </m:rPr>
          <w:rPr>
            <w:rFonts w:ascii="Cambria Math" w:eastAsiaTheme="minorEastAsia" w:hAnsi="Cambria Math"/>
            <w:szCs w:val="24"/>
          </w:rPr>
          <m:t>s</m:t>
        </m:r>
      </m:oMath>
      <w:r>
        <w:rPr>
          <w:szCs w:val="24"/>
        </w:rPr>
        <w:t xml:space="preserve"> the integration variable. </w:t>
      </w:r>
      <w:r w:rsidR="0053122C" w:rsidRPr="006B0E08">
        <w:rPr>
          <w:szCs w:val="24"/>
        </w:rPr>
        <w:t xml:space="preserve">The electric field amplitude ratios along each direction can be used to scale the components of the first </w:t>
      </w:r>
      <w:proofErr w:type="spellStart"/>
      <w:r w:rsidR="0053122C" w:rsidRPr="006B0E08">
        <w:rPr>
          <w:szCs w:val="24"/>
        </w:rPr>
        <w:t>hyperpolarizbility</w:t>
      </w:r>
      <w:proofErr w:type="spellEnd"/>
      <w:r w:rsidR="0053122C" w:rsidRPr="006B0E08">
        <w:rPr>
          <w:szCs w:val="24"/>
        </w:rPr>
        <w:t xml:space="preserve"> tensor according to</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C62848" w:rsidRPr="006B0E08" w14:paraId="5D56740A" w14:textId="77777777" w:rsidTr="007A3A5F">
        <w:trPr>
          <w:trHeight w:val="850"/>
        </w:trPr>
        <w:tc>
          <w:tcPr>
            <w:tcW w:w="8957" w:type="dxa"/>
            <w:vAlign w:val="center"/>
          </w:tcPr>
          <w:p w14:paraId="3B43596A" w14:textId="3636D2DE" w:rsidR="00C62848" w:rsidRPr="006B0E08" w:rsidRDefault="00000000" w:rsidP="007A3A5F">
            <w:pPr>
              <w:pStyle w:val="TAMainText"/>
              <w:jc w:val="center"/>
              <w:rPr>
                <w:rFonts w:eastAsia="Times New Roman" w:cs="Times New Roman"/>
              </w:rPr>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zyy</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zyy</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y,cellulose</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y,Maxwell</m:t>
                                </m:r>
                              </m:sub>
                            </m:sSub>
                          </m:den>
                        </m:f>
                      </m:e>
                    </m:d>
                  </m:e>
                  <m:sup>
                    <m:r>
                      <m:rPr>
                        <m:sty m:val="p"/>
                      </m:rPr>
                      <w:rPr>
                        <w:rFonts w:ascii="Cambria Math" w:hAnsi="Cambria Math"/>
                      </w:rPr>
                      <m:t>2</m:t>
                    </m:r>
                  </m:sup>
                </m:sSup>
              </m:oMath>
            </m:oMathPara>
          </w:p>
        </w:tc>
        <w:tc>
          <w:tcPr>
            <w:tcW w:w="681" w:type="dxa"/>
            <w:vAlign w:val="center"/>
          </w:tcPr>
          <w:p w14:paraId="21C9FF5E" w14:textId="731E0ED9" w:rsidR="00C62848" w:rsidRPr="006B0E08" w:rsidRDefault="00000000" w:rsidP="007A3A5F">
            <w:pPr>
              <w:pStyle w:val="TAMainText"/>
              <w:jc w:val="center"/>
            </w:pPr>
            <m:oMathPara>
              <m:oMath>
                <m:d>
                  <m:dPr>
                    <m:ctrlPr>
                      <w:rPr>
                        <w:rFonts w:ascii="Cambria Math" w:hAnsi="Cambria Math"/>
                      </w:rPr>
                    </m:ctrlPr>
                  </m:dPr>
                  <m:e>
                    <m:r>
                      <w:rPr>
                        <w:rFonts w:ascii="Cambria Math" w:hAnsi="Cambria Math"/>
                      </w:rPr>
                      <m:t>12</m:t>
                    </m:r>
                  </m:e>
                </m:d>
              </m:oMath>
            </m:oMathPara>
          </w:p>
        </w:tc>
      </w:tr>
    </w:tbl>
    <w:p w14:paraId="2194E874" w14:textId="6AF8CFC5" w:rsidR="0053122C" w:rsidRDefault="007A3A5F" w:rsidP="00C62848">
      <w:pPr>
        <w:pStyle w:val="TAMainText"/>
        <w:ind w:firstLine="0"/>
        <w:rPr>
          <w:rFonts w:eastAsiaTheme="minorEastAsia"/>
        </w:rPr>
      </w:pPr>
      <w:r>
        <w:rPr>
          <w:rFonts w:eastAsiaTheme="minorEastAsia"/>
        </w:rPr>
        <w:t>A</w:t>
      </w:r>
      <w:r w:rsidR="00F61386" w:rsidRPr="006B0E08">
        <w:rPr>
          <w:rFonts w:eastAsiaTheme="minorEastAsia"/>
        </w:rPr>
        <w:t>nd</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C62848" w:rsidRPr="006B0E08" w14:paraId="5AE36E5A" w14:textId="77777777" w:rsidTr="007A3A5F">
        <w:trPr>
          <w:trHeight w:val="850"/>
        </w:trPr>
        <w:tc>
          <w:tcPr>
            <w:tcW w:w="8957" w:type="dxa"/>
            <w:vAlign w:val="center"/>
          </w:tcPr>
          <w:p w14:paraId="5AF2B5D9" w14:textId="324DC666" w:rsidR="00C62848" w:rsidRPr="007A3A5F" w:rsidRDefault="00000000" w:rsidP="007A3A5F">
            <w:pPr>
              <w:pStyle w:val="TAMainText"/>
              <w:jc w:val="center"/>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zzz</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zzz</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z,cellulose</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z,Maxwell</m:t>
                                </m:r>
                              </m:sub>
                            </m:sSub>
                          </m:den>
                        </m:f>
                      </m:e>
                    </m:d>
                  </m:e>
                  <m:sup>
                    <m:r>
                      <m:rPr>
                        <m:sty m:val="p"/>
                      </m:rPr>
                      <w:rPr>
                        <w:rFonts w:ascii="Cambria Math" w:hAnsi="Cambria Math"/>
                      </w:rPr>
                      <m:t>2</m:t>
                    </m:r>
                  </m:sup>
                </m:sSup>
              </m:oMath>
            </m:oMathPara>
          </w:p>
        </w:tc>
        <w:tc>
          <w:tcPr>
            <w:tcW w:w="681" w:type="dxa"/>
            <w:vAlign w:val="center"/>
          </w:tcPr>
          <w:p w14:paraId="2C372717" w14:textId="36A8C8D8" w:rsidR="00C62848" w:rsidRPr="006B0E08" w:rsidRDefault="00000000" w:rsidP="007A3A5F">
            <w:pPr>
              <w:pStyle w:val="TAMainText"/>
              <w:jc w:val="center"/>
            </w:pPr>
            <m:oMathPara>
              <m:oMath>
                <m:d>
                  <m:dPr>
                    <m:ctrlPr>
                      <w:rPr>
                        <w:rFonts w:ascii="Cambria Math" w:hAnsi="Cambria Math"/>
                      </w:rPr>
                    </m:ctrlPr>
                  </m:dPr>
                  <m:e>
                    <m:r>
                      <w:rPr>
                        <w:rFonts w:ascii="Cambria Math" w:hAnsi="Cambria Math"/>
                      </w:rPr>
                      <m:t>13</m:t>
                    </m:r>
                  </m:e>
                </m:d>
              </m:oMath>
            </m:oMathPara>
          </w:p>
        </w:tc>
      </w:tr>
    </w:tbl>
    <w:p w14:paraId="02FDE176" w14:textId="5592E9D7" w:rsidR="0053122C" w:rsidRPr="0053122C" w:rsidRDefault="0053122C" w:rsidP="00E72F8C">
      <w:pPr>
        <w:spacing w:line="480" w:lineRule="auto"/>
        <w:rPr>
          <w:szCs w:val="24"/>
        </w:rPr>
      </w:pPr>
      <w:r w:rsidRPr="006B0E08">
        <w:rPr>
          <w:szCs w:val="24"/>
        </w:rPr>
        <w:lastRenderedPageBreak/>
        <w:t xml:space="preserve">from which </w:t>
      </w:r>
      <w:r w:rsidR="00C038C8">
        <w:rPr>
          <w:szCs w:val="24"/>
        </w:rPr>
        <w:t>the rescaled</w:t>
      </w:r>
      <w:r w:rsidR="00C038C8" w:rsidRPr="006B0E08">
        <w:rPr>
          <w:szCs w:val="24"/>
        </w:rPr>
        <w:t xml:space="preserve"> </w:t>
      </w:r>
      <m:oMath>
        <m:sSub>
          <m:sSubPr>
            <m:ctrlPr>
              <w:rPr>
                <w:rFonts w:ascii="Cambria Math" w:hAnsi="Cambria Math"/>
                <w:i/>
                <w:iCs/>
              </w:rPr>
            </m:ctrlPr>
          </m:sSubPr>
          <m:e>
            <m:r>
              <w:rPr>
                <w:rFonts w:ascii="Cambria Math" w:hAnsi="Cambria Math"/>
              </w:rPr>
              <m:t>R</m:t>
            </m:r>
          </m:e>
          <m:sub>
            <m:sSub>
              <m:sSubPr>
                <m:ctrlPr>
                  <w:rPr>
                    <w:rFonts w:ascii="Cambria Math" w:hAnsi="Cambria Math"/>
                    <w:i/>
                    <w:iCs/>
                  </w:rPr>
                </m:ctrlPr>
              </m:sSubPr>
              <m:e>
                <m:r>
                  <w:rPr>
                    <w:rFonts w:ascii="Cambria Math" w:hAnsi="Cambria Math"/>
                  </w:rPr>
                  <m:t>C</m:t>
                </m:r>
              </m:e>
              <m:sub>
                <m:r>
                  <w:rPr>
                    <w:rFonts w:ascii="Cambria Math" w:hAnsi="Cambria Math"/>
                  </w:rPr>
                  <m:t>2v</m:t>
                </m:r>
              </m:sub>
            </m:sSub>
          </m:sub>
        </m:sSub>
      </m:oMath>
      <w:r w:rsidRPr="00C909AB">
        <w:rPr>
          <w:i/>
          <w:iCs/>
        </w:rPr>
        <w:t xml:space="preserve">, </w:t>
      </w:r>
      <m:oMath>
        <m:sSub>
          <m:sSubPr>
            <m:ctrlPr>
              <w:rPr>
                <w:rFonts w:ascii="Cambria Math" w:hAnsi="Cambria Math"/>
              </w:rPr>
            </m:ctrlPr>
          </m:sSubPr>
          <m:e>
            <m:r>
              <m:rPr>
                <m:sty m:val="p"/>
              </m:rPr>
              <w:rPr>
                <w:rFonts w:ascii="Cambria Math" w:hAnsi="Cambria Math"/>
              </w:rPr>
              <m:t>DR</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2v</m:t>
                </m:r>
              </m:sub>
            </m:sSub>
          </m:sub>
        </m:sSub>
      </m:oMath>
      <w:r w:rsidRPr="006B0E08">
        <w:t xml:space="preserve">, and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2v</m:t>
                </m:r>
              </m:sub>
            </m:sSub>
          </m:sub>
        </m:sSub>
      </m:oMath>
      <w:r w:rsidRPr="006B0E08">
        <w:t xml:space="preserve"> can </w:t>
      </w:r>
      <w:r w:rsidR="000A4B9F" w:rsidRPr="006B0E08">
        <w:t xml:space="preserve">then </w:t>
      </w:r>
      <w:r w:rsidRPr="006B0E08">
        <w:t>be calculated.</w:t>
      </w:r>
      <w:r w:rsidR="00AA0113">
        <w:t xml:space="preserve"> </w:t>
      </w:r>
    </w:p>
    <w:p w14:paraId="7AD60B13" w14:textId="4272CE1A" w:rsidR="00937413" w:rsidRPr="00937413" w:rsidRDefault="00937413" w:rsidP="0042720A">
      <w:pPr>
        <w:pStyle w:val="TAMainText"/>
        <w:ind w:firstLine="0"/>
        <w:rPr>
          <w:b/>
          <w:bCs/>
        </w:rPr>
      </w:pPr>
      <w:r w:rsidRPr="00937413">
        <w:rPr>
          <w:b/>
          <w:bCs/>
        </w:rPr>
        <w:t>Part I</w:t>
      </w:r>
      <w:r w:rsidR="009C5A56">
        <w:rPr>
          <w:b/>
          <w:bCs/>
        </w:rPr>
        <w:t>II</w:t>
      </w:r>
      <w:r w:rsidRPr="00937413">
        <w:rPr>
          <w:b/>
          <w:bCs/>
        </w:rPr>
        <w:t xml:space="preserve">: Results </w:t>
      </w:r>
    </w:p>
    <w:p w14:paraId="0073D7BC" w14:textId="77777777" w:rsidR="00937413" w:rsidRPr="00937413" w:rsidRDefault="00937413" w:rsidP="00937413">
      <w:pPr>
        <w:pStyle w:val="TAMainText"/>
        <w:rPr>
          <w:b/>
          <w:bCs/>
        </w:rPr>
      </w:pPr>
      <w:r w:rsidRPr="00937413">
        <w:rPr>
          <w:b/>
          <w:bCs/>
        </w:rPr>
        <w:t>HRS of CNC – Internal Reference method and depolarization ratio</w:t>
      </w:r>
    </w:p>
    <w:p w14:paraId="7727F646" w14:textId="32ACB89C" w:rsidR="00937413" w:rsidRDefault="00937413" w:rsidP="00937413">
      <w:pPr>
        <w:pStyle w:val="TAMainText"/>
        <w:rPr>
          <w:rFonts w:eastAsiaTheme="minorEastAsia"/>
        </w:rPr>
      </w:pPr>
      <w:r>
        <w:rPr>
          <w:rFonts w:eastAsiaTheme="minorEastAsia"/>
        </w:rPr>
        <w:t xml:space="preserve">The </w:t>
      </w:r>
      <w:r w:rsidR="00C62848">
        <w:rPr>
          <w:rFonts w:eastAsiaTheme="minorEastAsia"/>
        </w:rPr>
        <w:t>SONLO</w:t>
      </w:r>
      <w:r>
        <w:rPr>
          <w:rFonts w:eastAsiaTheme="minorEastAsia"/>
        </w:rPr>
        <w:t xml:space="preserve"> response of the CNC correlates directly</w:t>
      </w:r>
      <w:r w:rsidRPr="005B4561">
        <w:rPr>
          <w:rFonts w:eastAsiaTheme="minorEastAsia"/>
        </w:rPr>
        <w:t xml:space="preserve"> to the</w:t>
      </w:r>
      <w:r>
        <w:rPr>
          <w:rFonts w:eastAsiaTheme="minorEastAsia"/>
        </w:rPr>
        <w:t>ir</w:t>
      </w:r>
      <w:r w:rsidRPr="005B4561">
        <w:rPr>
          <w:rFonts w:eastAsiaTheme="minorEastAsia"/>
        </w:rPr>
        <w:t xml:space="preserve"> physical </w:t>
      </w:r>
      <w:r>
        <w:rPr>
          <w:rFonts w:eastAsiaTheme="minorEastAsia"/>
        </w:rPr>
        <w:t>dimensions.</w:t>
      </w:r>
      <w:r w:rsidRPr="005B4561">
        <w:rPr>
          <w:rFonts w:eastAsiaTheme="minorEastAsia"/>
        </w:rPr>
        <w:t xml:space="preserve"> For a fixed wt</w:t>
      </w:r>
      <w:r w:rsidR="00D209A7">
        <w:rPr>
          <w:rFonts w:eastAsiaTheme="minorEastAsia"/>
        </w:rPr>
        <w:t xml:space="preserve">. </w:t>
      </w:r>
      <w:r w:rsidRPr="005B4561">
        <w:rPr>
          <w:rFonts w:eastAsiaTheme="minorEastAsia"/>
        </w:rPr>
        <w:t xml:space="preserve">% of cellulose, a higher number of </w:t>
      </w:r>
      <w:r>
        <w:rPr>
          <w:rFonts w:eastAsiaTheme="minorEastAsia"/>
        </w:rPr>
        <w:t>cellulose</w:t>
      </w:r>
      <w:r w:rsidRPr="005B4561">
        <w:rPr>
          <w:rFonts w:eastAsiaTheme="minorEastAsia"/>
        </w:rPr>
        <w:t xml:space="preserve"> chain packing</w:t>
      </w:r>
      <w:r>
        <w:rPr>
          <w:rFonts w:eastAsiaTheme="minorEastAsia"/>
        </w:rPr>
        <w:t xml:space="preserve"> within a CNC</w:t>
      </w:r>
      <w:r w:rsidRPr="005B4561">
        <w:rPr>
          <w:rFonts w:eastAsiaTheme="minorEastAsia"/>
        </w:rPr>
        <w:t xml:space="preserve"> will lead to a higher </w:t>
      </w:r>
      <w:r w:rsidR="008B4ED6">
        <w:rPr>
          <w:rFonts w:eastAsiaTheme="minorEastAsia"/>
        </w:rPr>
        <w:t xml:space="preserve">SONLO </w:t>
      </w:r>
      <w:r w:rsidRPr="005B4561">
        <w:rPr>
          <w:rFonts w:eastAsiaTheme="minorEastAsia"/>
        </w:rPr>
        <w:t xml:space="preserve">signal. This is due to the inherent coherent scattering of ensembles as described by </w:t>
      </w:r>
      <w:proofErr w:type="spellStart"/>
      <w:r w:rsidRPr="005B4561">
        <w:rPr>
          <w:rFonts w:eastAsiaTheme="minorEastAsia"/>
        </w:rPr>
        <w:t>eqn</w:t>
      </w:r>
      <w:proofErr w:type="spellEnd"/>
      <w:r w:rsidR="009E2117">
        <w:rPr>
          <w:rFonts w:eastAsiaTheme="minorEastAsia"/>
        </w:rPr>
        <w:t> </w:t>
      </w:r>
      <w:r w:rsidRPr="005B4561">
        <w:rPr>
          <w:rFonts w:eastAsiaTheme="minorEastAsia"/>
        </w:rPr>
        <w:t>(</w:t>
      </w:r>
      <w:r w:rsidR="00C27BA8">
        <w:rPr>
          <w:rFonts w:eastAsiaTheme="minorEastAsia"/>
        </w:rPr>
        <w:t>3</w:t>
      </w:r>
      <w:r w:rsidRPr="005B4561">
        <w:rPr>
          <w:rFonts w:eastAsiaTheme="minorEastAsia"/>
        </w:rPr>
        <w:t xml:space="preserve">). </w:t>
      </w:r>
      <w:r>
        <w:rPr>
          <w:rFonts w:eastAsiaTheme="minorEastAsia"/>
        </w:rPr>
        <w:t xml:space="preserve">The </w:t>
      </w:r>
      <w:r w:rsidR="00721327">
        <w:rPr>
          <w:rFonts w:eastAsiaTheme="minorEastAsia"/>
        </w:rPr>
        <w:t xml:space="preserve">first </w:t>
      </w:r>
      <w:r>
        <w:rPr>
          <w:rFonts w:eastAsiaTheme="minorEastAsia"/>
        </w:rPr>
        <w:t>hyperpolarizability of CNC is obtained from a linear regression fit to the HRS on a rod/L basis. The concentration is initially characterized by weight percent</w:t>
      </w:r>
      <w:r w:rsidR="00665E27">
        <w:rPr>
          <w:rFonts w:eastAsiaTheme="minorEastAsia"/>
        </w:rPr>
        <w:t>,</w:t>
      </w:r>
      <w:r>
        <w:rPr>
          <w:rFonts w:eastAsiaTheme="minorEastAsia"/>
        </w:rPr>
        <w:t xml:space="preserve"> but this is then transformed to an expression in rods.</w:t>
      </w:r>
    </w:p>
    <w:p w14:paraId="531FD75D" w14:textId="757222A8" w:rsidR="00937413" w:rsidRPr="001A3616" w:rsidRDefault="00937413" w:rsidP="001A3616">
      <w:pPr>
        <w:pStyle w:val="TAMainText"/>
        <w:rPr>
          <w:rFonts w:eastAsiaTheme="minorEastAsia"/>
        </w:rPr>
      </w:pPr>
      <w:r w:rsidRPr="005B4561">
        <w:rPr>
          <w:rFonts w:eastAsiaTheme="minorEastAsia"/>
        </w:rPr>
        <w:t>As a simplified approximation</w:t>
      </w:r>
      <w:r>
        <w:rPr>
          <w:rFonts w:eastAsiaTheme="minorEastAsia"/>
        </w:rPr>
        <w:t>,</w:t>
      </w:r>
      <w:r w:rsidRPr="005B4561">
        <w:rPr>
          <w:rFonts w:eastAsiaTheme="minorEastAsia"/>
        </w:rPr>
        <w:t xml:space="preserve"> we </w:t>
      </w:r>
      <w:r>
        <w:rPr>
          <w:rFonts w:eastAsiaTheme="minorEastAsia"/>
        </w:rPr>
        <w:t>consider the</w:t>
      </w:r>
      <w:r w:rsidRPr="005B4561">
        <w:rPr>
          <w:rFonts w:eastAsiaTheme="minorEastAsia"/>
        </w:rPr>
        <w:t xml:space="preserve"> response </w:t>
      </w:r>
      <w:r>
        <w:rPr>
          <w:rFonts w:eastAsiaTheme="minorEastAsia"/>
        </w:rPr>
        <w:t>of</w:t>
      </w:r>
      <w:r w:rsidRPr="005B4561">
        <w:rPr>
          <w:rFonts w:eastAsiaTheme="minorEastAsia"/>
        </w:rPr>
        <w:t xml:space="preserve"> </w:t>
      </w:r>
      <w:r>
        <w:rPr>
          <w:rFonts w:eastAsiaTheme="minorEastAsia"/>
        </w:rPr>
        <w:t>identical rods with the average dimensions of the distribution</w:t>
      </w:r>
      <w:r w:rsidRPr="005B4561">
        <w:rPr>
          <w:rFonts w:eastAsiaTheme="minorEastAsia"/>
        </w:rPr>
        <w:t xml:space="preserve">. These dimensions were determined by AFM provided in </w:t>
      </w:r>
      <w:r w:rsidR="000566E6">
        <w:rPr>
          <w:rFonts w:eastAsiaTheme="minorEastAsia"/>
        </w:rPr>
        <w:t>Fig.</w:t>
      </w:r>
      <w:r w:rsidR="00FC4095">
        <w:rPr>
          <w:rFonts w:eastAsiaTheme="minorEastAsia"/>
        </w:rPr>
        <w:t xml:space="preserve"> </w:t>
      </w:r>
      <w:r w:rsidR="00667CC0">
        <w:rPr>
          <w:rFonts w:eastAsiaTheme="minorEastAsia"/>
        </w:rPr>
        <w:t>5</w:t>
      </w:r>
      <w:r w:rsidRPr="005B4561">
        <w:rPr>
          <w:rFonts w:eastAsiaTheme="minorEastAsia"/>
        </w:rPr>
        <w:t>.</w:t>
      </w:r>
      <w:r>
        <w:rPr>
          <w:rFonts w:eastAsiaTheme="minorEastAsia"/>
        </w:rPr>
        <w:t xml:space="preserve"> A hypothetical 1</w:t>
      </w:r>
      <w:r w:rsidR="009E2117">
        <w:rPr>
          <w:rFonts w:eastAsiaTheme="minorEastAsia"/>
        </w:rPr>
        <w:t xml:space="preserve"> </w:t>
      </w:r>
      <w:r>
        <w:rPr>
          <w:rFonts w:eastAsiaTheme="minorEastAsia"/>
        </w:rPr>
        <w:t>L of suspension at 0.1 wt.% will contain 1 gram of cellulose material.  Using the molar mass of one AGU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M</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6</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6</m:t>
                </m:r>
              </m:sub>
            </m:sSub>
          </m:sub>
        </m:sSub>
      </m:oMath>
      <w:r>
        <w:rPr>
          <w:rFonts w:eastAsiaTheme="minorEastAsia"/>
        </w:rPr>
        <w:t xml:space="preserve"> = 180.145 g/mol) we calculate a total number of AGU units,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AGU</m:t>
            </m:r>
          </m:sub>
        </m:sSub>
      </m:oMath>
      <w:r>
        <w:rPr>
          <w:rFonts w:eastAsiaTheme="minorEastAsia"/>
        </w:rPr>
        <w:t xml:space="preserve"> = 3.342 × 10</w:t>
      </w:r>
      <w:r w:rsidRPr="008A2607">
        <w:rPr>
          <w:rFonts w:eastAsiaTheme="minorEastAsia"/>
          <w:vertAlign w:val="superscript"/>
        </w:rPr>
        <w:t>21</w:t>
      </w:r>
      <w:r>
        <w:rPr>
          <w:rFonts w:eastAsiaTheme="minorEastAsia"/>
        </w:rPr>
        <w:t xml:space="preserve"> in this suspension. The </w:t>
      </w:r>
      <w:r w:rsidR="000A563A">
        <w:rPr>
          <w:rFonts w:eastAsiaTheme="minorEastAsia"/>
        </w:rPr>
        <w:t xml:space="preserve">average </w:t>
      </w:r>
      <w:r>
        <w:rPr>
          <w:rFonts w:eastAsiaTheme="minorEastAsia"/>
        </w:rPr>
        <w:t xml:space="preserve">dimensions of the CNC obtained by AFM yielded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r>
          <w:rPr>
            <w:rFonts w:ascii="Cambria Math" w:eastAsiaTheme="minorEastAsia" w:hAnsi="Cambria Math"/>
          </w:rPr>
          <m:t xml:space="preserve">= </m:t>
        </m:r>
        <m:r>
          <m:rPr>
            <m:sty m:val="p"/>
          </m:rPr>
          <w:rPr>
            <w:rFonts w:ascii="Cambria Math" w:eastAsiaTheme="minorEastAsia" w:hAnsi="Cambria Math"/>
          </w:rPr>
          <m:t xml:space="preserve">7.5 nm </m:t>
        </m:r>
      </m:oMath>
      <w:r>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3</m:t>
            </m:r>
          </m:sub>
        </m:sSub>
        <m:r>
          <w:rPr>
            <w:rFonts w:ascii="Cambria Math" w:eastAsiaTheme="minorEastAsia" w:hAnsi="Cambria Math"/>
          </w:rPr>
          <m:t xml:space="preserve">=170.6 </m:t>
        </m:r>
        <m:r>
          <m:rPr>
            <m:sty m:val="p"/>
          </m:rPr>
          <w:rPr>
            <w:rFonts w:ascii="Cambria Math" w:eastAsiaTheme="minorEastAsia" w:hAnsi="Cambria Math"/>
          </w:rPr>
          <m:t xml:space="preserve">nm </m:t>
        </m:r>
      </m:oMath>
      <w:r>
        <w:rPr>
          <w:rFonts w:eastAsiaTheme="minorEastAsia"/>
        </w:rPr>
        <w:t>. With these dimensions, the average amount of AGU per rod was calculated using eqn</w:t>
      </w:r>
      <w:r w:rsidR="002E1BCE">
        <w:rPr>
          <w:rFonts w:eastAsiaTheme="minorEastAsia"/>
        </w:rPr>
        <w:t xml:space="preserve"> </w:t>
      </w:r>
      <w:r>
        <w:rPr>
          <w:rFonts w:eastAsiaTheme="minorEastAsia"/>
        </w:rPr>
        <w:t>(1) to give</w:t>
      </w:r>
      <m:oMath>
        <m:r>
          <w:rPr>
            <w:rFonts w:ascii="Cambria Math" w:eastAsiaTheme="minorEastAsia" w:hAnsi="Cambria Math"/>
          </w:rPr>
          <m:t xml:space="preserve"> 58390</m:t>
        </m:r>
      </m:oMath>
      <w:r>
        <w:rPr>
          <w:rFonts w:eastAsiaTheme="minorEastAsia"/>
        </w:rPr>
        <w:t xml:space="preserve"> (AGU/rod). Using the total number of AGU units,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AGU</m:t>
            </m:r>
          </m:sub>
        </m:sSub>
      </m:oMath>
      <w:r w:rsidR="009E2117">
        <w:rPr>
          <w:rFonts w:eastAsiaTheme="minorEastAsia"/>
        </w:rPr>
        <w:t>,</w:t>
      </w:r>
      <w:r>
        <w:rPr>
          <w:rFonts w:eastAsiaTheme="minorEastAsia"/>
        </w:rPr>
        <w:t xml:space="preserve"> we obtained an average value for the total number of rods in 1</w:t>
      </w:r>
      <w:r w:rsidR="009E2117">
        <w:rPr>
          <w:rFonts w:eastAsiaTheme="minorEastAsia"/>
        </w:rPr>
        <w:t xml:space="preserve"> </w:t>
      </w:r>
      <w:r>
        <w:rPr>
          <w:rFonts w:eastAsiaTheme="minorEastAsia"/>
        </w:rPr>
        <w:t xml:space="preserve">L of 0.1 wt.%,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rods</m:t>
            </m:r>
          </m:sub>
        </m:sSub>
        <m:r>
          <w:rPr>
            <w:rFonts w:ascii="Cambria Math" w:eastAsiaTheme="minorEastAsia" w:hAnsi="Cambria Math"/>
          </w:rPr>
          <m:t>=</m:t>
        </m:r>
      </m:oMath>
      <w:r>
        <w:rPr>
          <w:rFonts w:eastAsiaTheme="minorEastAsia"/>
        </w:rPr>
        <w:t xml:space="preserve"> 5.725 × 10</w:t>
      </w:r>
      <w:r w:rsidRPr="00A87302">
        <w:rPr>
          <w:rFonts w:eastAsiaTheme="minorEastAsia"/>
          <w:vertAlign w:val="superscript"/>
        </w:rPr>
        <w:t>16</w:t>
      </w:r>
      <w:r>
        <w:rPr>
          <w:rFonts w:eastAsiaTheme="minorEastAsia"/>
        </w:rPr>
        <w:t xml:space="preserve"> rods. Since the dimension and distribution of the rods </w:t>
      </w:r>
      <w:r w:rsidR="004D5D51">
        <w:rPr>
          <w:rFonts w:eastAsiaTheme="minorEastAsia"/>
        </w:rPr>
        <w:t>remains constant</w:t>
      </w:r>
      <w:r>
        <w:rPr>
          <w:rFonts w:eastAsiaTheme="minorEastAsia"/>
        </w:rPr>
        <w:t xml:space="preserve"> in each concentration sample, the total number of rods varies linearly with weight concentration. Given</w:t>
      </w:r>
      <w:r w:rsidRPr="00243A84">
        <w:rPr>
          <w:rFonts w:eastAsiaTheme="minorEastAsia"/>
        </w:rPr>
        <w:t xml:space="preserve"> these values were </w:t>
      </w:r>
      <w:r>
        <w:rPr>
          <w:rFonts w:eastAsiaTheme="minorEastAsia"/>
        </w:rPr>
        <w:t>derived for a</w:t>
      </w:r>
      <w:r w:rsidRPr="00243A84">
        <w:rPr>
          <w:rFonts w:eastAsiaTheme="minorEastAsia"/>
        </w:rPr>
        <w:t xml:space="preserve"> hypothetical 1-liter volume, we can </w:t>
      </w:r>
      <w:r>
        <w:rPr>
          <w:rFonts w:eastAsiaTheme="minorEastAsia"/>
        </w:rPr>
        <w:t>also use them</w:t>
      </w:r>
      <w:r w:rsidRPr="00243A84">
        <w:rPr>
          <w:rFonts w:eastAsiaTheme="minorEastAsia"/>
        </w:rPr>
        <w:t xml:space="preserve"> as</w:t>
      </w:r>
      <w:r>
        <w:rPr>
          <w:rFonts w:eastAsiaTheme="minorEastAsia"/>
        </w:rPr>
        <w:t xml:space="preserve"> a</w:t>
      </w:r>
      <w:r w:rsidRPr="00243A84">
        <w:rPr>
          <w:rFonts w:eastAsiaTheme="minorEastAsia"/>
        </w:rPr>
        <w:t xml:space="preserve"> concentration per </w:t>
      </w:r>
      <w:r w:rsidR="00C20E76" w:rsidRPr="00243A84">
        <w:rPr>
          <w:rFonts w:eastAsiaTheme="minorEastAsia"/>
        </w:rPr>
        <w:t>lit</w:t>
      </w:r>
      <w:r w:rsidR="00C20E76">
        <w:rPr>
          <w:rFonts w:eastAsiaTheme="minorEastAsia"/>
        </w:rPr>
        <w:t>er</w:t>
      </w:r>
      <w:r>
        <w:rPr>
          <w:rFonts w:eastAsiaTheme="minorEastAsia"/>
        </w:rPr>
        <w:t xml:space="preserve"> basis. The HRS response plotted against rods/L is provided in Fig. </w:t>
      </w:r>
      <w:r w:rsidR="00DD5618">
        <w:rPr>
          <w:rFonts w:eastAsiaTheme="minorEastAsia"/>
        </w:rPr>
        <w:t>3</w:t>
      </w:r>
      <w:r>
        <w:rPr>
          <w:rFonts w:eastAsiaTheme="minorEastAsia"/>
        </w:rPr>
        <w:t xml:space="preserve">A. The </w:t>
      </w:r>
      <w:r w:rsidR="009D2E98">
        <w:rPr>
          <w:rFonts w:eastAsiaTheme="minorEastAsia"/>
        </w:rPr>
        <w:t xml:space="preserve">first </w:t>
      </w:r>
      <w:r>
        <w:rPr>
          <w:rFonts w:eastAsiaTheme="minorEastAsia"/>
        </w:rPr>
        <w:t xml:space="preserve">hyperpolarizability corresponding to that of the average rod is denoted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oMath>
      <w:r>
        <w:rPr>
          <w:rFonts w:eastAsiaTheme="minorEastAsia"/>
        </w:rPr>
        <w:t>.</w:t>
      </w:r>
    </w:p>
    <w:p w14:paraId="0795DA70" w14:textId="3790CB75" w:rsidR="00937413" w:rsidRPr="00587395" w:rsidRDefault="00937413" w:rsidP="00587395">
      <w:pPr>
        <w:pStyle w:val="TAMainText"/>
      </w:pPr>
      <w:r>
        <w:lastRenderedPageBreak/>
        <w:t>For the internal method</w:t>
      </w:r>
      <w:r w:rsidR="00156CB1">
        <w:t xml:space="preserve"> (see ESI.8)</w:t>
      </w:r>
      <w:r>
        <w:t>, we have for</w:t>
      </w:r>
      <w:r w:rsidRPr="005401E0">
        <w:t xml:space="preserve"> the solvent (S</w:t>
      </w:r>
      <w:r w:rsidR="009E2117">
        <w:t xml:space="preserve"> </w:t>
      </w:r>
      <w:r w:rsidRPr="005401E0">
        <w:t>=</w:t>
      </w:r>
      <w:r w:rsidR="009E2117">
        <w:t xml:space="preserve"> </w:t>
      </w:r>
      <w:r w:rsidR="007E7143">
        <w:t>water</w:t>
      </w:r>
      <w:r w:rsidRPr="005401E0">
        <w:t xml:space="preserve">), </w:t>
      </w:r>
      <w:r w:rsidR="00406908">
        <w:t>a</w:t>
      </w:r>
      <w:r w:rsidR="00406908" w:rsidRPr="005401E0">
        <w:t xml:space="preserve"> </w:t>
      </w:r>
      <w:r w:rsidRPr="005401E0">
        <w:t xml:space="preserve">molarity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eastAsiaTheme="minorEastAsia" w:hAnsi="Cambria Math"/>
          </w:rPr>
          <m:t xml:space="preserve"> </m:t>
        </m:r>
      </m:oMath>
      <w:r w:rsidRPr="005401E0">
        <w:rPr>
          <w:rFonts w:eastAsiaTheme="minorEastAsia"/>
        </w:rPr>
        <w:t>= 55.56</w:t>
      </w:r>
      <w:r w:rsidR="009E2117">
        <w:rPr>
          <w:rFonts w:eastAsiaTheme="minorEastAsia"/>
        </w:rPr>
        <w:t> </w:t>
      </w:r>
      <w:r w:rsidRPr="005401E0">
        <w:rPr>
          <w:rFonts w:eastAsiaTheme="minorEastAsia"/>
        </w:rPr>
        <w:t xml:space="preserve">mol/L and the static </w:t>
      </w:r>
      <w:proofErr w:type="spellStart"/>
      <w:r w:rsidRPr="005401E0">
        <w:rPr>
          <w:rFonts w:eastAsiaTheme="minorEastAsia"/>
        </w:rPr>
        <w:t>hyperpolarizabiliy</w:t>
      </w:r>
      <w:proofErr w:type="spellEnd"/>
      <w:r w:rsidRPr="005401E0">
        <w:t xml:space="preserve"> </w:t>
      </w:r>
      <m:oMath>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 xml:space="preserve">zzz, </m:t>
            </m:r>
            <m:r>
              <m:rPr>
                <m:sty m:val="p"/>
              </m:rPr>
              <w:rPr>
                <w:rFonts w:ascii="Cambria Math" w:eastAsiaTheme="minorEastAsia" w:hAnsi="Cambria Math"/>
              </w:rPr>
              <m:t>water</m:t>
            </m:r>
            <m:r>
              <w:rPr>
                <w:rFonts w:ascii="Cambria Math" w:eastAsiaTheme="minorEastAsia" w:hAnsi="Cambria Math"/>
              </w:rPr>
              <m:t>,  0</m:t>
            </m:r>
          </m:sub>
        </m:sSub>
        <m:r>
          <w:rPr>
            <w:rFonts w:ascii="Cambria Math" w:hAnsi="Cambria Math"/>
          </w:rPr>
          <m:t>=0.186 </m:t>
        </m:r>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10</m:t>
            </m:r>
          </m:e>
          <m:sup>
            <m:r>
              <w:rPr>
                <w:rFonts w:ascii="Cambria Math" w:eastAsiaTheme="minorEastAsia" w:hAnsi="Cambria Math"/>
              </w:rPr>
              <m:t>-30</m:t>
            </m:r>
          </m:sup>
        </m:sSup>
      </m:oMath>
      <w:r w:rsidR="00587395">
        <w:t xml:space="preserve"> esu. </w:t>
      </w:r>
      <w:r w:rsidR="00C85C31">
        <w:t xml:space="preserve"> </w:t>
      </w:r>
      <w:r w:rsidRPr="005401E0">
        <w:rPr>
          <w:rFonts w:eastAsiaTheme="minorEastAsia"/>
          <w:iCs/>
        </w:rPr>
        <w:t xml:space="preserve">By using the two </w:t>
      </w:r>
      <w:r>
        <w:rPr>
          <w:rFonts w:eastAsiaTheme="minorEastAsia"/>
          <w:iCs/>
        </w:rPr>
        <w:t>sta</w:t>
      </w:r>
      <w:r w:rsidR="00AD580B">
        <w:rPr>
          <w:rFonts w:eastAsiaTheme="minorEastAsia"/>
          <w:iCs/>
        </w:rPr>
        <w:t>t</w:t>
      </w:r>
      <w:r>
        <w:rPr>
          <w:rFonts w:eastAsiaTheme="minorEastAsia"/>
          <w:iCs/>
        </w:rPr>
        <w:t>e</w:t>
      </w:r>
      <w:r w:rsidRPr="005401E0">
        <w:rPr>
          <w:rFonts w:eastAsiaTheme="minorEastAsia"/>
          <w:iCs/>
        </w:rPr>
        <w:t xml:space="preserve"> model we can calculate </w:t>
      </w:r>
      <m:oMath>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zzz,</m:t>
            </m:r>
            <m:r>
              <m:rPr>
                <m:sty m:val="p"/>
              </m:rPr>
              <w:rPr>
                <w:rFonts w:ascii="Cambria Math" w:eastAsiaTheme="minorEastAsia" w:hAnsi="Cambria Math"/>
              </w:rPr>
              <m:t>water</m:t>
            </m:r>
          </m:sub>
        </m:sSub>
      </m:oMath>
      <w:r>
        <w:rPr>
          <w:rFonts w:eastAsiaTheme="minorEastAsia"/>
        </w:rPr>
        <w:t xml:space="preserve"> </w:t>
      </w:r>
      <m:oMath>
        <m:r>
          <w:rPr>
            <w:rFonts w:ascii="Cambria Math" w:eastAsiaTheme="minorEastAsia" w:hAnsi="Cambria Math"/>
          </w:rPr>
          <m:t xml:space="preserve"> </m:t>
        </m:r>
      </m:oMath>
      <w:r w:rsidRPr="005401E0">
        <w:rPr>
          <w:rFonts w:eastAsiaTheme="minorEastAsia"/>
        </w:rPr>
        <w:t>at a specific wavelength</w:t>
      </w:r>
      <w:r>
        <w:rPr>
          <w:rFonts w:eastAsiaTheme="minorEastAsia"/>
        </w:rPr>
        <w:t xml:space="preserve">. </w:t>
      </w:r>
      <w:r w:rsidRPr="005401E0">
        <w:rPr>
          <w:rFonts w:eastAsiaTheme="minorEastAsia"/>
        </w:rPr>
        <w:t xml:space="preserve">Using the values obtained by </w:t>
      </w:r>
      <w:r w:rsidR="002E0388">
        <w:rPr>
          <w:rFonts w:eastAsiaTheme="minorEastAsia"/>
        </w:rPr>
        <w:t>Campo</w:t>
      </w:r>
      <w:r w:rsidRPr="005401E0">
        <w:rPr>
          <w:rFonts w:eastAsiaTheme="minorEastAsia"/>
        </w:rPr>
        <w:t xml:space="preserve"> </w:t>
      </w:r>
      <w:r w:rsidRPr="00E0347A">
        <w:rPr>
          <w:rFonts w:eastAsiaTheme="minorEastAsia"/>
          <w:i/>
          <w:iCs/>
        </w:rPr>
        <w:t>et al</w:t>
      </w:r>
      <w:r w:rsidR="00D35264" w:rsidRPr="00E0347A">
        <w:rPr>
          <w:rFonts w:eastAsiaTheme="minorEastAsia"/>
          <w:i/>
          <w:iCs/>
        </w:rPr>
        <w:t>.</w:t>
      </w:r>
      <w:r w:rsidRPr="005401E0">
        <w:rPr>
          <w:rFonts w:eastAsiaTheme="minorEastAsia"/>
        </w:rPr>
        <w:t xml:space="preserve"> we obtain </w:t>
      </w:r>
      <m:oMath>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zzz,</m:t>
            </m:r>
            <m:r>
              <m:rPr>
                <m:sty m:val="p"/>
              </m:rPr>
              <w:rPr>
                <w:rFonts w:ascii="Cambria Math" w:eastAsiaTheme="minorEastAsia" w:hAnsi="Cambria Math"/>
              </w:rPr>
              <m:t>water</m:t>
            </m:r>
          </m:sub>
        </m:sSub>
        <m:r>
          <w:rPr>
            <w:rFonts w:ascii="Cambria Math" w:eastAsiaTheme="minorEastAsia" w:hAnsi="Cambria Math"/>
          </w:rPr>
          <m:t xml:space="preserve">=0.191 </m:t>
        </m:r>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10</m:t>
            </m:r>
          </m:e>
          <m:sup>
            <m:r>
              <w:rPr>
                <w:rFonts w:ascii="Cambria Math" w:eastAsiaTheme="minorEastAsia" w:hAnsi="Cambria Math"/>
              </w:rPr>
              <m:t>-30</m:t>
            </m:r>
          </m:sup>
        </m:sSup>
        <m:r>
          <w:rPr>
            <w:rFonts w:ascii="Cambria Math" w:eastAsiaTheme="minorEastAsia" w:hAnsi="Cambria Math"/>
          </w:rPr>
          <m:t xml:space="preserve"> </m:t>
        </m:r>
      </m:oMath>
      <w:r w:rsidR="00CA30A6">
        <w:t>esu</w:t>
      </w:r>
      <w:r w:rsidR="00CA30A6" w:rsidRPr="005401E0">
        <w:rPr>
          <w:rFonts w:eastAsiaTheme="minorEastAsia"/>
        </w:rPr>
        <w:t xml:space="preserve"> </w:t>
      </w:r>
      <w:r w:rsidRPr="005401E0">
        <w:rPr>
          <w:rFonts w:eastAsiaTheme="minorEastAsia"/>
        </w:rPr>
        <w:t>at an excitation wavelength of 1030</w:t>
      </w:r>
      <w:r w:rsidR="00D35264">
        <w:rPr>
          <w:rFonts w:eastAsiaTheme="minorEastAsia"/>
        </w:rPr>
        <w:t> </w:t>
      </w:r>
      <w:r w:rsidRPr="005401E0">
        <w:rPr>
          <w:rFonts w:eastAsiaTheme="minorEastAsia"/>
        </w:rPr>
        <w:t>nm.</w:t>
      </w:r>
      <w:r w:rsidR="00765C80">
        <w:rPr>
          <w:rFonts w:eastAsiaTheme="minorEastAsia"/>
        </w:rPr>
        <w:fldChar w:fldCharType="begin" w:fldLock="1"/>
      </w:r>
      <w:r w:rsidR="00230CB5">
        <w:rPr>
          <w:rFonts w:eastAsiaTheme="minorEastAsia"/>
        </w:rPr>
        <w:instrText>ADDIN CSL_CITATION {"citationItems":[{"id":"ITEM-1","itemData":{"DOI":"10.1364/oe.17.004587","ISSN":"1094-4087","abstract":"A very sensitive experimental setup for accurate wavelength-dependent hyper-Rayleigh scattering (HRS) measurements of the molecular first hyperpolarizability beta in the broad fundamental wavelength range of 600 to 1800 nm is presented. The setup makes use of a stable continuously tunable picosecond optical parametric amplifier with kilohertz repetition rate. To correct for multi-photon fluorescence, a small spectral range around the second harmonic wavelength is detected in parallel using a spectrograph coupled to an intensified charge-coupled device. Reliable calibration against the pure solvent is possible over the full accessible spectral range. An extensive set of wavelength-dependent HRS calibration data for a wide range of solvents is presented, and very accurate measurements of the beta dispersion of the well-known nonlinear optical chromophore Disperse Red 1 are demonstrated.","author":[{"dropping-particle":"","family":"Campo","given":"Jochen","non-dropping-particle":"","parse-names":false,"suffix":""},{"dropping-particle":"","family":"Desmet","given":"Filip","non-dropping-particle":"","parse-names":false,"suffix":""},{"dropping-particle":"","family":"Wenseleers","given":"Wim","non-dropping-particle":"","parse-names":false,"suffix":""},{"dropping-particle":"","family":"Goovaerts","given":"Etienne","non-dropping-particle":"","parse-names":false,"suffix":""}],"container-title":"Optics Express","id":"ITEM-1","issue":"6","issued":{"date-parts":[["2009"]]},"page":"4587","title":"Highly sensitive setup for tunable wavelength hyper-Rayleigh scattering with parallel detection and calibration data for various solvents","type":"article-journal","volume":"17"},"uris":["http://www.mendeley.com/documents/?uuid=56dc3897-e93c-4d0d-bed2-ee4c2ffbc728"]}],"mendeley":{"formattedCitation":"&lt;sup&gt;58&lt;/sup&gt;","plainTextFormattedCitation":"58","previouslyFormattedCitation":"&lt;sup&gt;58&lt;/sup&gt;"},"properties":{"noteIndex":0},"schema":"https://github.com/citation-style-language/schema/raw/master/csl-citation.json"}</w:instrText>
      </w:r>
      <w:r w:rsidR="00765C80">
        <w:rPr>
          <w:rFonts w:eastAsiaTheme="minorEastAsia"/>
        </w:rPr>
        <w:fldChar w:fldCharType="separate"/>
      </w:r>
      <w:r w:rsidR="00D91D8C" w:rsidRPr="00D91D8C">
        <w:rPr>
          <w:rFonts w:eastAsiaTheme="minorEastAsia"/>
          <w:noProof/>
          <w:vertAlign w:val="superscript"/>
        </w:rPr>
        <w:t>58</w:t>
      </w:r>
      <w:r w:rsidR="00765C80">
        <w:rPr>
          <w:rFonts w:eastAsiaTheme="minorEastAsia"/>
        </w:rPr>
        <w:fldChar w:fldCharType="end"/>
      </w:r>
      <w:r>
        <w:rPr>
          <w:rFonts w:eastAsiaTheme="minorEastAsia"/>
        </w:rPr>
        <w:t xml:space="preserve"> </w:t>
      </w:r>
      <w:r w:rsidR="00C85C31">
        <w:rPr>
          <w:rFonts w:eastAsiaTheme="minorEastAsia"/>
        </w:rPr>
        <w:t xml:space="preserve"> </w:t>
      </w:r>
      <w:r w:rsidR="008D3C44">
        <w:rPr>
          <w:rFonts w:eastAsiaTheme="minorEastAsia"/>
        </w:rPr>
        <w:t>Finally,</w:t>
      </w:r>
      <w:r w:rsidR="00460FAB">
        <w:rPr>
          <w:rFonts w:eastAsiaTheme="minorEastAsia"/>
        </w:rPr>
        <w:t xml:space="preserve"> we</w:t>
      </w:r>
      <w:r>
        <w:rPr>
          <w:rFonts w:eastAsiaTheme="minorEastAsia"/>
        </w:rPr>
        <w:t xml:space="preserve"> get </w:t>
      </w:r>
      <w:r w:rsidR="00AB25DD">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HRS,water</m:t>
            </m:r>
          </m:sub>
        </m:sSub>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6</m:t>
                </m:r>
              </m:num>
              <m:den>
                <m:r>
                  <w:rPr>
                    <w:rFonts w:ascii="Cambria Math" w:hAnsi="Cambria Math"/>
                  </w:rPr>
                  <m:t>35</m:t>
                </m:r>
              </m:den>
            </m:f>
          </m:e>
        </m:rad>
        <m:sSub>
          <m:sSubPr>
            <m:ctrlPr>
              <w:rPr>
                <w:rFonts w:ascii="Cambria Math" w:hAnsi="Cambria Math"/>
                <w:i/>
                <w:iCs/>
              </w:rPr>
            </m:ctrlPr>
          </m:sSubPr>
          <m:e>
            <m:r>
              <w:rPr>
                <w:rFonts w:ascii="Cambria Math" w:hAnsi="Cambria Math"/>
              </w:rPr>
              <m:t>β</m:t>
            </m:r>
          </m:e>
          <m:sub>
            <m:r>
              <w:rPr>
                <w:rFonts w:ascii="Cambria Math" w:hAnsi="Cambria Math"/>
              </w:rPr>
              <m:t>zzz,</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=0.0856</m:t>
        </m:r>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10</m:t>
            </m:r>
          </m:e>
          <m:sup>
            <m:r>
              <w:rPr>
                <w:rFonts w:ascii="Cambria Math" w:eastAsiaTheme="minorEastAsia" w:hAnsi="Cambria Math"/>
              </w:rPr>
              <m:t>-30</m:t>
            </m:r>
          </m:sup>
        </m:sSup>
        <m:r>
          <w:rPr>
            <w:rFonts w:ascii="Cambria Math" w:hAnsi="Cambria Math"/>
          </w:rPr>
          <m:t xml:space="preserve"> </m:t>
        </m:r>
      </m:oMath>
      <w:r w:rsidR="00AB25DD">
        <w:rPr>
          <w:rFonts w:eastAsiaTheme="minorEastAsia"/>
          <w:iCs/>
        </w:rPr>
        <w:t>esu f</w:t>
      </w:r>
      <w:r>
        <w:t xml:space="preserve">rom </w:t>
      </w:r>
      <w:proofErr w:type="spellStart"/>
      <w:r>
        <w:t>eqn</w:t>
      </w:r>
      <w:proofErr w:type="spellEnd"/>
      <w:r>
        <w:t xml:space="preserve"> (</w:t>
      </w:r>
      <w:r w:rsidR="00B864B1">
        <w:t>S1</w:t>
      </w:r>
      <w:r w:rsidR="002568A0">
        <w:t>3</w:t>
      </w:r>
      <w:r>
        <w:t xml:space="preserve">). </w:t>
      </w:r>
    </w:p>
    <w:p w14:paraId="298A988D" w14:textId="245565C5" w:rsidR="00B304FB" w:rsidRPr="005401E0" w:rsidRDefault="00B304FB" w:rsidP="00B304FB">
      <w:pPr>
        <w:pStyle w:val="TAMainText"/>
        <w:rPr>
          <w:rFonts w:eastAsiaTheme="minorEastAsia"/>
        </w:rPr>
      </w:pPr>
      <w:r>
        <w:t xml:space="preserve">From the slope and y-intercept obtained from the linear regression </w:t>
      </w:r>
      <w:r w:rsidR="00FD07DA">
        <w:t xml:space="preserve">in </w:t>
      </w:r>
      <w:r w:rsidR="000566E6">
        <w:t>Fig.</w:t>
      </w:r>
      <w:r>
        <w:t xml:space="preserve"> </w:t>
      </w:r>
      <w:r w:rsidR="00DD5618">
        <w:t>3</w:t>
      </w:r>
      <w:r>
        <w:t>A</w:t>
      </w:r>
      <w:r w:rsidR="00FD07DA">
        <w:t>,</w:t>
      </w:r>
      <w:r>
        <w:t xml:space="preserve"> we get for the </w:t>
      </w:r>
      <w:r w:rsidR="006D4C19" w:rsidRPr="006D4C19">
        <w:rPr>
          <w:rFonts w:ascii="Cambria Math" w:eastAsiaTheme="minorEastAsia" w:hAnsi="Cambria Math"/>
          <w:i/>
          <w:iCs/>
        </w:rPr>
        <w:br/>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oMath>
      <w:r w:rsidRPr="00D80AEE">
        <w:t>:</w:t>
      </w:r>
    </w:p>
    <w:bookmarkStart w:id="0" w:name="_Hlk174039851"/>
    <w:bookmarkEnd w:id="0"/>
    <w:p w14:paraId="0FF75644" w14:textId="5B258817" w:rsidR="00A83107" w:rsidRPr="00A83107" w:rsidRDefault="00000000" w:rsidP="635E82E4">
      <w:pPr>
        <w:pStyle w:val="TAMainText"/>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slope</m:t>
                  </m:r>
                </m:num>
                <m:den>
                  <m:r>
                    <w:rPr>
                      <w:rFonts w:ascii="Cambria Math" w:hAnsi="Cambria Math"/>
                    </w:rPr>
                    <m:t>y-intercept</m:t>
                  </m:r>
                </m:den>
              </m:f>
              <m:sSub>
                <m:sSubPr>
                  <m:ctrlPr>
                    <w:rPr>
                      <w:rFonts w:ascii="Cambria Math" w:hAnsi="Cambria Math"/>
                    </w:rPr>
                  </m:ctrlPr>
                </m:sSubPr>
                <m:e>
                  <m:r>
                    <w:rPr>
                      <w:rFonts w:ascii="Cambria Math" w:hAnsi="Cambria Math"/>
                    </w:rPr>
                    <m:t>N</m:t>
                  </m:r>
                </m:e>
                <m:sub>
                  <m:r>
                    <w:rPr>
                      <w:rFonts w:ascii="Cambria Math" w:hAnsi="Cambria Math"/>
                    </w:rPr>
                    <m:t>Av</m:t>
                  </m:r>
                </m:sub>
              </m:sSub>
              <m:sSub>
                <m:sSubPr>
                  <m:ctrlPr>
                    <w:rPr>
                      <w:rFonts w:ascii="Cambria Math" w:hAnsi="Cambria Math"/>
                    </w:rPr>
                  </m:ctrlPr>
                </m:sSubPr>
                <m:e>
                  <m:r>
                    <w:rPr>
                      <w:rFonts w:ascii="Cambria Math" w:hAnsi="Cambria Math"/>
                    </w:rPr>
                    <m:t>N</m:t>
                  </m:r>
                </m:e>
                <m:sub>
                  <m:r>
                    <w:rPr>
                      <w:rFonts w:ascii="Cambria Math" w:hAnsi="Cambria Math"/>
                    </w:rPr>
                    <m:t>S</m:t>
                  </m:r>
                </m:sub>
              </m:sSub>
            </m:e>
          </m:rad>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HRS,water</m:t>
              </m:r>
            </m:sub>
          </m:sSub>
        </m:oMath>
      </m:oMathPara>
    </w:p>
    <w:p w14:paraId="0BF7BF34" w14:textId="461CFD69" w:rsidR="00402FC3" w:rsidRDefault="0009618D" w:rsidP="00402FC3">
      <w:pPr>
        <w:pStyle w:val="TAMainText"/>
        <w:jc w:val="center"/>
      </w:pPr>
      <m:oMathPara>
        <m:oMath>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2.19×</m:t>
                  </m:r>
                  <m:sSup>
                    <m:sSupPr>
                      <m:ctrlPr>
                        <w:rPr>
                          <w:rFonts w:ascii="Cambria Math" w:hAnsi="Cambria Math"/>
                        </w:rPr>
                      </m:ctrlPr>
                    </m:sSupPr>
                    <m:e>
                      <m:r>
                        <w:rPr>
                          <w:rFonts w:ascii="Cambria Math" w:hAnsi="Cambria Math"/>
                        </w:rPr>
                        <m:t>10</m:t>
                      </m:r>
                    </m:e>
                    <m:sup>
                      <m:r>
                        <w:rPr>
                          <w:rFonts w:ascii="Cambria Math" w:hAnsi="Cambria Math"/>
                        </w:rPr>
                        <m:t>-14</m:t>
                      </m:r>
                    </m:sup>
                  </m:sSup>
                </m:num>
                <m:den>
                  <m:r>
                    <w:rPr>
                      <w:rFonts w:ascii="Cambria Math" w:hAnsi="Cambria Math"/>
                    </w:rPr>
                    <m:t>674.9</m:t>
                  </m:r>
                </m:den>
              </m:f>
              <m:r>
                <w:rPr>
                  <w:rFonts w:ascii="Cambria Math" w:hAnsi="Cambria Math"/>
                </w:rPr>
                <m:t>×6.022×</m:t>
              </m:r>
              <m:sSup>
                <m:sSupPr>
                  <m:ctrlPr>
                    <w:rPr>
                      <w:rFonts w:ascii="Cambria Math" w:hAnsi="Cambria Math"/>
                    </w:rPr>
                  </m:ctrlPr>
                </m:sSupPr>
                <m:e>
                  <m:r>
                    <w:rPr>
                      <w:rFonts w:ascii="Cambria Math" w:hAnsi="Cambria Math"/>
                    </w:rPr>
                    <m:t>10</m:t>
                  </m:r>
                </m:e>
                <m:sup>
                  <m:r>
                    <w:rPr>
                      <w:rFonts w:ascii="Cambria Math" w:hAnsi="Cambria Math"/>
                    </w:rPr>
                    <m:t>23</m:t>
                  </m:r>
                </m:sup>
              </m:sSup>
              <m:r>
                <w:rPr>
                  <w:rFonts w:ascii="Cambria Math" w:hAnsi="Cambria Math"/>
                </w:rPr>
                <m:t>×55.56M</m:t>
              </m:r>
            </m:e>
          </m:rad>
          <m:r>
            <w:rPr>
              <w:rFonts w:ascii="Cambria Math" w:hAnsi="Cambria Math"/>
            </w:rPr>
            <m:t>×0.0856×</m:t>
          </m:r>
          <m:sSup>
            <m:sSupPr>
              <m:ctrlPr>
                <w:rPr>
                  <w:rFonts w:ascii="Cambria Math" w:hAnsi="Cambria Math"/>
                </w:rPr>
              </m:ctrlPr>
            </m:sSupPr>
            <m:e>
              <m:r>
                <w:rPr>
                  <w:rFonts w:ascii="Cambria Math" w:hAnsi="Cambria Math"/>
                </w:rPr>
                <m:t>10</m:t>
              </m:r>
            </m:e>
            <m:sup>
              <m:r>
                <w:rPr>
                  <w:rFonts w:ascii="Cambria Math" w:hAnsi="Cambria Math"/>
                </w:rPr>
                <m:t>-30</m:t>
              </m:r>
            </m:sup>
          </m:sSup>
          <m:r>
            <m:rPr>
              <m:sty m:val="p"/>
            </m:rPr>
            <w:rPr>
              <w:rFonts w:ascii="Cambria Math" w:hAnsi="Cambria Math"/>
            </w:rPr>
            <m:t xml:space="preserve"> </m:t>
          </m:r>
          <m:r>
            <w:rPr>
              <w:rFonts w:ascii="Cambria Math" w:hAnsi="Cambria Math"/>
            </w:rPr>
            <m:t>=2816 ±154×</m:t>
          </m:r>
          <m:sSup>
            <m:sSupPr>
              <m:ctrlPr>
                <w:rPr>
                  <w:rFonts w:ascii="Cambria Math" w:hAnsi="Cambria Math"/>
                </w:rPr>
              </m:ctrlPr>
            </m:sSupPr>
            <m:e>
              <m:r>
                <w:rPr>
                  <w:rFonts w:ascii="Cambria Math" w:hAnsi="Cambria Math"/>
                </w:rPr>
                <m:t>10</m:t>
              </m:r>
            </m:e>
            <m:sup>
              <m:r>
                <w:rPr>
                  <w:rFonts w:ascii="Cambria Math" w:hAnsi="Cambria Math"/>
                </w:rPr>
                <m:t>-30</m:t>
              </m:r>
            </m:sup>
          </m:sSup>
          <m:r>
            <w:rPr>
              <w:rFonts w:ascii="Cambria Math" w:hAnsi="Cambria Math"/>
            </w:rPr>
            <m:t> </m:t>
          </m:r>
          <m:r>
            <m:rPr>
              <m:sty m:val="p"/>
            </m:rPr>
            <w:rPr>
              <w:rFonts w:ascii="Cambria Math" w:hAnsi="Cambria Math"/>
            </w:rPr>
            <m:t>esu</m:t>
          </m:r>
        </m:oMath>
      </m:oMathPara>
    </w:p>
    <w:p w14:paraId="5814D11B" w14:textId="728AB29C" w:rsidR="00B304FB" w:rsidRDefault="00B304FB" w:rsidP="007A3A5F">
      <w:pPr>
        <w:pStyle w:val="TAMainText"/>
      </w:pPr>
      <w:r>
        <w:t xml:space="preserve">If the value of interest corresponds to the </w:t>
      </w:r>
      <w:r w:rsidR="00665E27">
        <w:t xml:space="preserve">first </w:t>
      </w:r>
      <w:r>
        <w:t xml:space="preserve">hyperpolarizability of a unit cell we can use the </w:t>
      </w:r>
      <w:r w:rsidR="00BF61C4" w:rsidRPr="00BF61C4">
        <w:rPr>
          <w:rFonts w:ascii="Cambria Math" w:eastAsiaTheme="minorEastAsia" w:hAnsi="Cambria Math"/>
          <w:i/>
          <w:iCs/>
        </w:rPr>
        <w:br/>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r>
          <w:rPr>
            <w:rFonts w:ascii="Cambria Math" w:eastAsiaTheme="minorEastAsia" w:hAnsi="Cambria Math"/>
          </w:rPr>
          <m:t xml:space="preserve"> </m:t>
        </m:r>
      </m:oMath>
      <w:r>
        <w:t>and the amount of unit cells per average rod (</w:t>
      </w:r>
      <m:oMath>
        <m:sSub>
          <m:sSubPr>
            <m:ctrlPr>
              <w:rPr>
                <w:rFonts w:ascii="Cambria Math" w:hAnsi="Cambria Math"/>
                <w:i/>
              </w:rPr>
            </m:ctrlPr>
          </m:sSubPr>
          <m:e>
            <m:r>
              <w:rPr>
                <w:rFonts w:ascii="Cambria Math" w:hAnsi="Cambria Math"/>
              </w:rPr>
              <m:t>n</m:t>
            </m:r>
          </m:e>
          <m:sub>
            <m:r>
              <w:rPr>
                <w:rFonts w:ascii="Cambria Math" w:hAnsi="Cambria Math"/>
              </w:rPr>
              <m:t>uc</m:t>
            </m:r>
          </m:sub>
        </m:sSub>
      </m:oMath>
      <w:r>
        <w:t xml:space="preserve"> = 14579) to obtain:</w:t>
      </w:r>
    </w:p>
    <w:p w14:paraId="31A6E42F" w14:textId="4ED8CAD4" w:rsidR="00B304FB" w:rsidRPr="009207AC" w:rsidRDefault="00000000" w:rsidP="00B304FB">
      <w:pPr>
        <w:pStyle w:val="TAMainText"/>
        <w:rPr>
          <w:i/>
        </w:rPr>
      </w:pPr>
      <m:oMathPara>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HRS,uc</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uc</m:t>
                  </m:r>
                </m:sub>
              </m:sSub>
            </m:den>
          </m:f>
          <m:r>
            <w:rPr>
              <w:rFonts w:ascii="Cambria Math" w:hAnsi="Cambria Math"/>
            </w:rPr>
            <m:t>=0.193± 0.011×</m:t>
          </m:r>
          <m:sSup>
            <m:sSupPr>
              <m:ctrlPr>
                <w:rPr>
                  <w:rFonts w:ascii="Cambria Math" w:hAnsi="Cambria Math"/>
                  <w:i/>
                </w:rPr>
              </m:ctrlPr>
            </m:sSupPr>
            <m:e>
              <m:r>
                <w:rPr>
                  <w:rFonts w:ascii="Cambria Math" w:hAnsi="Cambria Math"/>
                </w:rPr>
                <m:t>10</m:t>
              </m:r>
            </m:e>
            <m:sup>
              <m:r>
                <w:rPr>
                  <w:rFonts w:ascii="Cambria Math" w:hAnsi="Cambria Math"/>
                </w:rPr>
                <m:t>-30</m:t>
              </m:r>
            </m:sup>
          </m:sSup>
          <m:r>
            <w:rPr>
              <w:rFonts w:ascii="Cambria Math" w:hAnsi="Cambria Math"/>
            </w:rPr>
            <m:t xml:space="preserve"> </m:t>
          </m:r>
          <m:r>
            <m:rPr>
              <m:sty m:val="p"/>
            </m:rPr>
            <w:rPr>
              <w:rFonts w:ascii="Cambria Math" w:hAnsi="Cambria Math"/>
            </w:rPr>
            <m:t>esu</m:t>
          </m:r>
        </m:oMath>
      </m:oMathPara>
    </w:p>
    <w:p w14:paraId="6A8C9DB6" w14:textId="2DBA2CAE" w:rsidR="00B304FB" w:rsidRDefault="3F140A3A" w:rsidP="00B304FB">
      <w:pPr>
        <w:pStyle w:val="TAMainText"/>
      </w:pPr>
      <w:r>
        <w:t>By using the</w:t>
      </w:r>
      <w:r w:rsidR="4972EE31">
        <w:t xml:space="preserve"> </w:t>
      </w:r>
      <w:r w:rsidR="00921D29">
        <w:t>undamped</w:t>
      </w:r>
      <w:r>
        <w:t xml:space="preserve"> two state model</w:t>
      </w:r>
      <w:r w:rsidR="5BD24085">
        <w:t xml:space="preserve"> from </w:t>
      </w:r>
      <w:proofErr w:type="spellStart"/>
      <w:r w:rsidR="5BD24085">
        <w:t>eqn</w:t>
      </w:r>
      <w:proofErr w:type="spellEnd"/>
      <w:r w:rsidR="5BD24085">
        <w:t xml:space="preserve"> </w:t>
      </w:r>
      <w:r w:rsidR="00016188">
        <w:t>(</w:t>
      </w:r>
      <w:r w:rsidR="0D8607F8">
        <w:t>S12</w:t>
      </w:r>
      <w:r w:rsidR="5BD24085">
        <w:t>)</w:t>
      </w:r>
      <w:r w:rsidR="00016188">
        <w:fldChar w:fldCharType="begin" w:fldLock="1"/>
      </w:r>
      <w:r w:rsidR="00230CB5">
        <w:instrText>ADDIN CSL_CITATION {"citationItems":[{"id":"ITEM-1","itemData":{"DOI":"10.1063/1.434213","ISSN":"00219606","abstract":"We have measured the second and third order hyperpolarizabilities of the three nitroaniline isomers and of two related molecules. For some isomers the intramolecular charge transfer is found to cause a very large enhancement of the second order polarizabilities. We present a theory relating this contribution to the first excited state of energy, oscillator strength, and dipole moment of the molecules. Experimental results are accounted for with an excellent accuracy. Copyright © 1977 American Institute of Physics.","author":[{"dropping-particle":"","family":"Oudar","given":"J. L.","non-dropping-particle":"","parse-names":false,"suffix":""},{"dropping-particle":"","family":"Chemla","given":"D. S.","non-dropping-particle":"","parse-names":false,"suffix":""}],"container-title":"The Journal of Chemical Physics","id":"ITEM-1","issue":"6","issued":{"date-parts":[["1976"]]},"page":"2664-2668","title":"Hyperpolarizabilities of the nitroanilines and their relations to the excited state dipole moment","type":"article-journal","volume":"66"},"uris":["http://www.mendeley.com/documents/?uuid=83205ffe-8101-4897-a193-3c931b10d35d"]}],"mendeley":{"formattedCitation":"&lt;sup&gt;59&lt;/sup&gt;","plainTextFormattedCitation":"59","previouslyFormattedCitation":"&lt;sup&gt;59&lt;/sup&gt;"},"properties":{"noteIndex":0},"schema":"https://github.com/citation-style-language/schema/raw/master/csl-citation.json"}</w:instrText>
      </w:r>
      <w:r w:rsidR="00016188">
        <w:fldChar w:fldCharType="separate"/>
      </w:r>
      <w:r w:rsidR="00D91D8C" w:rsidRPr="00D91D8C">
        <w:rPr>
          <w:noProof/>
          <w:vertAlign w:val="superscript"/>
        </w:rPr>
        <w:t>59</w:t>
      </w:r>
      <w:r w:rsidR="00016188">
        <w:fldChar w:fldCharType="end"/>
      </w:r>
      <w:r w:rsidR="5BD24085">
        <w:t>,</w:t>
      </w:r>
      <w:r>
        <w:t xml:space="preserve"> we can </w:t>
      </w:r>
      <w:r w:rsidR="5BD24085">
        <w:t xml:space="preserve">also </w:t>
      </w:r>
      <w:r>
        <w:t xml:space="preserve">report the static </w:t>
      </w:r>
      <w:r w:rsidR="00C83A69">
        <w:t xml:space="preserve">first </w:t>
      </w:r>
      <w:r>
        <w:t xml:space="preserve">hyperpolarizability of CNC </w:t>
      </w:r>
      <w:r w:rsidR="24DB1C29">
        <w:t>and the u</w:t>
      </w:r>
      <w:r w:rsidR="49C42BDB">
        <w:t>nit cell</w:t>
      </w:r>
      <w:r w:rsidR="24DB1C29">
        <w:t xml:space="preserve"> </w:t>
      </w:r>
      <w:r>
        <w:t>as</w:t>
      </w:r>
      <w:r w:rsidR="49C42BDB">
        <w:t xml:space="preserve"> follows</w:t>
      </w:r>
      <w:r>
        <w:t>:</w:t>
      </w:r>
    </w:p>
    <w:bookmarkStart w:id="1" w:name="_Hlk174039895"/>
    <w:p w14:paraId="2F8B49A0" w14:textId="02FF35E8" w:rsidR="00B304FB" w:rsidRPr="00811850" w:rsidRDefault="00000000" w:rsidP="635E82E4">
      <w:pPr>
        <w:pStyle w:val="TAMainText"/>
        <w:jc w:val="center"/>
      </w:pPr>
      <m:oMathPara>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HRS,CNC,0</m:t>
              </m:r>
            </m:sub>
          </m:sSub>
          <m:r>
            <w:rPr>
              <w:rFonts w:ascii="Cambria Math" w:hAnsi="Cambria Math"/>
            </w:rPr>
            <m:t>=2170±118</m:t>
          </m:r>
          <m:r>
            <w:rPr>
              <w:rFonts w:ascii="Cambria Math" w:eastAsiaTheme="minorEastAsia" w:hAnsi="Cambria Math"/>
            </w:rPr>
            <m:t>×</m:t>
          </m:r>
          <m:sSup>
            <m:sSupPr>
              <m:ctrlPr>
                <w:rPr>
                  <w:rFonts w:ascii="Cambria Math" w:hAnsi="Cambria Math"/>
                  <w:i/>
                </w:rPr>
              </m:ctrlPr>
            </m:sSupPr>
            <m:e>
              <m:r>
                <w:rPr>
                  <w:rFonts w:ascii="Cambria Math" w:hAnsi="Cambria Math"/>
                </w:rPr>
                <m:t>10</m:t>
              </m:r>
            </m:e>
            <m:sup>
              <m:r>
                <w:rPr>
                  <w:rFonts w:ascii="Cambria Math" w:hAnsi="Cambria Math"/>
                </w:rPr>
                <m:t>-30</m:t>
              </m:r>
            </m:sup>
          </m:sSup>
          <m:r>
            <m:rPr>
              <m:sty m:val="p"/>
            </m:rPr>
            <w:rPr>
              <w:rFonts w:ascii="Cambria Math" w:hAnsi="Cambria Math"/>
            </w:rPr>
            <m:t xml:space="preserve"> esu</m:t>
          </m:r>
        </m:oMath>
      </m:oMathPara>
    </w:p>
    <w:bookmarkEnd w:id="1"/>
    <w:p w14:paraId="0F0BEE92" w14:textId="5B140CA5" w:rsidR="00B304FB" w:rsidRPr="009207AC" w:rsidRDefault="00000000" w:rsidP="00B304FB">
      <w:pPr>
        <w:pStyle w:val="TAMainText"/>
        <w:rPr>
          <w:i/>
        </w:rPr>
      </w:pPr>
      <m:oMathPara>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HRS,uc,0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HRS,CNC,0</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uc</m:t>
                  </m:r>
                </m:sub>
              </m:sSub>
            </m:den>
          </m:f>
          <m:r>
            <w:rPr>
              <w:rFonts w:ascii="Cambria Math" w:hAnsi="Cambria Math"/>
            </w:rPr>
            <m:t>=</m:t>
          </m:r>
          <w:bookmarkStart w:id="2" w:name="_Hlk169688157"/>
          <m:r>
            <w:rPr>
              <w:rFonts w:ascii="Cambria Math" w:hAnsi="Cambria Math"/>
            </w:rPr>
            <m:t>0.149 ± 0.008×</m:t>
          </m:r>
          <m:sSup>
            <m:sSupPr>
              <m:ctrlPr>
                <w:rPr>
                  <w:rFonts w:ascii="Cambria Math" w:hAnsi="Cambria Math"/>
                  <w:i/>
                </w:rPr>
              </m:ctrlPr>
            </m:sSupPr>
            <m:e>
              <m:r>
                <w:rPr>
                  <w:rFonts w:ascii="Cambria Math" w:hAnsi="Cambria Math"/>
                </w:rPr>
                <m:t>10</m:t>
              </m:r>
            </m:e>
            <m:sup>
              <m:r>
                <w:rPr>
                  <w:rFonts w:ascii="Cambria Math" w:hAnsi="Cambria Math"/>
                </w:rPr>
                <m:t>-30</m:t>
              </m:r>
            </m:sup>
          </m:sSup>
          <m:r>
            <w:rPr>
              <w:rFonts w:ascii="Cambria Math" w:hAnsi="Cambria Math"/>
            </w:rPr>
            <m:t xml:space="preserve"> </m:t>
          </m:r>
          <m:r>
            <m:rPr>
              <m:sty m:val="p"/>
            </m:rPr>
            <w:rPr>
              <w:rFonts w:ascii="Cambria Math" w:hAnsi="Cambria Math"/>
            </w:rPr>
            <m:t>esu</m:t>
          </m:r>
          <m:r>
            <w:rPr>
              <w:rFonts w:ascii="Cambria Math" w:hAnsi="Cambria Math"/>
            </w:rPr>
            <m:t xml:space="preserve"> </m:t>
          </m:r>
        </m:oMath>
      </m:oMathPara>
    </w:p>
    <w:bookmarkEnd w:id="2"/>
    <w:p w14:paraId="57CC08CA" w14:textId="4AC53D20" w:rsidR="00B304FB" w:rsidRPr="009207AC" w:rsidRDefault="00B304FB" w:rsidP="00B304FB">
      <w:pPr>
        <w:pStyle w:val="TAMainText"/>
        <w:rPr>
          <w:iCs/>
        </w:rPr>
      </w:pPr>
      <w:r>
        <w:rPr>
          <w:iCs/>
        </w:rPr>
        <w:t>The calculation</w:t>
      </w:r>
      <w:r w:rsidR="00665E27">
        <w:rPr>
          <w:iCs/>
        </w:rPr>
        <w:t>s</w:t>
      </w:r>
      <w:r>
        <w:rPr>
          <w:iCs/>
        </w:rPr>
        <w:t xml:space="preserve"> for the propagation of the errors are reported in ESI.</w:t>
      </w:r>
      <w:r w:rsidR="00A9366D">
        <w:rPr>
          <w:iCs/>
        </w:rPr>
        <w:t>9</w:t>
      </w:r>
      <w:r>
        <w:rPr>
          <w:iCs/>
        </w:rPr>
        <w:t xml:space="preserve">. </w:t>
      </w:r>
    </w:p>
    <w:p w14:paraId="73094C53" w14:textId="48B8E0F0" w:rsidR="00937413" w:rsidRDefault="00665142" w:rsidP="00937413">
      <w:pPr>
        <w:keepNext/>
        <w:jc w:val="center"/>
      </w:pPr>
      <w:r w:rsidRPr="00665142">
        <w:rPr>
          <w:noProof/>
        </w:rPr>
        <w:lastRenderedPageBreak/>
        <w:drawing>
          <wp:inline distT="0" distB="0" distL="0" distR="0" wp14:anchorId="779A3FEF" wp14:editId="3D351146">
            <wp:extent cx="5748793" cy="2337597"/>
            <wp:effectExtent l="0" t="0" r="4445" b="5715"/>
            <wp:docPr id="7" name="Picture 6" descr="A graph and a diagram&#10;&#10;Description automatically generated with medium confidence">
              <a:extLst xmlns:a="http://schemas.openxmlformats.org/drawingml/2006/main">
                <a:ext uri="{FF2B5EF4-FFF2-40B4-BE49-F238E27FC236}">
                  <a16:creationId xmlns:a16="http://schemas.microsoft.com/office/drawing/2014/main" id="{6526885E-6E07-3078-A8B3-E42F59B989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and a diagram&#10;&#10;Description automatically generated with medium confidence">
                      <a:extLst>
                        <a:ext uri="{FF2B5EF4-FFF2-40B4-BE49-F238E27FC236}">
                          <a16:creationId xmlns:a16="http://schemas.microsoft.com/office/drawing/2014/main" id="{6526885E-6E07-3078-A8B3-E42F59B9896F}"/>
                        </a:ext>
                      </a:extLst>
                    </pic:cNvPr>
                    <pic:cNvPicPr>
                      <a:picLocks noChangeAspect="1"/>
                    </pic:cNvPicPr>
                  </pic:nvPicPr>
                  <pic:blipFill>
                    <a:blip r:embed="rId15"/>
                    <a:srcRect l="2035" t="8821" r="4182" b="9110"/>
                    <a:stretch/>
                  </pic:blipFill>
                  <pic:spPr>
                    <a:xfrm>
                      <a:off x="0" y="0"/>
                      <a:ext cx="5755138" cy="2340177"/>
                    </a:xfrm>
                    <a:prstGeom prst="rect">
                      <a:avLst/>
                    </a:prstGeom>
                  </pic:spPr>
                </pic:pic>
              </a:graphicData>
            </a:graphic>
          </wp:inline>
        </w:drawing>
      </w:r>
    </w:p>
    <w:p w14:paraId="46C1F68D" w14:textId="758D5251" w:rsidR="00937413" w:rsidRPr="002E7D86" w:rsidRDefault="00937413" w:rsidP="002E7D86">
      <w:pPr>
        <w:pStyle w:val="VAFigureCaption"/>
        <w:rPr>
          <w:rFonts w:ascii="Palatino Linotype" w:hAnsi="Palatino Linotype"/>
          <w:b/>
          <w:bCs/>
          <w:i/>
          <w:iCs/>
        </w:rPr>
      </w:pPr>
      <w:r w:rsidRPr="002E7D86">
        <w:rPr>
          <w:b/>
          <w:bCs/>
          <w:i/>
          <w:iCs/>
        </w:rPr>
        <w:t xml:space="preserve">Figure </w:t>
      </w:r>
      <w:r w:rsidR="00762398">
        <w:rPr>
          <w:b/>
          <w:bCs/>
          <w:i/>
          <w:iCs/>
        </w:rPr>
        <w:t>3</w:t>
      </w:r>
      <w:r w:rsidR="007306D0">
        <w:rPr>
          <w:b/>
          <w:bCs/>
          <w:i/>
          <w:iCs/>
          <w:noProof/>
        </w:rPr>
        <w:t>:</w:t>
      </w:r>
      <w:r w:rsidRPr="002E7D86">
        <w:rPr>
          <w:b/>
          <w:bCs/>
          <w:i/>
          <w:iCs/>
        </w:rPr>
        <w:t xml:space="preserve"> </w:t>
      </w:r>
      <w:r w:rsidRPr="00DE6E43">
        <w:rPr>
          <w:b/>
          <w:bCs/>
          <w:i/>
          <w:iCs/>
        </w:rPr>
        <w:t>Hyper</w:t>
      </w:r>
      <w:r w:rsidR="00DE6E43" w:rsidRPr="00DE6E43">
        <w:rPr>
          <w:b/>
          <w:bCs/>
          <w:i/>
          <w:iCs/>
        </w:rPr>
        <w:t>-</w:t>
      </w:r>
      <w:r w:rsidRPr="00DE6E43">
        <w:rPr>
          <w:b/>
          <w:bCs/>
          <w:i/>
          <w:iCs/>
        </w:rPr>
        <w:t>Rayleigh</w:t>
      </w:r>
      <w:r w:rsidRPr="002E7D86">
        <w:rPr>
          <w:b/>
          <w:bCs/>
          <w:i/>
          <w:iCs/>
        </w:rPr>
        <w:t xml:space="preserve"> Scattering and Depolarization Ratio of CNC.</w:t>
      </w:r>
      <w:r w:rsidRPr="002E7D86">
        <w:rPr>
          <w:i/>
          <w:iCs/>
        </w:rPr>
        <w:t xml:space="preserve"> </w:t>
      </w:r>
      <w:r w:rsidRPr="002E7D86">
        <w:rPr>
          <w:b/>
          <w:bCs/>
          <w:i/>
          <w:iCs/>
        </w:rPr>
        <w:t xml:space="preserve">(A)  </w:t>
      </w:r>
      <w:r w:rsidRPr="002E7D86">
        <w:rPr>
          <w:i/>
          <w:iCs/>
        </w:rPr>
        <w:t>The linear regression fit to the CNC rod concentration with fit parameters including slope and y-intercept. The concentration</w:t>
      </w:r>
      <w:r w:rsidR="008A30C0">
        <w:rPr>
          <w:i/>
          <w:iCs/>
        </w:rPr>
        <w:t>s</w:t>
      </w:r>
      <w:r w:rsidRPr="002E7D86">
        <w:rPr>
          <w:i/>
          <w:iCs/>
        </w:rPr>
        <w:t xml:space="preserve"> for the CNCs are from samples prepared at 0, 0.1, 0.2, 0.6, 0.8, 0.9 and 1 wt.% and converted to an average rod concentration. The conversion is based on the average rod size L</w:t>
      </w:r>
      <w:r w:rsidRPr="007A3A5F">
        <w:rPr>
          <w:i/>
          <w:iCs/>
          <w:vertAlign w:val="subscript"/>
        </w:rPr>
        <w:t>1</w:t>
      </w:r>
      <w:r w:rsidRPr="002E7D86">
        <w:rPr>
          <w:i/>
          <w:iCs/>
        </w:rPr>
        <w:t>=L</w:t>
      </w:r>
      <w:r w:rsidRPr="007A3A5F">
        <w:rPr>
          <w:i/>
          <w:iCs/>
          <w:vertAlign w:val="subscript"/>
        </w:rPr>
        <w:t>2</w:t>
      </w:r>
      <w:r w:rsidRPr="002E7D86">
        <w:rPr>
          <w:i/>
          <w:iCs/>
        </w:rPr>
        <w:t>=7.5 nm and L</w:t>
      </w:r>
      <w:r w:rsidRPr="007A3A5F">
        <w:rPr>
          <w:i/>
          <w:iCs/>
          <w:vertAlign w:val="subscript"/>
        </w:rPr>
        <w:t>3</w:t>
      </w:r>
      <w:r w:rsidRPr="002E7D86">
        <w:rPr>
          <w:i/>
          <w:iCs/>
        </w:rPr>
        <w:t>=170.6 nm. The error bars in the scatter plot correspond to the standard deviation of five acquisitions. The errors reported for the linear regression is based on the weighted sum of least squares</w:t>
      </w:r>
      <w:r w:rsidR="004F1827">
        <w:rPr>
          <w:i/>
          <w:iCs/>
        </w:rPr>
        <w:t>.</w:t>
      </w:r>
      <w:r w:rsidRPr="002E7D86">
        <w:rPr>
          <w:i/>
          <w:iCs/>
        </w:rPr>
        <w:t xml:space="preserve"> </w:t>
      </w:r>
      <w:r w:rsidRPr="002E7D86">
        <w:rPr>
          <w:b/>
          <w:bCs/>
          <w:i/>
          <w:iCs/>
        </w:rPr>
        <w:t xml:space="preserve">(B) </w:t>
      </w:r>
      <w:r w:rsidRPr="002E7D86">
        <w:rPr>
          <w:i/>
          <w:iCs/>
        </w:rPr>
        <w:t>The depolarization ratio for CNC of up to 2.0 wt.%</w:t>
      </w:r>
      <w:r w:rsidR="004F1827">
        <w:rPr>
          <w:i/>
          <w:iCs/>
        </w:rPr>
        <w:t>,</w:t>
      </w:r>
      <w:r w:rsidRPr="002E7D86">
        <w:rPr>
          <w:i/>
          <w:iCs/>
        </w:rPr>
        <w:t xml:space="preserve"> which remains constant as expected. Th</w:t>
      </w:r>
      <w:r w:rsidR="008005CF">
        <w:rPr>
          <w:i/>
          <w:iCs/>
        </w:rPr>
        <w:t xml:space="preserve">e constant DR also serves as an indicator for </w:t>
      </w:r>
      <w:r w:rsidRPr="002E7D86">
        <w:rPr>
          <w:i/>
          <w:iCs/>
        </w:rPr>
        <w:t>no</w:t>
      </w:r>
      <w:r w:rsidR="008005CF">
        <w:rPr>
          <w:i/>
          <w:iCs/>
        </w:rPr>
        <w:t xml:space="preserve"> additional</w:t>
      </w:r>
      <w:r w:rsidRPr="002E7D86">
        <w:rPr>
          <w:i/>
          <w:iCs/>
        </w:rPr>
        <w:t xml:space="preserve"> onset of aggregation of CNC rods up to 2.0 wt.%. The error bar</w:t>
      </w:r>
      <w:r w:rsidR="004F1827">
        <w:rPr>
          <w:i/>
          <w:iCs/>
        </w:rPr>
        <w:t>s</w:t>
      </w:r>
      <w:r w:rsidRPr="002E7D86">
        <w:rPr>
          <w:i/>
          <w:iCs/>
        </w:rPr>
        <w:t xml:space="preserve"> correspond to the propagation of errors of a quotient from five acquisitions.</w:t>
      </w:r>
    </w:p>
    <w:p w14:paraId="017D6AF5" w14:textId="564FBD9B" w:rsidR="004F1B6D" w:rsidRDefault="017566A6" w:rsidP="001E7A34">
      <w:pPr>
        <w:pStyle w:val="TAMainText"/>
      </w:pPr>
      <w:r w:rsidRPr="003E0931">
        <w:t>By rotating the analyzer and measuring the intensities in the X-polarization and Z-polarization states we can plot the ratio of these intensities to give the depolarization ratio. The depolarization ratio is independent of the concentration and therefore remain</w:t>
      </w:r>
      <w:r w:rsidR="07480F3C">
        <w:t>s</w:t>
      </w:r>
      <w:r w:rsidRPr="003E0931">
        <w:t xml:space="preserve"> constant across the concentration series.</w:t>
      </w:r>
      <w:r>
        <w:t xml:space="preserve"> </w:t>
      </w:r>
      <w:r w:rsidR="23AEDD3F">
        <w:t>Seven DR</w:t>
      </w:r>
      <w:r w:rsidR="456C01DA">
        <w:t>s</w:t>
      </w:r>
      <w:r w:rsidR="23AEDD3F">
        <w:t xml:space="preserve"> obtained for </w:t>
      </w:r>
      <w:r>
        <w:t>CNC concentrations from 0.8 wt.% to 2.0 wt.%</w:t>
      </w:r>
      <w:r w:rsidR="23AEDD3F">
        <w:t xml:space="preserve"> </w:t>
      </w:r>
      <w:r w:rsidR="6A296BDB">
        <w:t>were plotted leading to an a</w:t>
      </w:r>
      <w:r>
        <w:t xml:space="preserve">verage value for </w:t>
      </w:r>
      <m:oMath>
        <m:r>
          <m:rPr>
            <m:sty m:val="p"/>
          </m:rPr>
          <w:rPr>
            <w:rFonts w:ascii="Cambria Math" w:hAnsi="Cambria Math"/>
          </w:rPr>
          <m:t xml:space="preserve">DR= 3.1 ± 0.7. </m:t>
        </m:r>
      </m:oMath>
      <w:r w:rsidR="59B5A473">
        <w:t>Acc</w:t>
      </w:r>
      <w:r>
        <w:t>or</w:t>
      </w:r>
      <w:r w:rsidR="59B5A473">
        <w:t xml:space="preserve">ding to </w:t>
      </w:r>
      <w:proofErr w:type="spellStart"/>
      <w:r w:rsidR="59B5A473">
        <w:t>eqn</w:t>
      </w:r>
      <w:proofErr w:type="spellEnd"/>
      <w:r w:rsidR="59B5A473">
        <w:t xml:space="preserve"> (</w:t>
      </w:r>
      <w:r w:rsidR="00EF6731">
        <w:t>8</w:t>
      </w:r>
      <w:r w:rsidR="59B5A473">
        <w:t>)</w:t>
      </w:r>
      <w:r>
        <w:t xml:space="preserve"> </w:t>
      </w:r>
      <w:r w:rsidR="59B5A473">
        <w:t xml:space="preserve">this corresponds to two </w:t>
      </w:r>
      <w:r w:rsidR="59B5A473">
        <w:lastRenderedPageBreak/>
        <w:t xml:space="preserve">possible values for </w:t>
      </w:r>
      <w:r w:rsidR="59B5A473" w:rsidRPr="005C3B37">
        <w:rPr>
          <w:i/>
          <w:iCs/>
        </w:rPr>
        <w:t>R</w:t>
      </w:r>
      <w:r w:rsidR="59B5A473">
        <w:t xml:space="preserve">. Namely, </w:t>
      </w:r>
      <w:r w:rsidR="59B5A473" w:rsidRPr="005C3B37">
        <w:rPr>
          <w:i/>
          <w:iCs/>
        </w:rPr>
        <w:t>R</w:t>
      </w:r>
      <w:r w:rsidR="005C3B37">
        <w:rPr>
          <w:i/>
          <w:iCs/>
        </w:rPr>
        <w:t xml:space="preserve"> </w:t>
      </w:r>
      <w:r w:rsidR="59B5A473">
        <w:t xml:space="preserve">= 3.57 or </w:t>
      </w:r>
      <w:r w:rsidR="59B5A473" w:rsidRPr="005C3B37">
        <w:rPr>
          <w:i/>
          <w:iCs/>
        </w:rPr>
        <w:t xml:space="preserve">R </w:t>
      </w:r>
      <w:r w:rsidR="59B5A473">
        <w:t xml:space="preserve">= -0.22. Considering the polar nature of the CNC, </w:t>
      </w:r>
      <w:r w:rsidR="008214DE">
        <w:t>-0</w:t>
      </w:r>
      <w:r w:rsidR="59B5A473">
        <w:t xml:space="preserve">.22 is </w:t>
      </w:r>
      <w:r w:rsidR="4B717C54">
        <w:t>the chosen value</w:t>
      </w:r>
      <w:r w:rsidR="3BA82495">
        <w:t xml:space="preserve">, i.e. a dominant </w:t>
      </w:r>
      <m:oMath>
        <m:sSub>
          <m:sSubPr>
            <m:ctrlPr>
              <w:rPr>
                <w:rFonts w:ascii="Cambria Math" w:hAnsi="Cambria Math"/>
                <w:i/>
                <w:iCs/>
              </w:rPr>
            </m:ctrlPr>
          </m:sSubPr>
          <m:e>
            <m:r>
              <w:rPr>
                <w:rFonts w:ascii="Cambria Math" w:hAnsi="Cambria Math"/>
              </w:rPr>
              <m:t>β</m:t>
            </m:r>
          </m:e>
          <m:sub>
            <m:r>
              <w:rPr>
                <w:rFonts w:ascii="Cambria Math" w:hAnsi="Cambria Math"/>
              </w:rPr>
              <m:t>zzz</m:t>
            </m:r>
          </m:sub>
        </m:sSub>
      </m:oMath>
      <w:r w:rsidR="008A30C0">
        <w:t xml:space="preserve"> </w:t>
      </w:r>
      <w:r w:rsidR="3BA82495">
        <w:t>component is found.</w:t>
      </w:r>
    </w:p>
    <w:p w14:paraId="1A1C565E" w14:textId="5C6382CC" w:rsidR="00937413" w:rsidRDefault="00C47D00" w:rsidP="001E7A34">
      <w:pPr>
        <w:pStyle w:val="TAMainText"/>
      </w:pPr>
      <w:r>
        <w:t xml:space="preserve">The error </w:t>
      </w:r>
      <w:r w:rsidR="00937413">
        <w:t>for each individual point was obtained by the propagation of errors in a quotient (</w:t>
      </w:r>
      <m:oMath>
        <m:r>
          <w:rPr>
            <w:rFonts w:ascii="Cambria Math" w:hAnsi="Cambria Math"/>
          </w:rPr>
          <m:t>z=</m:t>
        </m:r>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y</m:t>
            </m:r>
            <m:ctrlPr>
              <w:rPr>
                <w:rFonts w:ascii="Cambria Math" w:hAnsi="Cambria Math"/>
                <w:i/>
              </w:rPr>
            </m:ctrlPr>
          </m:den>
        </m:f>
        <m:r>
          <w:rPr>
            <w:rFonts w:ascii="Cambria Math" w:hAnsi="Cambria Math"/>
          </w:rPr>
          <m:t>±z</m:t>
        </m:r>
        <m:rad>
          <m:radPr>
            <m:degHide m:val="1"/>
            <m:ctrlPr>
              <w:rPr>
                <w:rFonts w:ascii="Cambria Math" w:hAnsi="Cambria Math"/>
              </w:rPr>
            </m:ctrlPr>
          </m:radPr>
          <m:deg>
            <m:ctrlPr>
              <w:rPr>
                <w:rFonts w:ascii="Cambria Math" w:hAnsi="Cambria Math"/>
                <w:i/>
              </w:rPr>
            </m:ctrlPr>
          </m:deg>
          <m:e>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r>
                          <w:rPr>
                            <w:rFonts w:ascii="Cambria Math" w:hAnsi="Cambria Math"/>
                          </w:rPr>
                          <m:t>Δx</m:t>
                        </m:r>
                        <m:ctrlPr>
                          <w:rPr>
                            <w:rFonts w:ascii="Cambria Math" w:hAnsi="Cambria Math"/>
                            <w:i/>
                          </w:rPr>
                        </m:ctrlPr>
                      </m:num>
                      <m:den>
                        <m:r>
                          <w:rPr>
                            <w:rFonts w:ascii="Cambria Math" w:hAnsi="Cambria Math"/>
                          </w:rPr>
                          <m:t>x</m:t>
                        </m:r>
                        <m:ctrlPr>
                          <w:rPr>
                            <w:rFonts w:ascii="Cambria Math" w:hAnsi="Cambria Math"/>
                            <w:i/>
                          </w:rPr>
                        </m:ctrlP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rPr>
                        </m:ctrlPr>
                      </m:fPr>
                      <m:num>
                        <m:r>
                          <w:rPr>
                            <w:rFonts w:ascii="Cambria Math" w:hAnsi="Cambria Math"/>
                          </w:rPr>
                          <m:t>Δy</m:t>
                        </m:r>
                        <m:ctrlPr>
                          <w:rPr>
                            <w:rFonts w:ascii="Cambria Math" w:hAnsi="Cambria Math"/>
                            <w:i/>
                          </w:rPr>
                        </m:ctrlPr>
                      </m:num>
                      <m:den>
                        <m:r>
                          <w:rPr>
                            <w:rFonts w:ascii="Cambria Math" w:hAnsi="Cambria Math"/>
                          </w:rPr>
                          <m:t>y</m:t>
                        </m:r>
                        <m:ctrlPr>
                          <w:rPr>
                            <w:rFonts w:ascii="Cambria Math" w:hAnsi="Cambria Math"/>
                            <w:i/>
                          </w:rPr>
                        </m:ctrlPr>
                      </m:den>
                    </m:f>
                  </m:e>
                </m:d>
              </m:e>
              <m:sup>
                <m:r>
                  <w:rPr>
                    <w:rFonts w:ascii="Cambria Math" w:hAnsi="Cambria Math"/>
                  </w:rPr>
                  <m:t>2</m:t>
                </m:r>
              </m:sup>
            </m:sSup>
          </m:e>
        </m:rad>
      </m:oMath>
      <w:r w:rsidR="00937413">
        <w:t xml:space="preserve"> ) while the error for the averaging of all depolarization ratios is obtained by the averaging formula </w:t>
      </w:r>
      <m:oMath>
        <m:r>
          <m:rPr>
            <m:sty m:val="p"/>
          </m:rPr>
          <w:rPr>
            <w:rFonts w:ascii="Cambria Math" w:hAnsi="Cambria Math"/>
          </w:rPr>
          <m:t>ΔDR</m:t>
        </m:r>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ad>
          <m:radPr>
            <m:degHide m:val="1"/>
            <m:ctrlPr>
              <w:rPr>
                <w:rFonts w:ascii="Cambria Math" w:hAnsi="Cambria Math"/>
                <w:i/>
              </w:rPr>
            </m:ctrlPr>
          </m:radPr>
          <m:deg/>
          <m:e>
            <m:nary>
              <m:naryPr>
                <m:chr m:val="∑"/>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 xml:space="preserve"> Δz</m:t>
                    </m:r>
                  </m:e>
                  <m:sub>
                    <m:r>
                      <w:rPr>
                        <w:rFonts w:ascii="Cambria Math" w:hAnsi="Cambria Math"/>
                      </w:rPr>
                      <m:t>i</m:t>
                    </m:r>
                  </m:sub>
                  <m:sup>
                    <m:r>
                      <w:rPr>
                        <w:rFonts w:ascii="Cambria Math" w:hAnsi="Cambria Math"/>
                      </w:rPr>
                      <m:t>2</m:t>
                    </m:r>
                  </m:sup>
                </m:sSubSup>
              </m:e>
            </m:nary>
          </m:e>
        </m:rad>
      </m:oMath>
      <w:r w:rsidR="00937413">
        <w:t xml:space="preserve">.  </w:t>
      </w:r>
    </w:p>
    <w:p w14:paraId="3E39FD49" w14:textId="77777777" w:rsidR="002675AE" w:rsidRDefault="002675AE" w:rsidP="007229B0">
      <w:pPr>
        <w:pStyle w:val="TAMainText"/>
        <w:rPr>
          <w:b/>
          <w:bCs/>
        </w:rPr>
      </w:pPr>
    </w:p>
    <w:p w14:paraId="3C1E5305" w14:textId="6D46550E" w:rsidR="007229B0" w:rsidRPr="00C01508" w:rsidRDefault="007229B0" w:rsidP="007229B0">
      <w:pPr>
        <w:pStyle w:val="TAMainText"/>
        <w:rPr>
          <w:b/>
          <w:bCs/>
        </w:rPr>
      </w:pPr>
      <w:r w:rsidRPr="00C01508">
        <w:rPr>
          <w:b/>
          <w:bCs/>
        </w:rPr>
        <w:t xml:space="preserve">Geometry optimization of </w:t>
      </w:r>
      <m:oMath>
        <m:sSub>
          <m:sSubPr>
            <m:ctrlPr>
              <w:rPr>
                <w:rFonts w:ascii="Cambria Math" w:hAnsi="Cambria Math"/>
                <w:b/>
                <w:bCs/>
                <w:iCs/>
              </w:rPr>
            </m:ctrlPr>
          </m:sSubPr>
          <m:e>
            <m:r>
              <m:rPr>
                <m:sty m:val="b"/>
              </m:rPr>
              <w:rPr>
                <w:rFonts w:ascii="Cambria Math" w:hAnsi="Cambria Math"/>
              </w:rPr>
              <m:t>I</m:t>
            </m:r>
          </m:e>
          <m:sub>
            <m:r>
              <m:rPr>
                <m:sty m:val="b"/>
              </m:rPr>
              <w:rPr>
                <w:rFonts w:ascii="Cambria Math" w:hAnsi="Cambria Math"/>
              </w:rPr>
              <m:t>β</m:t>
            </m:r>
          </m:sub>
        </m:sSub>
      </m:oMath>
      <w:r w:rsidRPr="00C01508">
        <w:rPr>
          <w:b/>
          <w:bCs/>
          <w:iCs/>
        </w:rPr>
        <w:t xml:space="preserve"> cellulose crystal</w:t>
      </w:r>
    </w:p>
    <w:p w14:paraId="3FE18E9A" w14:textId="639CB8E5" w:rsidR="007229B0" w:rsidRPr="00C01508" w:rsidRDefault="00362AF2" w:rsidP="007229B0">
      <w:pPr>
        <w:pStyle w:val="TAMainText"/>
        <w:rPr>
          <w:rFonts w:eastAsiaTheme="minorEastAsia"/>
        </w:rPr>
      </w:pPr>
      <w:r w:rsidRPr="00C01508">
        <w:rPr>
          <w:rFonts w:eastAsiaTheme="minorEastAsia"/>
        </w:rPr>
        <w:t>In</w:t>
      </w:r>
      <w:r w:rsidR="007229B0" w:rsidRPr="00C01508">
        <w:rPr>
          <w:rFonts w:eastAsiaTheme="minorEastAsia"/>
        </w:rPr>
        <w:t xml:space="preserve"> comparison to the neutron diffraction</w:t>
      </w:r>
      <w:r w:rsidRPr="00C01508">
        <w:rPr>
          <w:rFonts w:eastAsiaTheme="minorEastAsia"/>
        </w:rPr>
        <w:t xml:space="preserve"> data</w:t>
      </w:r>
      <w:r w:rsidR="007229B0" w:rsidRPr="00C01508">
        <w:rPr>
          <w:rFonts w:eastAsiaTheme="minorEastAsia"/>
        </w:rPr>
        <w:t xml:space="preserve">, minor differences in the </w:t>
      </w:r>
      <w:r w:rsidR="002675AE">
        <w:rPr>
          <w:rFonts w:eastAsiaTheme="minorEastAsia"/>
        </w:rPr>
        <w:t xml:space="preserve">PBC </w:t>
      </w:r>
      <w:r w:rsidRPr="00C01508">
        <w:rPr>
          <w:rFonts w:eastAsiaTheme="minorEastAsia"/>
        </w:rPr>
        <w:t xml:space="preserve">optimized </w:t>
      </w:r>
      <w:r w:rsidR="007229B0" w:rsidRPr="00C01508">
        <w:rPr>
          <w:rFonts w:eastAsiaTheme="minorEastAsia"/>
        </w:rPr>
        <w:t>structure</w:t>
      </w:r>
      <w:r w:rsidR="002675AE">
        <w:rPr>
          <w:rFonts w:eastAsiaTheme="minorEastAsia"/>
        </w:rPr>
        <w:t>s</w:t>
      </w:r>
      <w:r w:rsidR="007229B0" w:rsidRPr="00C01508">
        <w:rPr>
          <w:rFonts w:eastAsiaTheme="minorEastAsia"/>
        </w:rPr>
        <w:t xml:space="preserve"> are observed. The</w:t>
      </w:r>
      <w:r w:rsidRPr="00C01508">
        <w:rPr>
          <w:rFonts w:eastAsiaTheme="minorEastAsia"/>
        </w:rPr>
        <w:t xml:space="preserve"> differences in</w:t>
      </w:r>
      <w:r w:rsidR="007229B0" w:rsidRPr="00C01508">
        <w:rPr>
          <w:rFonts w:eastAsiaTheme="minorEastAsia"/>
        </w:rPr>
        <w:t xml:space="preserve"> cell parameters are </w:t>
      </w:r>
      <w:r w:rsidR="000F6CAD" w:rsidRPr="00C01508">
        <w:rPr>
          <w:rFonts w:eastAsiaTheme="minorEastAsia"/>
        </w:rPr>
        <w:t>small (</w:t>
      </w:r>
      <w:r w:rsidR="007229B0" w:rsidRPr="00C01508">
        <w:rPr>
          <w:rFonts w:eastAsiaTheme="minorEastAsia"/>
        </w:rPr>
        <w:t>Table 1</w:t>
      </w:r>
      <w:r w:rsidR="000F6CAD" w:rsidRPr="00C01508">
        <w:rPr>
          <w:rFonts w:eastAsiaTheme="minorEastAsia"/>
        </w:rPr>
        <w:t>)</w:t>
      </w:r>
      <w:r w:rsidR="007229B0" w:rsidRPr="00C01508">
        <w:rPr>
          <w:rFonts w:eastAsiaTheme="minorEastAsia"/>
        </w:rPr>
        <w:t xml:space="preserve">. </w:t>
      </w:r>
    </w:p>
    <w:p w14:paraId="4B287759" w14:textId="5BDB0401" w:rsidR="007229B0" w:rsidRPr="00C01508" w:rsidRDefault="007229B0" w:rsidP="007229B0">
      <w:pPr>
        <w:pStyle w:val="TAMainText"/>
        <w:rPr>
          <w:i/>
          <w:iCs/>
        </w:rPr>
      </w:pPr>
      <w:r w:rsidRPr="00C01508">
        <w:rPr>
          <w:b/>
          <w:bCs/>
          <w:i/>
          <w:iCs/>
        </w:rPr>
        <w:t xml:space="preserve">Table </w:t>
      </w:r>
      <w:r w:rsidRPr="00C01508">
        <w:rPr>
          <w:b/>
          <w:bCs/>
          <w:i/>
          <w:iCs/>
        </w:rPr>
        <w:fldChar w:fldCharType="begin"/>
      </w:r>
      <w:r w:rsidRPr="00C01508">
        <w:rPr>
          <w:b/>
          <w:bCs/>
          <w:i/>
          <w:iCs/>
        </w:rPr>
        <w:instrText xml:space="preserve"> SEQ Table \* ARABIC </w:instrText>
      </w:r>
      <w:r w:rsidRPr="00C01508">
        <w:rPr>
          <w:b/>
          <w:bCs/>
          <w:i/>
          <w:iCs/>
        </w:rPr>
        <w:fldChar w:fldCharType="separate"/>
      </w:r>
      <w:r w:rsidR="00C942F6">
        <w:rPr>
          <w:b/>
          <w:bCs/>
          <w:i/>
          <w:iCs/>
          <w:noProof/>
        </w:rPr>
        <w:t>1</w:t>
      </w:r>
      <w:r w:rsidRPr="00C01508">
        <w:rPr>
          <w:b/>
          <w:bCs/>
          <w:i/>
          <w:iCs/>
        </w:rPr>
        <w:fldChar w:fldCharType="end"/>
      </w:r>
      <w:r w:rsidRPr="00C01508">
        <w:rPr>
          <w:b/>
          <w:bCs/>
          <w:i/>
          <w:iCs/>
        </w:rPr>
        <w:t>:</w:t>
      </w:r>
      <w:r w:rsidRPr="00C01508">
        <w:rPr>
          <w:i/>
          <w:iCs/>
        </w:rPr>
        <w:t xml:space="preserve"> Neutron diffraction and DFT-optimized cell parameters of the </w:t>
      </w:r>
      <m:oMath>
        <m:sSub>
          <m:sSubPr>
            <m:ctrlPr>
              <w:rPr>
                <w:rFonts w:ascii="Cambria Math" w:hAnsi="Cambria Math"/>
                <w:i/>
                <w:iCs/>
              </w:rPr>
            </m:ctrlPr>
          </m:sSubPr>
          <m:e>
            <m:r>
              <w:rPr>
                <w:rFonts w:ascii="Cambria Math" w:hAnsi="Cambria Math"/>
              </w:rPr>
              <m:t>I</m:t>
            </m:r>
          </m:e>
          <m:sub>
            <m:r>
              <w:rPr>
                <w:rFonts w:ascii="Cambria Math" w:hAnsi="Cambria Math"/>
              </w:rPr>
              <m:t>β</m:t>
            </m:r>
          </m:sub>
        </m:sSub>
      </m:oMath>
      <w:r w:rsidRPr="00C01508">
        <w:rPr>
          <w:i/>
          <w:iCs/>
        </w:rPr>
        <w:t xml:space="preserve"> cellulose crystal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1433"/>
        <w:gridCol w:w="1433"/>
        <w:gridCol w:w="1450"/>
        <w:gridCol w:w="1433"/>
        <w:gridCol w:w="1442"/>
      </w:tblGrid>
      <w:tr w:rsidR="007229B0" w:rsidRPr="00C01508" w14:paraId="23134DAB" w14:textId="77777777">
        <w:trPr>
          <w:jc w:val="center"/>
        </w:trPr>
        <w:tc>
          <w:tcPr>
            <w:tcW w:w="1875" w:type="dxa"/>
            <w:tcBorders>
              <w:top w:val="single" w:sz="4" w:space="0" w:color="auto"/>
              <w:bottom w:val="single" w:sz="4" w:space="0" w:color="auto"/>
              <w:right w:val="single" w:sz="4" w:space="0" w:color="auto"/>
            </w:tcBorders>
            <w:vAlign w:val="center"/>
          </w:tcPr>
          <w:p w14:paraId="6A775D28" w14:textId="77777777" w:rsidR="007229B0" w:rsidRPr="00C01508" w:rsidRDefault="007229B0">
            <w:pPr>
              <w:pStyle w:val="TAMainText"/>
              <w:jc w:val="center"/>
              <w:rPr>
                <w:sz w:val="22"/>
              </w:rPr>
            </w:pPr>
            <w:r w:rsidRPr="00C01508">
              <w:rPr>
                <w:sz w:val="22"/>
              </w:rPr>
              <w:t>Cell parameter</w:t>
            </w:r>
          </w:p>
        </w:tc>
        <w:tc>
          <w:tcPr>
            <w:tcW w:w="1433" w:type="dxa"/>
            <w:tcBorders>
              <w:top w:val="single" w:sz="4" w:space="0" w:color="auto"/>
              <w:left w:val="single" w:sz="4" w:space="0" w:color="auto"/>
              <w:bottom w:val="single" w:sz="4" w:space="0" w:color="auto"/>
            </w:tcBorders>
            <w:vAlign w:val="center"/>
          </w:tcPr>
          <w:p w14:paraId="003DC0D8" w14:textId="77777777" w:rsidR="007229B0" w:rsidRPr="00C01508" w:rsidRDefault="007229B0">
            <w:pPr>
              <w:pStyle w:val="TAMainText"/>
              <w:jc w:val="center"/>
              <w:rPr>
                <w:sz w:val="22"/>
              </w:rPr>
            </w:pPr>
            <w:r w:rsidRPr="00C01508">
              <w:rPr>
                <w:sz w:val="22"/>
              </w:rPr>
              <w:t>a (Å)</w:t>
            </w:r>
          </w:p>
        </w:tc>
        <w:tc>
          <w:tcPr>
            <w:tcW w:w="1433" w:type="dxa"/>
            <w:tcBorders>
              <w:top w:val="single" w:sz="4" w:space="0" w:color="auto"/>
              <w:bottom w:val="single" w:sz="4" w:space="0" w:color="auto"/>
            </w:tcBorders>
            <w:vAlign w:val="center"/>
          </w:tcPr>
          <w:p w14:paraId="5C1BD4DE" w14:textId="77777777" w:rsidR="007229B0" w:rsidRPr="00C01508" w:rsidRDefault="007229B0">
            <w:pPr>
              <w:pStyle w:val="TAMainText"/>
              <w:jc w:val="center"/>
              <w:rPr>
                <w:sz w:val="22"/>
              </w:rPr>
            </w:pPr>
            <w:r w:rsidRPr="00C01508">
              <w:rPr>
                <w:sz w:val="22"/>
              </w:rPr>
              <w:t>b (Å)</w:t>
            </w:r>
          </w:p>
        </w:tc>
        <w:tc>
          <w:tcPr>
            <w:tcW w:w="1450" w:type="dxa"/>
            <w:tcBorders>
              <w:top w:val="single" w:sz="4" w:space="0" w:color="auto"/>
              <w:bottom w:val="single" w:sz="4" w:space="0" w:color="auto"/>
            </w:tcBorders>
            <w:vAlign w:val="center"/>
          </w:tcPr>
          <w:p w14:paraId="32C21D8B" w14:textId="77777777" w:rsidR="007229B0" w:rsidRPr="00C01508" w:rsidRDefault="007229B0">
            <w:pPr>
              <w:pStyle w:val="TAMainText"/>
              <w:jc w:val="center"/>
              <w:rPr>
                <w:sz w:val="22"/>
              </w:rPr>
            </w:pPr>
            <w:r w:rsidRPr="00C01508">
              <w:rPr>
                <w:sz w:val="22"/>
              </w:rPr>
              <w:t>c (Å)</w:t>
            </w:r>
          </w:p>
        </w:tc>
        <w:tc>
          <w:tcPr>
            <w:tcW w:w="1433" w:type="dxa"/>
            <w:tcBorders>
              <w:top w:val="single" w:sz="4" w:space="0" w:color="auto"/>
              <w:bottom w:val="single" w:sz="4" w:space="0" w:color="auto"/>
            </w:tcBorders>
            <w:vAlign w:val="center"/>
          </w:tcPr>
          <w:p w14:paraId="5BF43E01" w14:textId="77777777" w:rsidR="007229B0" w:rsidRPr="00C01508" w:rsidRDefault="007229B0">
            <w:pPr>
              <w:pStyle w:val="TAMainText"/>
              <w:jc w:val="center"/>
              <w:rPr>
                <w:sz w:val="22"/>
              </w:rPr>
            </w:pPr>
            <m:oMath>
              <m:r>
                <m:rPr>
                  <m:sty m:val="p"/>
                </m:rPr>
                <w:rPr>
                  <w:rFonts w:ascii="Cambria Math" w:hAnsi="Cambria Math"/>
                  <w:sz w:val="22"/>
                </w:rPr>
                <m:t>γ</m:t>
              </m:r>
            </m:oMath>
            <w:r w:rsidRPr="00C01508">
              <w:rPr>
                <w:sz w:val="22"/>
              </w:rPr>
              <w:t xml:space="preserve"> (°)</w:t>
            </w:r>
          </w:p>
        </w:tc>
        <w:tc>
          <w:tcPr>
            <w:tcW w:w="1442" w:type="dxa"/>
            <w:tcBorders>
              <w:top w:val="single" w:sz="4" w:space="0" w:color="auto"/>
              <w:bottom w:val="single" w:sz="4" w:space="0" w:color="auto"/>
            </w:tcBorders>
            <w:vAlign w:val="center"/>
          </w:tcPr>
          <w:p w14:paraId="43FB8467" w14:textId="77777777" w:rsidR="007229B0" w:rsidRPr="00C01508" w:rsidRDefault="007229B0">
            <w:pPr>
              <w:pStyle w:val="TAMainText"/>
              <w:jc w:val="center"/>
              <w:rPr>
                <w:sz w:val="22"/>
              </w:rPr>
            </w:pPr>
            <w:r w:rsidRPr="00C01508">
              <w:rPr>
                <w:sz w:val="22"/>
              </w:rPr>
              <w:t>V (Å</w:t>
            </w:r>
            <w:r w:rsidRPr="008214DE">
              <w:rPr>
                <w:sz w:val="22"/>
                <w:vertAlign w:val="superscript"/>
              </w:rPr>
              <w:t>3</w:t>
            </w:r>
            <w:r w:rsidRPr="00C01508">
              <w:rPr>
                <w:sz w:val="22"/>
              </w:rPr>
              <w:t>)</w:t>
            </w:r>
          </w:p>
        </w:tc>
      </w:tr>
      <w:tr w:rsidR="007229B0" w:rsidRPr="00C01508" w14:paraId="13D47FFC" w14:textId="77777777">
        <w:trPr>
          <w:jc w:val="center"/>
        </w:trPr>
        <w:tc>
          <w:tcPr>
            <w:tcW w:w="1875" w:type="dxa"/>
            <w:tcBorders>
              <w:top w:val="single" w:sz="4" w:space="0" w:color="auto"/>
              <w:right w:val="single" w:sz="4" w:space="0" w:color="auto"/>
            </w:tcBorders>
            <w:vAlign w:val="center"/>
          </w:tcPr>
          <w:p w14:paraId="36976254" w14:textId="77777777" w:rsidR="007229B0" w:rsidRPr="00C01508" w:rsidRDefault="007229B0">
            <w:pPr>
              <w:pStyle w:val="TAMainText"/>
              <w:jc w:val="center"/>
              <w:rPr>
                <w:sz w:val="22"/>
              </w:rPr>
            </w:pPr>
            <w:r w:rsidRPr="00C01508">
              <w:rPr>
                <w:sz w:val="22"/>
              </w:rPr>
              <w:t>Experimental</w:t>
            </w:r>
          </w:p>
        </w:tc>
        <w:tc>
          <w:tcPr>
            <w:tcW w:w="1433" w:type="dxa"/>
            <w:tcBorders>
              <w:top w:val="single" w:sz="4" w:space="0" w:color="auto"/>
              <w:left w:val="single" w:sz="4" w:space="0" w:color="auto"/>
            </w:tcBorders>
            <w:vAlign w:val="center"/>
          </w:tcPr>
          <w:p w14:paraId="68A3F5BF" w14:textId="77777777" w:rsidR="007229B0" w:rsidRPr="00C01508" w:rsidRDefault="007229B0">
            <w:pPr>
              <w:pStyle w:val="TAMainText"/>
              <w:jc w:val="center"/>
              <w:rPr>
                <w:sz w:val="22"/>
              </w:rPr>
            </w:pPr>
            <w:r w:rsidRPr="00C01508">
              <w:rPr>
                <w:sz w:val="22"/>
              </w:rPr>
              <w:t>7.784(8)</w:t>
            </w:r>
          </w:p>
        </w:tc>
        <w:tc>
          <w:tcPr>
            <w:tcW w:w="1433" w:type="dxa"/>
            <w:tcBorders>
              <w:top w:val="single" w:sz="4" w:space="0" w:color="auto"/>
            </w:tcBorders>
            <w:vAlign w:val="center"/>
          </w:tcPr>
          <w:p w14:paraId="75179A4B" w14:textId="77777777" w:rsidR="007229B0" w:rsidRPr="00C01508" w:rsidRDefault="007229B0">
            <w:pPr>
              <w:pStyle w:val="TAMainText"/>
              <w:jc w:val="center"/>
              <w:rPr>
                <w:sz w:val="22"/>
              </w:rPr>
            </w:pPr>
            <w:r w:rsidRPr="00C01508">
              <w:rPr>
                <w:sz w:val="22"/>
              </w:rPr>
              <w:t>8.201(8)</w:t>
            </w:r>
          </w:p>
        </w:tc>
        <w:tc>
          <w:tcPr>
            <w:tcW w:w="1450" w:type="dxa"/>
            <w:tcBorders>
              <w:top w:val="single" w:sz="4" w:space="0" w:color="auto"/>
            </w:tcBorders>
            <w:vAlign w:val="center"/>
          </w:tcPr>
          <w:p w14:paraId="25871D65" w14:textId="77777777" w:rsidR="007229B0" w:rsidRPr="00C01508" w:rsidRDefault="007229B0">
            <w:pPr>
              <w:pStyle w:val="TAMainText"/>
              <w:jc w:val="center"/>
              <w:rPr>
                <w:sz w:val="22"/>
              </w:rPr>
            </w:pPr>
            <w:r w:rsidRPr="00C01508">
              <w:rPr>
                <w:sz w:val="22"/>
              </w:rPr>
              <w:t>10.380(10)</w:t>
            </w:r>
          </w:p>
        </w:tc>
        <w:tc>
          <w:tcPr>
            <w:tcW w:w="1433" w:type="dxa"/>
            <w:tcBorders>
              <w:top w:val="single" w:sz="4" w:space="0" w:color="auto"/>
            </w:tcBorders>
            <w:vAlign w:val="center"/>
          </w:tcPr>
          <w:p w14:paraId="4B7F5F9E" w14:textId="77777777" w:rsidR="007229B0" w:rsidRPr="00C01508" w:rsidRDefault="007229B0">
            <w:pPr>
              <w:pStyle w:val="TAMainText"/>
              <w:jc w:val="center"/>
              <w:rPr>
                <w:sz w:val="22"/>
              </w:rPr>
            </w:pPr>
            <w:r w:rsidRPr="00C01508">
              <w:rPr>
                <w:sz w:val="22"/>
              </w:rPr>
              <w:t>96.55(5)</w:t>
            </w:r>
          </w:p>
        </w:tc>
        <w:tc>
          <w:tcPr>
            <w:tcW w:w="1442" w:type="dxa"/>
            <w:tcBorders>
              <w:top w:val="single" w:sz="4" w:space="0" w:color="auto"/>
            </w:tcBorders>
            <w:vAlign w:val="center"/>
          </w:tcPr>
          <w:p w14:paraId="70840584" w14:textId="77777777" w:rsidR="007229B0" w:rsidRPr="00C01508" w:rsidRDefault="007229B0">
            <w:pPr>
              <w:pStyle w:val="TAMainText"/>
              <w:jc w:val="center"/>
              <w:rPr>
                <w:sz w:val="22"/>
              </w:rPr>
            </w:pPr>
            <w:r w:rsidRPr="00C01508">
              <w:rPr>
                <w:sz w:val="22"/>
              </w:rPr>
              <w:t>658.3(11)</w:t>
            </w:r>
          </w:p>
        </w:tc>
      </w:tr>
      <w:tr w:rsidR="007229B0" w:rsidRPr="00C01508" w14:paraId="0825DFAF" w14:textId="77777777">
        <w:trPr>
          <w:jc w:val="center"/>
        </w:trPr>
        <w:tc>
          <w:tcPr>
            <w:tcW w:w="1875" w:type="dxa"/>
            <w:tcBorders>
              <w:right w:val="single" w:sz="4" w:space="0" w:color="auto"/>
            </w:tcBorders>
            <w:vAlign w:val="center"/>
          </w:tcPr>
          <w:p w14:paraId="5A3E90BB" w14:textId="77777777" w:rsidR="007229B0" w:rsidRPr="00C01508" w:rsidRDefault="007229B0">
            <w:pPr>
              <w:pStyle w:val="TAMainText"/>
              <w:jc w:val="center"/>
              <w:rPr>
                <w:sz w:val="22"/>
              </w:rPr>
            </w:pPr>
            <w:r w:rsidRPr="00C01508">
              <w:rPr>
                <w:sz w:val="22"/>
              </w:rPr>
              <w:t>Optimized</w:t>
            </w:r>
          </w:p>
        </w:tc>
        <w:tc>
          <w:tcPr>
            <w:tcW w:w="1433" w:type="dxa"/>
            <w:tcBorders>
              <w:left w:val="single" w:sz="4" w:space="0" w:color="auto"/>
            </w:tcBorders>
            <w:vAlign w:val="center"/>
          </w:tcPr>
          <w:p w14:paraId="2D4339E4" w14:textId="77777777" w:rsidR="007229B0" w:rsidRPr="00C01508" w:rsidRDefault="007229B0">
            <w:pPr>
              <w:pStyle w:val="TAMainText"/>
              <w:jc w:val="center"/>
              <w:rPr>
                <w:sz w:val="22"/>
              </w:rPr>
            </w:pPr>
            <w:r w:rsidRPr="00C01508">
              <w:rPr>
                <w:sz w:val="22"/>
              </w:rPr>
              <w:t>7.454</w:t>
            </w:r>
          </w:p>
        </w:tc>
        <w:tc>
          <w:tcPr>
            <w:tcW w:w="1433" w:type="dxa"/>
            <w:vAlign w:val="center"/>
          </w:tcPr>
          <w:p w14:paraId="07109F25" w14:textId="77777777" w:rsidR="007229B0" w:rsidRPr="00C01508" w:rsidRDefault="007229B0">
            <w:pPr>
              <w:pStyle w:val="TAMainText"/>
              <w:jc w:val="center"/>
              <w:rPr>
                <w:sz w:val="22"/>
              </w:rPr>
            </w:pPr>
            <w:r w:rsidRPr="00C01508">
              <w:rPr>
                <w:sz w:val="22"/>
              </w:rPr>
              <w:t>8.202</w:t>
            </w:r>
          </w:p>
        </w:tc>
        <w:tc>
          <w:tcPr>
            <w:tcW w:w="1450" w:type="dxa"/>
            <w:vAlign w:val="center"/>
          </w:tcPr>
          <w:p w14:paraId="23B61494" w14:textId="77777777" w:rsidR="007229B0" w:rsidRPr="00C01508" w:rsidRDefault="007229B0">
            <w:pPr>
              <w:pStyle w:val="TAMainText"/>
              <w:jc w:val="center"/>
              <w:rPr>
                <w:sz w:val="22"/>
              </w:rPr>
            </w:pPr>
            <w:r w:rsidRPr="00C01508">
              <w:rPr>
                <w:sz w:val="22"/>
              </w:rPr>
              <w:t>10.397</w:t>
            </w:r>
          </w:p>
        </w:tc>
        <w:tc>
          <w:tcPr>
            <w:tcW w:w="1433" w:type="dxa"/>
            <w:vAlign w:val="center"/>
          </w:tcPr>
          <w:p w14:paraId="1B4025D8" w14:textId="77777777" w:rsidR="007229B0" w:rsidRPr="00C01508" w:rsidRDefault="007229B0">
            <w:pPr>
              <w:pStyle w:val="TAMainText"/>
              <w:jc w:val="center"/>
              <w:rPr>
                <w:sz w:val="22"/>
              </w:rPr>
            </w:pPr>
            <w:r w:rsidRPr="00C01508">
              <w:rPr>
                <w:sz w:val="22"/>
              </w:rPr>
              <w:t>96.31</w:t>
            </w:r>
          </w:p>
        </w:tc>
        <w:tc>
          <w:tcPr>
            <w:tcW w:w="1442" w:type="dxa"/>
            <w:vAlign w:val="center"/>
          </w:tcPr>
          <w:p w14:paraId="06F88C2A" w14:textId="77777777" w:rsidR="007229B0" w:rsidRPr="00C01508" w:rsidRDefault="007229B0">
            <w:pPr>
              <w:pStyle w:val="TAMainText"/>
              <w:jc w:val="center"/>
              <w:rPr>
                <w:sz w:val="22"/>
              </w:rPr>
            </w:pPr>
            <w:r w:rsidRPr="00C01508">
              <w:rPr>
                <w:sz w:val="22"/>
              </w:rPr>
              <w:t>631.8</w:t>
            </w:r>
          </w:p>
        </w:tc>
      </w:tr>
      <w:tr w:rsidR="007229B0" w:rsidRPr="0053122C" w14:paraId="0795B7C2" w14:textId="77777777">
        <w:trPr>
          <w:jc w:val="center"/>
        </w:trPr>
        <w:tc>
          <w:tcPr>
            <w:tcW w:w="1875" w:type="dxa"/>
            <w:tcBorders>
              <w:right w:val="single" w:sz="4" w:space="0" w:color="auto"/>
            </w:tcBorders>
            <w:vAlign w:val="center"/>
          </w:tcPr>
          <w:p w14:paraId="3002E76F" w14:textId="77777777" w:rsidR="007229B0" w:rsidRPr="00C01508" w:rsidRDefault="007229B0">
            <w:pPr>
              <w:pStyle w:val="TAMainText"/>
              <w:jc w:val="center"/>
              <w:rPr>
                <w:sz w:val="22"/>
              </w:rPr>
            </w:pPr>
            <w:r w:rsidRPr="00C01508">
              <w:rPr>
                <w:sz w:val="22"/>
              </w:rPr>
              <w:t>Difference (%)</w:t>
            </w:r>
          </w:p>
        </w:tc>
        <w:tc>
          <w:tcPr>
            <w:tcW w:w="1433" w:type="dxa"/>
            <w:tcBorders>
              <w:left w:val="single" w:sz="4" w:space="0" w:color="auto"/>
              <w:bottom w:val="single" w:sz="4" w:space="0" w:color="auto"/>
            </w:tcBorders>
            <w:vAlign w:val="center"/>
          </w:tcPr>
          <w:p w14:paraId="7A756344" w14:textId="77777777" w:rsidR="007229B0" w:rsidRPr="00C01508" w:rsidRDefault="007229B0">
            <w:pPr>
              <w:pStyle w:val="TAMainText"/>
              <w:jc w:val="center"/>
              <w:rPr>
                <w:sz w:val="22"/>
              </w:rPr>
            </w:pPr>
            <w:r w:rsidRPr="00C01508">
              <w:rPr>
                <w:sz w:val="22"/>
              </w:rPr>
              <w:t>-4.24</w:t>
            </w:r>
          </w:p>
        </w:tc>
        <w:tc>
          <w:tcPr>
            <w:tcW w:w="1433" w:type="dxa"/>
            <w:vAlign w:val="center"/>
          </w:tcPr>
          <w:p w14:paraId="046E0EA9" w14:textId="77777777" w:rsidR="007229B0" w:rsidRPr="00C01508" w:rsidRDefault="007229B0">
            <w:pPr>
              <w:pStyle w:val="TAMainText"/>
              <w:jc w:val="center"/>
              <w:rPr>
                <w:sz w:val="22"/>
              </w:rPr>
            </w:pPr>
            <w:r w:rsidRPr="00C01508">
              <w:rPr>
                <w:sz w:val="22"/>
              </w:rPr>
              <w:t>0.01</w:t>
            </w:r>
          </w:p>
        </w:tc>
        <w:tc>
          <w:tcPr>
            <w:tcW w:w="1450" w:type="dxa"/>
            <w:vAlign w:val="center"/>
          </w:tcPr>
          <w:p w14:paraId="0D350C8A" w14:textId="77777777" w:rsidR="007229B0" w:rsidRPr="00C01508" w:rsidRDefault="007229B0">
            <w:pPr>
              <w:pStyle w:val="TAMainText"/>
              <w:jc w:val="center"/>
              <w:rPr>
                <w:sz w:val="22"/>
              </w:rPr>
            </w:pPr>
            <w:r w:rsidRPr="00C01508">
              <w:rPr>
                <w:sz w:val="22"/>
              </w:rPr>
              <w:t>0.17</w:t>
            </w:r>
          </w:p>
        </w:tc>
        <w:tc>
          <w:tcPr>
            <w:tcW w:w="1433" w:type="dxa"/>
            <w:vAlign w:val="center"/>
          </w:tcPr>
          <w:p w14:paraId="472EC4E0" w14:textId="77777777" w:rsidR="007229B0" w:rsidRPr="00C01508" w:rsidRDefault="007229B0">
            <w:pPr>
              <w:pStyle w:val="TAMainText"/>
              <w:jc w:val="center"/>
              <w:rPr>
                <w:sz w:val="22"/>
              </w:rPr>
            </w:pPr>
            <w:r w:rsidRPr="00C01508">
              <w:rPr>
                <w:sz w:val="22"/>
              </w:rPr>
              <w:t>-0.25</w:t>
            </w:r>
          </w:p>
        </w:tc>
        <w:tc>
          <w:tcPr>
            <w:tcW w:w="1442" w:type="dxa"/>
            <w:vAlign w:val="center"/>
          </w:tcPr>
          <w:p w14:paraId="6843AECC" w14:textId="77777777" w:rsidR="007229B0" w:rsidRPr="00C01508" w:rsidRDefault="007229B0">
            <w:pPr>
              <w:pStyle w:val="TAMainText"/>
              <w:jc w:val="center"/>
              <w:rPr>
                <w:sz w:val="22"/>
              </w:rPr>
            </w:pPr>
            <w:r w:rsidRPr="00C01508">
              <w:rPr>
                <w:sz w:val="22"/>
              </w:rPr>
              <w:t>-4.03</w:t>
            </w:r>
          </w:p>
        </w:tc>
      </w:tr>
    </w:tbl>
    <w:p w14:paraId="6DDBA4FD" w14:textId="77777777" w:rsidR="007229B0" w:rsidRPr="0053122C" w:rsidRDefault="007229B0" w:rsidP="006D05C0">
      <w:pPr>
        <w:rPr>
          <w:rFonts w:ascii="Palatino Linotype" w:hAnsi="Palatino Linotype"/>
          <w:b/>
          <w:bCs/>
          <w:highlight w:val="cyan"/>
        </w:rPr>
      </w:pPr>
    </w:p>
    <w:p w14:paraId="1CEE911B" w14:textId="7125E5EA" w:rsidR="006D05C0" w:rsidRPr="008740A0" w:rsidRDefault="006D05C0" w:rsidP="006D05C0">
      <w:pPr>
        <w:rPr>
          <w:rFonts w:ascii="Palatino Linotype" w:hAnsi="Palatino Linotype"/>
        </w:rPr>
      </w:pPr>
      <w:r w:rsidRPr="008740A0">
        <w:rPr>
          <w:rFonts w:ascii="Palatino Linotype" w:hAnsi="Palatino Linotype"/>
          <w:b/>
          <w:bCs/>
        </w:rPr>
        <w:t xml:space="preserve">Quantum </w:t>
      </w:r>
      <w:r w:rsidR="00A17035">
        <w:rPr>
          <w:rFonts w:ascii="Palatino Linotype" w:hAnsi="Palatino Linotype"/>
          <w:b/>
          <w:bCs/>
        </w:rPr>
        <w:t>chemical</w:t>
      </w:r>
      <w:r w:rsidRPr="008740A0">
        <w:rPr>
          <w:rFonts w:ascii="Palatino Linotype" w:hAnsi="Palatino Linotype"/>
          <w:b/>
          <w:bCs/>
        </w:rPr>
        <w:t xml:space="preserve"> modeling: Linear and nonlinear optical results</w:t>
      </w:r>
    </w:p>
    <w:p w14:paraId="74B73ACE" w14:textId="3DD78994" w:rsidR="003E2C9A" w:rsidRPr="003E2C9A" w:rsidRDefault="002A0B07" w:rsidP="003E2C9A">
      <w:pPr>
        <w:pStyle w:val="TAMainText"/>
        <w:rPr>
          <w:rFonts w:eastAsiaTheme="minorEastAsia"/>
          <w:iCs/>
        </w:rPr>
      </w:pPr>
      <w:r w:rsidRPr="008740A0">
        <w:rPr>
          <w:rFonts w:eastAsiaTheme="minorEastAsia"/>
          <w:iCs/>
        </w:rPr>
        <w:t>Since t</w:t>
      </w:r>
      <w:r w:rsidR="003E2C9A" w:rsidRPr="008740A0">
        <w:rPr>
          <w:rFonts w:eastAsiaTheme="minorEastAsia"/>
          <w:iCs/>
        </w:rPr>
        <w:t>he band gap value strongly depend</w:t>
      </w:r>
      <w:r w:rsidRPr="008740A0">
        <w:rPr>
          <w:rFonts w:eastAsiaTheme="minorEastAsia"/>
          <w:iCs/>
        </w:rPr>
        <w:t>s</w:t>
      </w:r>
      <w:r w:rsidR="003E2C9A" w:rsidRPr="008740A0">
        <w:rPr>
          <w:rFonts w:eastAsiaTheme="minorEastAsia"/>
          <w:iCs/>
        </w:rPr>
        <w:t xml:space="preserve"> on the amount of long-range Hartree-Fock exchange, </w:t>
      </w:r>
      <w:r w:rsidR="003E2C9A" w:rsidRPr="008740A0">
        <w:t xml:space="preserve">a few altered versions of the LC-BLYP XCF have been tested </w:t>
      </w:r>
      <w:r w:rsidR="002946C6" w:rsidRPr="008740A0">
        <w:t xml:space="preserve">to obtain </w:t>
      </w:r>
      <w:r w:rsidR="003E2C9A" w:rsidRPr="008740A0">
        <w:t>a band gap of ~6 eV, where the maximum percentage of HF exchange at infinite distance has been changed from 100% to 20%, 30%, and 40%</w:t>
      </w:r>
      <w:r w:rsidR="002946C6" w:rsidRPr="008740A0">
        <w:t xml:space="preserve"> (ESI.1</w:t>
      </w:r>
      <w:r w:rsidR="00D9499B">
        <w:t>3</w:t>
      </w:r>
      <w:r w:rsidR="002946C6" w:rsidRPr="008740A0">
        <w:t xml:space="preserve"> and Table </w:t>
      </w:r>
      <w:r w:rsidR="004752EE" w:rsidRPr="008740A0">
        <w:t>S</w:t>
      </w:r>
      <w:r w:rsidR="002946C6" w:rsidRPr="008740A0">
        <w:t>1)</w:t>
      </w:r>
      <w:r w:rsidR="003E2C9A" w:rsidRPr="008740A0">
        <w:rPr>
          <w:rFonts w:eastAsiaTheme="minorEastAsia"/>
          <w:iCs/>
        </w:rPr>
        <w:t>. Employing the neutron diffraction structure, using 20-30% HF exchange at long range appears to be a reliable choice to match the ~6 eV value. DFT-</w:t>
      </w:r>
      <w:r w:rsidR="003E2C9A" w:rsidRPr="00AC39C2">
        <w:rPr>
          <w:rFonts w:eastAsiaTheme="minorEastAsia"/>
          <w:iCs/>
        </w:rPr>
        <w:t>geometry optimization</w:t>
      </w:r>
      <w:r w:rsidR="002946C6" w:rsidRPr="00AC39C2">
        <w:rPr>
          <w:rFonts w:eastAsiaTheme="minorEastAsia"/>
          <w:iCs/>
        </w:rPr>
        <w:t xml:space="preserve"> does not change much the band gap (from 5.6 to 6.0 eV, with LC-BLYP20)</w:t>
      </w:r>
      <w:r w:rsidR="003E2C9A" w:rsidRPr="00AC39C2">
        <w:rPr>
          <w:rFonts w:eastAsiaTheme="minorEastAsia"/>
          <w:iCs/>
        </w:rPr>
        <w:t xml:space="preserve">. Thus, the LC-BLYP20 XCF could be considered as </w:t>
      </w:r>
      <w:r w:rsidR="002946C6" w:rsidRPr="00AC39C2">
        <w:rPr>
          <w:rFonts w:eastAsiaTheme="minorEastAsia"/>
          <w:iCs/>
        </w:rPr>
        <w:t>a good</w:t>
      </w:r>
      <w:r w:rsidR="003E2C9A" w:rsidRPr="00AC39C2">
        <w:rPr>
          <w:rFonts w:eastAsiaTheme="minorEastAsia"/>
          <w:iCs/>
        </w:rPr>
        <w:t xml:space="preserve"> choice.</w:t>
      </w:r>
      <w:r w:rsidR="003E2C9A" w:rsidRPr="00B750B0">
        <w:rPr>
          <w:rFonts w:eastAsiaTheme="minorEastAsia"/>
          <w:iCs/>
        </w:rPr>
        <w:t xml:space="preserve">  </w:t>
      </w:r>
    </w:p>
    <w:p w14:paraId="0FF380C1" w14:textId="179360FC" w:rsidR="0076729C" w:rsidRPr="003E2C9A" w:rsidRDefault="003E2C9A" w:rsidP="00D008F6">
      <w:pPr>
        <w:pStyle w:val="TAMainText"/>
        <w:rPr>
          <w:highlight w:val="cyan"/>
        </w:rPr>
      </w:pPr>
      <w:r w:rsidRPr="00AC39C2">
        <w:lastRenderedPageBreak/>
        <w:t xml:space="preserve">The unit cell </w:t>
      </w:r>
      <w:r w:rsidR="000D1E94" w:rsidRPr="00AC39C2">
        <w:t xml:space="preserve">first </w:t>
      </w:r>
      <w:r w:rsidRPr="00AC39C2">
        <w:t xml:space="preserve">hyperpolarizability tensor of </w:t>
      </w: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β</m:t>
            </m:r>
          </m:sub>
        </m:sSub>
      </m:oMath>
      <w:r w:rsidRPr="00AC39C2">
        <w:rPr>
          <w:iCs/>
        </w:rPr>
        <w:t xml:space="preserve"> cellulose ha</w:t>
      </w:r>
      <w:r w:rsidR="008D0964" w:rsidRPr="00AC39C2">
        <w:rPr>
          <w:iCs/>
        </w:rPr>
        <w:t>s</w:t>
      </w:r>
      <w:r w:rsidRPr="00AC39C2">
        <w:rPr>
          <w:iCs/>
        </w:rPr>
        <w:t xml:space="preserve"> </w:t>
      </w:r>
      <w:r w:rsidR="000D1E94" w:rsidRPr="00AC39C2">
        <w:rPr>
          <w:iCs/>
        </w:rPr>
        <w:t xml:space="preserve">then </w:t>
      </w:r>
      <w:r w:rsidRPr="00AC39C2">
        <w:rPr>
          <w:iCs/>
        </w:rPr>
        <w:t xml:space="preserve">been calculated with LC-BLYP20, LC-BLYP30, LC-BLYP40, </w:t>
      </w:r>
      <m:oMath>
        <m:r>
          <m:rPr>
            <m:sty m:val="p"/>
          </m:rPr>
          <w:rPr>
            <w:rFonts w:ascii="Cambria Math" w:hAnsi="Cambria Math"/>
          </w:rPr>
          <m:t>ω</m:t>
        </m:r>
      </m:oMath>
      <w:r w:rsidRPr="00AC39C2">
        <w:t xml:space="preserve">B97X, and CAM-B3LYP considering the neutron diffraction structure, and LC-BLYP20 considering the geometrically optimized structure. </w:t>
      </w:r>
      <w:r w:rsidR="00614A5A" w:rsidRPr="00AC39C2">
        <w:t xml:space="preserve">The calculated linear and nonlinear optical properties computed for incident fields of </w:t>
      </w:r>
      <m:oMath>
        <m:r>
          <w:rPr>
            <w:rFonts w:ascii="Cambria Math" w:hAnsi="Cambria Math"/>
          </w:rPr>
          <m:t>λ=1064</m:t>
        </m:r>
      </m:oMath>
      <w:r w:rsidR="00614A5A" w:rsidRPr="00AC39C2">
        <w:t xml:space="preserve"> nm</w:t>
      </w:r>
      <w:r w:rsidR="001313C9" w:rsidRPr="00AC39C2">
        <w:t xml:space="preserve"> </w:t>
      </w:r>
      <w:r w:rsidR="00614A5A" w:rsidRPr="00AC39C2">
        <w:t xml:space="preserve">are summarized in </w:t>
      </w:r>
      <w:r w:rsidRPr="00AC39C2">
        <w:t>ESI.</w:t>
      </w:r>
      <w:r w:rsidR="007042ED" w:rsidRPr="00AC39C2">
        <w:t>1</w:t>
      </w:r>
      <w:r w:rsidR="001844FE">
        <w:t>3</w:t>
      </w:r>
      <w:r w:rsidR="007042ED" w:rsidRPr="00AC39C2">
        <w:t xml:space="preserve"> </w:t>
      </w:r>
      <w:r w:rsidRPr="00AC39C2">
        <w:t xml:space="preserve">and Table </w:t>
      </w:r>
      <w:r w:rsidR="001313C9" w:rsidRPr="00AC39C2">
        <w:t xml:space="preserve">S2 and S4, respectively (and S3 for linear properties at </w:t>
      </w:r>
      <m:oMath>
        <m:r>
          <w:rPr>
            <w:rFonts w:ascii="Cambria Math" w:hAnsi="Cambria Math"/>
          </w:rPr>
          <m:t>λ=532</m:t>
        </m:r>
      </m:oMath>
      <w:r w:rsidR="00DB6F18">
        <w:t> </w:t>
      </w:r>
      <w:r w:rsidR="001313C9" w:rsidRPr="00AC39C2">
        <w:t>nm)</w:t>
      </w:r>
      <w:r w:rsidR="00614A5A" w:rsidRPr="00AC39C2">
        <w:t xml:space="preserve">. </w:t>
      </w:r>
      <w:r w:rsidR="004E400D" w:rsidRPr="00AC39C2">
        <w:t xml:space="preserve">This wavelength has been selected since it is a well-known standard, and the difference in the results </w:t>
      </w:r>
      <w:r w:rsidR="008D0964" w:rsidRPr="00AC39C2">
        <w:t>of</w:t>
      </w:r>
      <w:r w:rsidR="004E400D" w:rsidRPr="00AC39C2">
        <w:t xml:space="preserve"> the hyper-Rayleigh scattering measurement done with a 1030 nm wavelength will be quite negligible since we are far from resonance. </w:t>
      </w:r>
      <w:r w:rsidR="0076729C" w:rsidRPr="00AC39C2">
        <w:t xml:space="preserve">In Table </w:t>
      </w:r>
      <w:r w:rsidRPr="00AC39C2">
        <w:t>2</w:t>
      </w:r>
      <w:r w:rsidR="0076729C" w:rsidRPr="00AC39C2">
        <w:t xml:space="preserve">, we have gathered the first hyperpolarizability tensor </w:t>
      </w:r>
      <w:r w:rsidR="00D33BB7" w:rsidRPr="00AC39C2">
        <w:t>quantities</w:t>
      </w:r>
      <w:r w:rsidR="00154D63">
        <w:t xml:space="preserve"> </w:t>
      </w:r>
      <m:oMath>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ZZZ</m:t>
            </m:r>
          </m:sub>
          <m:sup>
            <m:r>
              <m:rPr>
                <m:sty m:val="p"/>
              </m:rPr>
              <w:rPr>
                <w:rFonts w:ascii="Cambria Math" w:hAnsi="Cambria Math" w:cs="Segoe UI"/>
              </w:rPr>
              <m:t>2</m:t>
            </m:r>
          </m:sup>
        </m:sSubSup>
      </m:oMath>
      <w:r w:rsidR="00D33BB7" w:rsidRPr="004865CD">
        <w:rPr>
          <w:iCs/>
        </w:rPr>
        <w:t>,</w:t>
      </w:r>
      <w:r w:rsidR="00154D63" w:rsidRPr="004865CD">
        <w:rPr>
          <w:iCs/>
        </w:rPr>
        <w:t xml:space="preserve"> </w:t>
      </w:r>
      <m:oMath>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XZZ</m:t>
            </m:r>
          </m:sub>
          <m:sup>
            <m:r>
              <m:rPr>
                <m:sty m:val="p"/>
              </m:rPr>
              <w:rPr>
                <w:rFonts w:ascii="Cambria Math" w:hAnsi="Cambria Math" w:cs="Segoe UI"/>
              </w:rPr>
              <m:t>2</m:t>
            </m:r>
          </m:sup>
        </m:sSubSup>
      </m:oMath>
      <w:r w:rsidR="00D33BB7" w:rsidRPr="004865CD">
        <w:rPr>
          <w:iCs/>
        </w:rPr>
        <w:t>,</w:t>
      </w:r>
      <w:r w:rsidR="00154D63" w:rsidRPr="004865CD">
        <w:rPr>
          <w:iCs/>
        </w:rPr>
        <w:t xml:space="preserve"> </w:t>
      </w:r>
      <m:oMath>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HRS</m:t>
            </m:r>
          </m:sub>
          <m:sup>
            <m:r>
              <m:rPr>
                <m:sty m:val="p"/>
              </m:rPr>
              <w:rPr>
                <w:rFonts w:ascii="Cambria Math" w:hAnsi="Cambria Math" w:cs="Segoe UI"/>
              </w:rPr>
              <m:t>2</m:t>
            </m:r>
          </m:sup>
        </m:sSubSup>
      </m:oMath>
      <w:r w:rsidR="00D33BB7" w:rsidRPr="004865CD">
        <w:rPr>
          <w:iCs/>
        </w:rPr>
        <w:t xml:space="preserve">, </w:t>
      </w:r>
      <m:oMath>
        <m:sSub>
          <m:sSubPr>
            <m:ctrlPr>
              <w:rPr>
                <w:rFonts w:ascii="Cambria Math" w:hAnsi="Cambria Math" w:cs="Segoe UI"/>
                <w:iCs/>
              </w:rPr>
            </m:ctrlPr>
          </m:sSubPr>
          <m:e>
            <m:r>
              <m:rPr>
                <m:sty m:val="p"/>
              </m:rPr>
              <w:rPr>
                <w:rFonts w:ascii="Cambria Math" w:hAnsi="Cambria Math" w:cs="Segoe UI"/>
              </w:rPr>
              <m:t>β</m:t>
            </m:r>
          </m:e>
          <m:sub>
            <m:r>
              <m:rPr>
                <m:sty m:val="p"/>
              </m:rPr>
              <w:rPr>
                <w:rFonts w:ascii="Cambria Math" w:hAnsi="Cambria Math" w:cs="Segoe UI"/>
              </w:rPr>
              <m:t>HRS</m:t>
            </m:r>
          </m:sub>
        </m:sSub>
        <m:r>
          <m:rPr>
            <m:sty m:val="p"/>
          </m:rPr>
          <w:rPr>
            <w:rFonts w:ascii="Cambria Math" w:hAnsi="Cambria Math" w:cs="Segoe UI"/>
          </w:rPr>
          <m:t>=</m:t>
        </m:r>
        <m:rad>
          <m:radPr>
            <m:degHide m:val="1"/>
            <m:ctrlPr>
              <w:rPr>
                <w:rFonts w:ascii="Cambria Math" w:hAnsi="Cambria Math" w:cs="Segoe UI"/>
                <w:iCs/>
              </w:rPr>
            </m:ctrlPr>
          </m:radPr>
          <m:deg/>
          <m:e>
            <m:sSubSup>
              <m:sSubSupPr>
                <m:ctrlPr>
                  <w:rPr>
                    <w:rFonts w:ascii="Cambria Math" w:hAnsi="Cambria Math" w:cs="Segoe UI"/>
                    <w:iCs/>
                  </w:rPr>
                </m:ctrlPr>
              </m:sSubSupPr>
              <m:e>
                <m:r>
                  <m:rPr>
                    <m:sty m:val="p"/>
                  </m:rPr>
                  <w:rPr>
                    <w:rFonts w:ascii="Cambria Math" w:hAnsi="Cambria Math" w:cs="Segoe UI"/>
                  </w:rPr>
                  <m:t>β</m:t>
                </m:r>
              </m:e>
              <m:sub>
                <m:r>
                  <m:rPr>
                    <m:sty m:val="p"/>
                  </m:rPr>
                  <w:rPr>
                    <w:rFonts w:ascii="Cambria Math" w:hAnsi="Cambria Math" w:cs="Segoe UI"/>
                  </w:rPr>
                  <m:t>HRS</m:t>
                </m:r>
              </m:sub>
              <m:sup>
                <m:r>
                  <m:rPr>
                    <m:sty m:val="p"/>
                  </m:rPr>
                  <w:rPr>
                    <w:rFonts w:ascii="Cambria Math" w:hAnsi="Cambria Math" w:cs="Segoe UI"/>
                  </w:rPr>
                  <m:t>2</m:t>
                </m:r>
              </m:sup>
            </m:sSubSup>
          </m:e>
        </m:rad>
      </m:oMath>
      <w:r w:rsidR="00D33BB7" w:rsidRPr="004865CD">
        <w:rPr>
          <w:iCs/>
        </w:rPr>
        <w:t xml:space="preserve"> and DR</w:t>
      </w:r>
      <w:r w:rsidR="00D33BB7" w:rsidRPr="00AC39C2">
        <w:t>, for each of the employed XCFs</w:t>
      </w:r>
      <w:r w:rsidR="0076729C" w:rsidRPr="00AC39C2">
        <w:t xml:space="preserve">. </w:t>
      </w:r>
      <w:r w:rsidR="005B47B0" w:rsidRPr="00AC39C2">
        <w:t xml:space="preserve">These were </w:t>
      </w:r>
      <w:r w:rsidR="00D072F2" w:rsidRPr="00AC39C2">
        <w:t>calculated</w:t>
      </w:r>
      <w:r w:rsidR="00E06F1E" w:rsidRPr="00AC39C2">
        <w:t xml:space="preserve"> </w:t>
      </w:r>
      <w:r w:rsidR="005939DC" w:rsidRPr="00AC39C2">
        <w:t xml:space="preserve">from </w:t>
      </w:r>
      <w:proofErr w:type="spellStart"/>
      <w:r w:rsidR="005939DC" w:rsidRPr="00AC39C2">
        <w:t>eqn</w:t>
      </w:r>
      <w:proofErr w:type="spellEnd"/>
      <w:r w:rsidR="005939DC" w:rsidRPr="00AC39C2">
        <w:t xml:space="preserve"> (</w:t>
      </w:r>
      <w:r w:rsidR="00D36071">
        <w:t>S6</w:t>
      </w:r>
      <w:r w:rsidR="005939DC" w:rsidRPr="00AC39C2">
        <w:t>) – (</w:t>
      </w:r>
      <w:r w:rsidR="00D36071">
        <w:t>S8</w:t>
      </w:r>
      <w:r w:rsidR="005939DC" w:rsidRPr="00AC39C2">
        <w:t>).</w:t>
      </w:r>
      <w:r w:rsidR="00B97623" w:rsidRPr="00AC39C2">
        <w:t xml:space="preserve"> Experimental </w:t>
      </w:r>
      <w:r w:rsidR="00F31378" w:rsidRPr="00AC39C2">
        <w:t>values are provided as a comparison.</w:t>
      </w:r>
      <w:r w:rsidR="00D33BB7" w:rsidRPr="00AC39C2">
        <w:t xml:space="preserve"> The (HOMO-LUMO) </w:t>
      </w:r>
      <w:r w:rsidR="001626E7" w:rsidRPr="00AC39C2">
        <w:t xml:space="preserve">electronic </w:t>
      </w:r>
      <w:r w:rsidR="00D33BB7" w:rsidRPr="00AC39C2">
        <w:t>band gap is also reporte</w:t>
      </w:r>
      <w:r w:rsidR="00D33BB7" w:rsidRPr="00D36071">
        <w:t>d.</w:t>
      </w:r>
    </w:p>
    <w:p w14:paraId="1C21748A" w14:textId="77777777" w:rsidR="005B47B0" w:rsidRPr="003E2C9A" w:rsidRDefault="005B47B0" w:rsidP="0076729C">
      <w:pPr>
        <w:rPr>
          <w:rFonts w:ascii="Palatino Linotype" w:hAnsi="Palatino Linotype"/>
          <w:iCs/>
          <w:sz w:val="20"/>
          <w:highlight w:val="cyan"/>
        </w:rPr>
      </w:pPr>
    </w:p>
    <w:p w14:paraId="0E55D9D0" w14:textId="0E1365BE" w:rsidR="00AC1965" w:rsidRPr="00AC1965" w:rsidRDefault="004578EA" w:rsidP="00AC1965">
      <w:pPr>
        <w:pStyle w:val="VDTableTitle"/>
        <w:rPr>
          <w:i/>
          <w:iCs/>
        </w:rPr>
      </w:pPr>
      <w:r w:rsidRPr="00A02636">
        <w:rPr>
          <w:b/>
          <w:bCs/>
          <w:i/>
          <w:iCs/>
        </w:rPr>
        <w:t xml:space="preserve">Table </w:t>
      </w:r>
      <w:r w:rsidRPr="00A02636">
        <w:rPr>
          <w:b/>
          <w:bCs/>
          <w:i/>
          <w:iCs/>
        </w:rPr>
        <w:fldChar w:fldCharType="begin"/>
      </w:r>
      <w:r w:rsidRPr="00A02636">
        <w:rPr>
          <w:b/>
          <w:bCs/>
          <w:i/>
          <w:iCs/>
        </w:rPr>
        <w:instrText xml:space="preserve"> SEQ Table \* ARABIC </w:instrText>
      </w:r>
      <w:r w:rsidRPr="00A02636">
        <w:rPr>
          <w:b/>
          <w:bCs/>
          <w:i/>
          <w:iCs/>
        </w:rPr>
        <w:fldChar w:fldCharType="separate"/>
      </w:r>
      <w:r w:rsidR="00C942F6">
        <w:rPr>
          <w:b/>
          <w:bCs/>
          <w:i/>
          <w:iCs/>
          <w:noProof/>
        </w:rPr>
        <w:t>2</w:t>
      </w:r>
      <w:r w:rsidRPr="00A02636">
        <w:rPr>
          <w:b/>
          <w:bCs/>
          <w:i/>
          <w:iCs/>
        </w:rPr>
        <w:fldChar w:fldCharType="end"/>
      </w:r>
      <w:r w:rsidR="00D008F6" w:rsidRPr="00A02636">
        <w:rPr>
          <w:b/>
          <w:bCs/>
          <w:i/>
          <w:iCs/>
        </w:rPr>
        <w:t>.</w:t>
      </w:r>
      <w:r w:rsidRPr="00A02636">
        <w:rPr>
          <w:i/>
          <w:iCs/>
        </w:rPr>
        <w:t xml:space="preserve"> </w:t>
      </w:r>
      <m:oMath>
        <m:sSub>
          <m:sSubPr>
            <m:ctrlPr>
              <w:rPr>
                <w:rFonts w:ascii="Cambria Math" w:hAnsi="Cambria Math" w:cs="Segoe UI"/>
                <w:i/>
                <w:szCs w:val="24"/>
              </w:rPr>
            </m:ctrlPr>
          </m:sSubPr>
          <m:e>
            <m:r>
              <w:rPr>
                <w:rFonts w:ascii="Cambria Math" w:hAnsi="Cambria Math" w:cs="Segoe UI"/>
                <w:szCs w:val="24"/>
              </w:rPr>
              <m:t>β</m:t>
            </m:r>
          </m:e>
          <m:sub>
            <m:r>
              <w:rPr>
                <w:rFonts w:ascii="Cambria Math" w:hAnsi="Cambria Math" w:cs="Segoe UI"/>
                <w:szCs w:val="24"/>
              </w:rPr>
              <m:t>HRS</m:t>
            </m:r>
          </m:sub>
        </m:sSub>
      </m:oMath>
      <w:r w:rsidRPr="00A02636">
        <w:rPr>
          <w:i/>
          <w:iCs/>
          <w:szCs w:val="24"/>
        </w:rPr>
        <w:t xml:space="preserve"> quantities of </w:t>
      </w:r>
      <m:oMath>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β</m:t>
            </m:r>
          </m:sub>
        </m:sSub>
      </m:oMath>
      <w:r w:rsidRPr="00A02636">
        <w:rPr>
          <w:i/>
          <w:iCs/>
          <w:szCs w:val="24"/>
        </w:rPr>
        <w:t xml:space="preserve"> cellulose bulk per unit cell computed with several exchange correlation</w:t>
      </w:r>
      <w:r w:rsidRPr="00A02636">
        <w:rPr>
          <w:i/>
          <w:iCs/>
        </w:rPr>
        <w:t xml:space="preserve"> functionals (in </w:t>
      </w:r>
      <m:oMath>
        <m:sSup>
          <m:sSupPr>
            <m:ctrlPr>
              <w:rPr>
                <w:rFonts w:ascii="Cambria Math" w:hAnsi="Cambria Math"/>
                <w:i/>
                <w:iCs/>
              </w:rPr>
            </m:ctrlPr>
          </m:sSupPr>
          <m:e>
            <m:r>
              <w:rPr>
                <w:rFonts w:ascii="Cambria Math" w:hAnsi="Cambria Math"/>
              </w:rPr>
              <m:t>10</m:t>
            </m:r>
          </m:e>
          <m:sup>
            <m:r>
              <w:rPr>
                <w:rFonts w:ascii="Cambria Math" w:hAnsi="Cambria Math"/>
              </w:rPr>
              <m:t>-30</m:t>
            </m:r>
          </m:sup>
        </m:sSup>
      </m:oMath>
      <w:r w:rsidRPr="00A02636">
        <w:rPr>
          <w:i/>
          <w:iCs/>
        </w:rPr>
        <w:t xml:space="preserve"> esu, B convention) considering the Nishiyama neutron diffraction geometry, except for LC-BLYP20-optimized where the structure has been optimized with </w:t>
      </w:r>
      <m:oMath>
        <m:r>
          <w:rPr>
            <w:rFonts w:ascii="Cambria Math" w:hAnsi="Cambria Math"/>
          </w:rPr>
          <m:t>ω</m:t>
        </m:r>
      </m:oMath>
      <w:r w:rsidRPr="00A02636">
        <w:rPr>
          <w:i/>
          <w:iCs/>
        </w:rPr>
        <w:t>B97X, and where the number next to LC-BLYP is the tuned maximum percentage of Hartree-Fock exchange at infinite distance.</w:t>
      </w:r>
      <w:r w:rsidR="00601138" w:rsidRPr="00A02636">
        <w:rPr>
          <w:i/>
          <w:iCs/>
        </w:rPr>
        <w:t xml:space="preserve"> All </w:t>
      </w:r>
      <m:oMath>
        <m:sSub>
          <m:sSubPr>
            <m:ctrlPr>
              <w:rPr>
                <w:rFonts w:ascii="Cambria Math" w:hAnsi="Cambria Math"/>
                <w:i/>
                <w:iCs/>
              </w:rPr>
            </m:ctrlPr>
          </m:sSubPr>
          <m:e>
            <m:r>
              <w:rPr>
                <w:rFonts w:ascii="Cambria Math" w:hAnsi="Cambria Math"/>
              </w:rPr>
              <m:t>β</m:t>
            </m:r>
            <m:ctrlPr>
              <w:rPr>
                <w:rFonts w:ascii="Cambria Math" w:hAnsi="Cambria Math"/>
                <w:iCs/>
              </w:rPr>
            </m:ctrlPr>
          </m:e>
          <m:sub>
            <m:r>
              <w:rPr>
                <w:rFonts w:ascii="Cambria Math" w:hAnsi="Cambria Math"/>
              </w:rPr>
              <m:t>ijk</m:t>
            </m:r>
          </m:sub>
        </m:sSub>
      </m:oMath>
      <w:r w:rsidR="00AC1965" w:rsidRPr="00A02636">
        <w:rPr>
          <w:i/>
          <w:iCs/>
        </w:rPr>
        <w:t xml:space="preserve"> </w:t>
      </w:r>
      <w:r w:rsidR="00D4183C" w:rsidRPr="00A02636">
        <w:rPr>
          <w:i/>
          <w:iCs/>
        </w:rPr>
        <w:t xml:space="preserve">components </w:t>
      </w:r>
      <w:r w:rsidR="00AC1965" w:rsidRPr="00A02636">
        <w:rPr>
          <w:i/>
          <w:iCs/>
        </w:rPr>
        <w:t xml:space="preserve">are provided in </w:t>
      </w:r>
      <w:r w:rsidR="00A02636" w:rsidRPr="00A02636">
        <w:rPr>
          <w:i/>
          <w:iCs/>
        </w:rPr>
        <w:t>ESI.1</w:t>
      </w:r>
      <w:r w:rsidR="001844FE">
        <w:rPr>
          <w:i/>
          <w:iCs/>
        </w:rPr>
        <w:t>3</w:t>
      </w:r>
      <w:r w:rsidR="00A02636" w:rsidRPr="00A02636">
        <w:rPr>
          <w:i/>
          <w:iCs/>
        </w:rPr>
        <w:t xml:space="preserve"> and Table S4.</w:t>
      </w:r>
    </w:p>
    <w:tbl>
      <w:tblPr>
        <w:tblW w:w="10939" w:type="dxa"/>
        <w:jc w:val="center"/>
        <w:tblCellMar>
          <w:left w:w="70" w:type="dxa"/>
          <w:right w:w="70" w:type="dxa"/>
        </w:tblCellMar>
        <w:tblLook w:val="04A0" w:firstRow="1" w:lastRow="0" w:firstColumn="1" w:lastColumn="0" w:noHBand="0" w:noVBand="1"/>
      </w:tblPr>
      <w:tblGrid>
        <w:gridCol w:w="1508"/>
        <w:gridCol w:w="1440"/>
        <w:gridCol w:w="1300"/>
        <w:gridCol w:w="1300"/>
        <w:gridCol w:w="1300"/>
        <w:gridCol w:w="1300"/>
        <w:gridCol w:w="1460"/>
        <w:gridCol w:w="1331"/>
      </w:tblGrid>
      <w:tr w:rsidR="004578EA" w:rsidRPr="00A02636" w14:paraId="3FA35872" w14:textId="77777777">
        <w:trPr>
          <w:trHeight w:val="320"/>
          <w:jc w:val="center"/>
        </w:trPr>
        <w:tc>
          <w:tcPr>
            <w:tcW w:w="1508" w:type="dxa"/>
            <w:tcBorders>
              <w:top w:val="single" w:sz="4" w:space="0" w:color="auto"/>
              <w:left w:val="nil"/>
              <w:bottom w:val="single" w:sz="4" w:space="0" w:color="auto"/>
              <w:right w:val="nil"/>
            </w:tcBorders>
            <w:shd w:val="clear" w:color="auto" w:fill="auto"/>
            <w:noWrap/>
            <w:vAlign w:val="center"/>
            <w:hideMark/>
          </w:tcPr>
          <w:p w14:paraId="333E3991" w14:textId="30D6C3E6" w:rsidR="004578EA" w:rsidRPr="00A02636" w:rsidRDefault="004578EA">
            <w:pPr>
              <w:jc w:val="center"/>
              <w:rPr>
                <w:rFonts w:ascii="Palatino Linotype" w:hAnsi="Palatino Linotype"/>
                <w:iCs/>
                <w:sz w:val="20"/>
              </w:rPr>
            </w:pPr>
          </w:p>
        </w:tc>
        <w:tc>
          <w:tcPr>
            <w:tcW w:w="1440" w:type="dxa"/>
            <w:tcBorders>
              <w:top w:val="single" w:sz="4" w:space="0" w:color="auto"/>
              <w:left w:val="single" w:sz="4" w:space="0" w:color="auto"/>
              <w:bottom w:val="single" w:sz="4" w:space="0" w:color="auto"/>
              <w:right w:val="nil"/>
            </w:tcBorders>
            <w:shd w:val="clear" w:color="auto" w:fill="auto"/>
            <w:noWrap/>
            <w:vAlign w:val="center"/>
            <w:hideMark/>
          </w:tcPr>
          <w:p w14:paraId="75333C8D"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LC-BLYP20-optimized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D500"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LC-BLYP20</w:t>
            </w:r>
          </w:p>
        </w:tc>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20462A82"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LC-BLYP30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77F9"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LC-BLYP40</w:t>
            </w:r>
          </w:p>
        </w:tc>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7DC4E85" w14:textId="22F5C0FD" w:rsidR="004578EA" w:rsidRPr="00A02636" w:rsidRDefault="00BA57E0">
            <w:pPr>
              <w:jc w:val="center"/>
              <w:rPr>
                <w:rFonts w:ascii="Palatino Linotype" w:hAnsi="Palatino Linotype"/>
                <w:iCs/>
                <w:sz w:val="20"/>
              </w:rPr>
            </w:pPr>
            <m:oMath>
              <m:r>
                <m:rPr>
                  <m:sty m:val="p"/>
                </m:rPr>
                <w:rPr>
                  <w:rFonts w:ascii="Cambria Math" w:hAnsi="Cambria Math"/>
                  <w:sz w:val="20"/>
                </w:rPr>
                <m:t>ω</m:t>
              </m:r>
            </m:oMath>
            <w:r w:rsidR="004578EA" w:rsidRPr="00A02636">
              <w:rPr>
                <w:rFonts w:ascii="Palatino Linotype" w:hAnsi="Palatino Linotype"/>
                <w:iCs/>
                <w:sz w:val="20"/>
              </w:rPr>
              <w:t>B97X</w:t>
            </w:r>
          </w:p>
        </w:tc>
        <w:tc>
          <w:tcPr>
            <w:tcW w:w="1460" w:type="dxa"/>
            <w:tcBorders>
              <w:top w:val="single" w:sz="4" w:space="0" w:color="auto"/>
              <w:left w:val="single" w:sz="4" w:space="0" w:color="auto"/>
              <w:bottom w:val="single" w:sz="4" w:space="0" w:color="auto"/>
              <w:right w:val="nil"/>
            </w:tcBorders>
            <w:shd w:val="clear" w:color="auto" w:fill="auto"/>
            <w:noWrap/>
            <w:vAlign w:val="center"/>
            <w:hideMark/>
          </w:tcPr>
          <w:p w14:paraId="19BD0D99"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CAM-B3LYP</w:t>
            </w:r>
          </w:p>
        </w:tc>
        <w:tc>
          <w:tcPr>
            <w:tcW w:w="1331" w:type="dxa"/>
            <w:tcBorders>
              <w:top w:val="single" w:sz="4" w:space="0" w:color="auto"/>
              <w:left w:val="single" w:sz="4" w:space="0" w:color="auto"/>
              <w:bottom w:val="single" w:sz="4" w:space="0" w:color="auto"/>
              <w:right w:val="nil"/>
            </w:tcBorders>
            <w:vAlign w:val="center"/>
          </w:tcPr>
          <w:p w14:paraId="04BF72CA" w14:textId="77777777" w:rsidR="004578EA" w:rsidRPr="00A02636" w:rsidRDefault="004578EA">
            <w:pPr>
              <w:jc w:val="center"/>
              <w:rPr>
                <w:rFonts w:ascii="Palatino Linotype" w:hAnsi="Palatino Linotype"/>
                <w:iCs/>
                <w:sz w:val="20"/>
              </w:rPr>
            </w:pPr>
            <w:r w:rsidRPr="00A02636">
              <w:rPr>
                <w:rFonts w:ascii="Palatino Linotype" w:hAnsi="Palatino Linotype"/>
                <w:iCs/>
                <w:sz w:val="20"/>
              </w:rPr>
              <w:t>Experimental</w:t>
            </w:r>
          </w:p>
        </w:tc>
      </w:tr>
      <w:tr w:rsidR="004578EA" w:rsidRPr="00A02636" w14:paraId="1E4119B4" w14:textId="77777777">
        <w:trPr>
          <w:trHeight w:val="320"/>
          <w:jc w:val="center"/>
        </w:trPr>
        <w:tc>
          <w:tcPr>
            <w:tcW w:w="1508" w:type="dxa"/>
            <w:tcBorders>
              <w:top w:val="single" w:sz="4" w:space="0" w:color="auto"/>
              <w:left w:val="nil"/>
              <w:bottom w:val="nil"/>
              <w:right w:val="nil"/>
            </w:tcBorders>
            <w:shd w:val="clear" w:color="auto" w:fill="auto"/>
            <w:noWrap/>
            <w:vAlign w:val="center"/>
            <w:hideMark/>
          </w:tcPr>
          <w:p w14:paraId="63926BF9" w14:textId="503DDEA6" w:rsidR="004578EA" w:rsidRPr="004865CD" w:rsidRDefault="00000000">
            <w:pPr>
              <w:rPr>
                <w:rFonts w:ascii="Palatino Linotype" w:hAnsi="Palatino Linotype"/>
                <w:iCs/>
                <w:sz w:val="20"/>
              </w:rPr>
            </w:pPr>
            <m:oMathPara>
              <m:oMath>
                <m:sSubSup>
                  <m:sSubSupPr>
                    <m:ctrlPr>
                      <w:rPr>
                        <w:rFonts w:ascii="Cambria Math" w:hAnsi="Cambria Math" w:cs="Segoe UI"/>
                        <w:iCs/>
                        <w:sz w:val="20"/>
                      </w:rPr>
                    </m:ctrlPr>
                  </m:sSubSupPr>
                  <m:e>
                    <m:r>
                      <m:rPr>
                        <m:sty m:val="p"/>
                      </m:rPr>
                      <w:rPr>
                        <w:rFonts w:ascii="Cambria Math" w:hAnsi="Cambria Math" w:cs="Segoe UI"/>
                        <w:sz w:val="20"/>
                      </w:rPr>
                      <m:t>β</m:t>
                    </m:r>
                  </m:e>
                  <m:sub>
                    <m:r>
                      <m:rPr>
                        <m:sty m:val="p"/>
                      </m:rPr>
                      <w:rPr>
                        <w:rFonts w:ascii="Cambria Math" w:hAnsi="Cambria Math" w:cs="Segoe UI"/>
                        <w:sz w:val="20"/>
                      </w:rPr>
                      <m:t>ZZZ</m:t>
                    </m:r>
                  </m:sub>
                  <m:sup>
                    <m:r>
                      <m:rPr>
                        <m:sty m:val="p"/>
                      </m:rPr>
                      <w:rPr>
                        <w:rFonts w:ascii="Cambria Math" w:hAnsi="Cambria Math" w:cs="Segoe UI"/>
                        <w:sz w:val="20"/>
                      </w:rPr>
                      <m:t>2</m:t>
                    </m:r>
                  </m:sup>
                </m:sSubSup>
              </m:oMath>
            </m:oMathPara>
          </w:p>
        </w:tc>
        <w:tc>
          <w:tcPr>
            <w:tcW w:w="1440" w:type="dxa"/>
            <w:tcBorders>
              <w:top w:val="single" w:sz="4" w:space="0" w:color="auto"/>
              <w:left w:val="single" w:sz="4" w:space="0" w:color="auto"/>
              <w:bottom w:val="nil"/>
              <w:right w:val="nil"/>
            </w:tcBorders>
            <w:shd w:val="clear" w:color="auto" w:fill="auto"/>
            <w:noWrap/>
            <w:vAlign w:val="bottom"/>
            <w:hideMark/>
          </w:tcPr>
          <w:p w14:paraId="03451DFB" w14:textId="77777777" w:rsidR="004578EA" w:rsidRPr="00A02636" w:rsidRDefault="004578EA">
            <w:pPr>
              <w:jc w:val="center"/>
              <w:rPr>
                <w:rFonts w:ascii="Palatino Linotype" w:hAnsi="Palatino Linotype"/>
                <w:sz w:val="20"/>
              </w:rPr>
            </w:pPr>
            <w:r w:rsidRPr="00A02636">
              <w:rPr>
                <w:rFonts w:ascii="Palatino Linotype" w:hAnsi="Palatino Linotype"/>
                <w:sz w:val="20"/>
              </w:rPr>
              <w:t>0.459</w:t>
            </w:r>
          </w:p>
        </w:tc>
        <w:tc>
          <w:tcPr>
            <w:tcW w:w="1300" w:type="dxa"/>
            <w:tcBorders>
              <w:top w:val="single" w:sz="4" w:space="0" w:color="auto"/>
              <w:left w:val="single" w:sz="4" w:space="0" w:color="auto"/>
              <w:bottom w:val="nil"/>
              <w:right w:val="nil"/>
            </w:tcBorders>
            <w:shd w:val="clear" w:color="auto" w:fill="auto"/>
            <w:noWrap/>
            <w:vAlign w:val="bottom"/>
            <w:hideMark/>
          </w:tcPr>
          <w:p w14:paraId="0D9BD697" w14:textId="77777777" w:rsidR="004578EA" w:rsidRPr="00A02636" w:rsidRDefault="004578EA">
            <w:pPr>
              <w:jc w:val="center"/>
              <w:rPr>
                <w:rFonts w:ascii="Palatino Linotype" w:hAnsi="Palatino Linotype"/>
                <w:sz w:val="20"/>
              </w:rPr>
            </w:pPr>
            <w:r w:rsidRPr="00A02636">
              <w:rPr>
                <w:rFonts w:ascii="Palatino Linotype" w:hAnsi="Palatino Linotype"/>
                <w:sz w:val="20"/>
              </w:rPr>
              <w:t>0.391</w:t>
            </w:r>
          </w:p>
        </w:tc>
        <w:tc>
          <w:tcPr>
            <w:tcW w:w="1300" w:type="dxa"/>
            <w:tcBorders>
              <w:top w:val="single" w:sz="4" w:space="0" w:color="auto"/>
              <w:left w:val="single" w:sz="4" w:space="0" w:color="auto"/>
              <w:bottom w:val="nil"/>
              <w:right w:val="nil"/>
            </w:tcBorders>
            <w:shd w:val="clear" w:color="auto" w:fill="auto"/>
            <w:noWrap/>
            <w:vAlign w:val="bottom"/>
            <w:hideMark/>
          </w:tcPr>
          <w:p w14:paraId="2E841F5F" w14:textId="77777777" w:rsidR="004578EA" w:rsidRPr="00A02636" w:rsidRDefault="004578EA">
            <w:pPr>
              <w:jc w:val="center"/>
              <w:rPr>
                <w:rFonts w:ascii="Palatino Linotype" w:hAnsi="Palatino Linotype"/>
                <w:sz w:val="20"/>
              </w:rPr>
            </w:pPr>
            <w:r w:rsidRPr="00A02636">
              <w:rPr>
                <w:rFonts w:ascii="Palatino Linotype" w:hAnsi="Palatino Linotype"/>
                <w:sz w:val="20"/>
              </w:rPr>
              <w:t>0.277</w:t>
            </w:r>
          </w:p>
        </w:tc>
        <w:tc>
          <w:tcPr>
            <w:tcW w:w="1300" w:type="dxa"/>
            <w:tcBorders>
              <w:top w:val="single" w:sz="4" w:space="0" w:color="auto"/>
              <w:left w:val="single" w:sz="4" w:space="0" w:color="auto"/>
              <w:bottom w:val="nil"/>
              <w:right w:val="nil"/>
            </w:tcBorders>
            <w:shd w:val="clear" w:color="auto" w:fill="auto"/>
            <w:noWrap/>
            <w:vAlign w:val="bottom"/>
            <w:hideMark/>
          </w:tcPr>
          <w:p w14:paraId="1DB4590E" w14:textId="77777777" w:rsidR="004578EA" w:rsidRPr="00A02636" w:rsidRDefault="004578EA">
            <w:pPr>
              <w:jc w:val="center"/>
              <w:rPr>
                <w:rFonts w:ascii="Palatino Linotype" w:hAnsi="Palatino Linotype"/>
                <w:sz w:val="20"/>
              </w:rPr>
            </w:pPr>
            <w:r w:rsidRPr="00A02636">
              <w:rPr>
                <w:rFonts w:ascii="Palatino Linotype" w:hAnsi="Palatino Linotype"/>
                <w:sz w:val="20"/>
              </w:rPr>
              <w:t>0.206</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14:paraId="2AC923E3" w14:textId="77777777" w:rsidR="004578EA" w:rsidRPr="00A02636" w:rsidRDefault="004578EA">
            <w:pPr>
              <w:jc w:val="center"/>
              <w:rPr>
                <w:rFonts w:ascii="Palatino Linotype" w:hAnsi="Palatino Linotype"/>
                <w:sz w:val="20"/>
              </w:rPr>
            </w:pPr>
            <w:r w:rsidRPr="00A02636">
              <w:rPr>
                <w:rFonts w:ascii="Palatino Linotype" w:hAnsi="Palatino Linotype"/>
                <w:sz w:val="20"/>
              </w:rPr>
              <w:t>0.097</w:t>
            </w:r>
          </w:p>
        </w:tc>
        <w:tc>
          <w:tcPr>
            <w:tcW w:w="1460" w:type="dxa"/>
            <w:tcBorders>
              <w:top w:val="single" w:sz="4" w:space="0" w:color="auto"/>
              <w:left w:val="single" w:sz="4" w:space="0" w:color="auto"/>
              <w:bottom w:val="nil"/>
              <w:right w:val="nil"/>
            </w:tcBorders>
            <w:shd w:val="clear" w:color="auto" w:fill="auto"/>
            <w:noWrap/>
            <w:vAlign w:val="bottom"/>
            <w:hideMark/>
          </w:tcPr>
          <w:p w14:paraId="01727EFB" w14:textId="77777777" w:rsidR="004578EA" w:rsidRPr="00A02636" w:rsidRDefault="004578EA">
            <w:pPr>
              <w:jc w:val="center"/>
              <w:rPr>
                <w:rFonts w:ascii="Palatino Linotype" w:hAnsi="Palatino Linotype"/>
                <w:sz w:val="20"/>
              </w:rPr>
            </w:pPr>
            <w:r w:rsidRPr="00A02636">
              <w:rPr>
                <w:rFonts w:ascii="Palatino Linotype" w:hAnsi="Palatino Linotype"/>
                <w:sz w:val="20"/>
              </w:rPr>
              <w:t>0.114</w:t>
            </w:r>
          </w:p>
        </w:tc>
        <w:tc>
          <w:tcPr>
            <w:tcW w:w="1331" w:type="dxa"/>
            <w:tcBorders>
              <w:top w:val="single" w:sz="4" w:space="0" w:color="auto"/>
              <w:left w:val="single" w:sz="4" w:space="0" w:color="auto"/>
              <w:bottom w:val="nil"/>
              <w:right w:val="nil"/>
            </w:tcBorders>
            <w:vAlign w:val="center"/>
          </w:tcPr>
          <w:p w14:paraId="207E098D" w14:textId="77777777" w:rsidR="004578EA" w:rsidRPr="00A02636" w:rsidRDefault="004578EA">
            <w:pPr>
              <w:jc w:val="center"/>
              <w:rPr>
                <w:rFonts w:ascii="Palatino Linotype" w:hAnsi="Palatino Linotype"/>
                <w:sz w:val="20"/>
              </w:rPr>
            </w:pPr>
          </w:p>
        </w:tc>
      </w:tr>
      <w:tr w:rsidR="004578EA" w:rsidRPr="00A02636" w14:paraId="36FA2A7E" w14:textId="77777777">
        <w:trPr>
          <w:trHeight w:val="320"/>
          <w:jc w:val="center"/>
        </w:trPr>
        <w:tc>
          <w:tcPr>
            <w:tcW w:w="1508" w:type="dxa"/>
            <w:tcBorders>
              <w:top w:val="nil"/>
              <w:left w:val="nil"/>
              <w:bottom w:val="nil"/>
              <w:right w:val="single" w:sz="4" w:space="0" w:color="auto"/>
            </w:tcBorders>
            <w:shd w:val="clear" w:color="auto" w:fill="auto"/>
            <w:noWrap/>
            <w:vAlign w:val="center"/>
            <w:hideMark/>
          </w:tcPr>
          <w:p w14:paraId="4283C533" w14:textId="72E82FDA" w:rsidR="004578EA" w:rsidRPr="004865CD" w:rsidRDefault="00000000">
            <w:pPr>
              <w:rPr>
                <w:rFonts w:ascii="Palatino Linotype" w:hAnsi="Palatino Linotype"/>
                <w:iCs/>
                <w:sz w:val="20"/>
              </w:rPr>
            </w:pPr>
            <m:oMathPara>
              <m:oMath>
                <m:sSubSup>
                  <m:sSubSupPr>
                    <m:ctrlPr>
                      <w:rPr>
                        <w:rFonts w:ascii="Cambria Math" w:hAnsi="Cambria Math" w:cs="Segoe UI"/>
                        <w:iCs/>
                        <w:sz w:val="20"/>
                      </w:rPr>
                    </m:ctrlPr>
                  </m:sSubSupPr>
                  <m:e>
                    <m:r>
                      <m:rPr>
                        <m:sty m:val="p"/>
                      </m:rPr>
                      <w:rPr>
                        <w:rFonts w:ascii="Cambria Math" w:hAnsi="Cambria Math" w:cs="Segoe UI"/>
                        <w:sz w:val="20"/>
                      </w:rPr>
                      <m:t>β</m:t>
                    </m:r>
                  </m:e>
                  <m:sub>
                    <m:r>
                      <m:rPr>
                        <m:sty m:val="p"/>
                      </m:rPr>
                      <w:rPr>
                        <w:rFonts w:ascii="Cambria Math" w:hAnsi="Cambria Math" w:cs="Segoe UI"/>
                        <w:sz w:val="20"/>
                      </w:rPr>
                      <m:t>XZZ</m:t>
                    </m:r>
                  </m:sub>
                  <m:sup>
                    <m:r>
                      <m:rPr>
                        <m:sty m:val="p"/>
                      </m:rPr>
                      <w:rPr>
                        <w:rFonts w:ascii="Cambria Math" w:hAnsi="Cambria Math" w:cs="Segoe UI"/>
                        <w:sz w:val="20"/>
                      </w:rPr>
                      <m:t>2</m:t>
                    </m:r>
                  </m:sup>
                </m:sSubSup>
              </m:oMath>
            </m:oMathPara>
          </w:p>
        </w:tc>
        <w:tc>
          <w:tcPr>
            <w:tcW w:w="1440" w:type="dxa"/>
            <w:tcBorders>
              <w:top w:val="nil"/>
              <w:left w:val="single" w:sz="4" w:space="0" w:color="auto"/>
              <w:bottom w:val="nil"/>
              <w:right w:val="single" w:sz="4" w:space="0" w:color="auto"/>
            </w:tcBorders>
            <w:shd w:val="clear" w:color="auto" w:fill="auto"/>
            <w:noWrap/>
            <w:vAlign w:val="bottom"/>
            <w:hideMark/>
          </w:tcPr>
          <w:p w14:paraId="54311D90" w14:textId="77777777" w:rsidR="004578EA" w:rsidRPr="00A02636" w:rsidRDefault="004578EA">
            <w:pPr>
              <w:jc w:val="center"/>
              <w:rPr>
                <w:rFonts w:ascii="Palatino Linotype" w:hAnsi="Palatino Linotype"/>
                <w:sz w:val="20"/>
              </w:rPr>
            </w:pPr>
            <w:r w:rsidRPr="00A02636">
              <w:rPr>
                <w:rFonts w:ascii="Palatino Linotype" w:hAnsi="Palatino Linotype"/>
                <w:sz w:val="20"/>
              </w:rPr>
              <w:t>0.240</w:t>
            </w:r>
          </w:p>
        </w:tc>
        <w:tc>
          <w:tcPr>
            <w:tcW w:w="1300" w:type="dxa"/>
            <w:tcBorders>
              <w:top w:val="nil"/>
              <w:left w:val="nil"/>
              <w:bottom w:val="nil"/>
              <w:right w:val="single" w:sz="4" w:space="0" w:color="auto"/>
            </w:tcBorders>
            <w:shd w:val="clear" w:color="auto" w:fill="auto"/>
            <w:noWrap/>
            <w:vAlign w:val="bottom"/>
            <w:hideMark/>
          </w:tcPr>
          <w:p w14:paraId="7B481259" w14:textId="77777777" w:rsidR="004578EA" w:rsidRPr="00A02636" w:rsidRDefault="004578EA">
            <w:pPr>
              <w:jc w:val="center"/>
              <w:rPr>
                <w:rFonts w:ascii="Palatino Linotype" w:hAnsi="Palatino Linotype"/>
                <w:sz w:val="20"/>
              </w:rPr>
            </w:pPr>
            <w:r w:rsidRPr="00A02636">
              <w:rPr>
                <w:rFonts w:ascii="Palatino Linotype" w:hAnsi="Palatino Linotype"/>
                <w:sz w:val="20"/>
              </w:rPr>
              <w:t>0.211</w:t>
            </w:r>
          </w:p>
        </w:tc>
        <w:tc>
          <w:tcPr>
            <w:tcW w:w="1300" w:type="dxa"/>
            <w:tcBorders>
              <w:top w:val="nil"/>
              <w:left w:val="nil"/>
              <w:bottom w:val="nil"/>
              <w:right w:val="single" w:sz="4" w:space="0" w:color="auto"/>
            </w:tcBorders>
            <w:shd w:val="clear" w:color="auto" w:fill="auto"/>
            <w:noWrap/>
            <w:vAlign w:val="bottom"/>
            <w:hideMark/>
          </w:tcPr>
          <w:p w14:paraId="16F4D5E6" w14:textId="77777777" w:rsidR="004578EA" w:rsidRPr="00A02636" w:rsidRDefault="004578EA">
            <w:pPr>
              <w:jc w:val="center"/>
              <w:rPr>
                <w:rFonts w:ascii="Palatino Linotype" w:hAnsi="Palatino Linotype"/>
                <w:sz w:val="20"/>
              </w:rPr>
            </w:pPr>
            <w:r w:rsidRPr="00A02636">
              <w:rPr>
                <w:rFonts w:ascii="Palatino Linotype" w:hAnsi="Palatino Linotype"/>
                <w:sz w:val="20"/>
              </w:rPr>
              <w:t>0.153</w:t>
            </w:r>
          </w:p>
        </w:tc>
        <w:tc>
          <w:tcPr>
            <w:tcW w:w="1300" w:type="dxa"/>
            <w:tcBorders>
              <w:top w:val="nil"/>
              <w:left w:val="nil"/>
              <w:bottom w:val="nil"/>
              <w:right w:val="single" w:sz="4" w:space="0" w:color="auto"/>
            </w:tcBorders>
            <w:shd w:val="clear" w:color="auto" w:fill="auto"/>
            <w:noWrap/>
            <w:vAlign w:val="bottom"/>
            <w:hideMark/>
          </w:tcPr>
          <w:p w14:paraId="49BE8BE1" w14:textId="77777777" w:rsidR="004578EA" w:rsidRPr="00A02636" w:rsidRDefault="004578EA">
            <w:pPr>
              <w:jc w:val="center"/>
              <w:rPr>
                <w:rFonts w:ascii="Palatino Linotype" w:hAnsi="Palatino Linotype"/>
                <w:sz w:val="20"/>
              </w:rPr>
            </w:pPr>
            <w:r w:rsidRPr="00A02636">
              <w:rPr>
                <w:rFonts w:ascii="Palatino Linotype" w:hAnsi="Palatino Linotype"/>
                <w:sz w:val="20"/>
              </w:rPr>
              <w:t>0.117</w:t>
            </w:r>
          </w:p>
        </w:tc>
        <w:tc>
          <w:tcPr>
            <w:tcW w:w="1300" w:type="dxa"/>
            <w:tcBorders>
              <w:top w:val="nil"/>
              <w:left w:val="nil"/>
              <w:bottom w:val="nil"/>
              <w:right w:val="single" w:sz="4" w:space="0" w:color="auto"/>
            </w:tcBorders>
            <w:shd w:val="clear" w:color="auto" w:fill="auto"/>
            <w:noWrap/>
            <w:vAlign w:val="bottom"/>
            <w:hideMark/>
          </w:tcPr>
          <w:p w14:paraId="2E0920D7" w14:textId="77777777" w:rsidR="004578EA" w:rsidRPr="00A02636" w:rsidRDefault="004578EA">
            <w:pPr>
              <w:jc w:val="center"/>
              <w:rPr>
                <w:rFonts w:ascii="Palatino Linotype" w:hAnsi="Palatino Linotype"/>
                <w:sz w:val="20"/>
              </w:rPr>
            </w:pPr>
            <w:r w:rsidRPr="00A02636">
              <w:rPr>
                <w:rFonts w:ascii="Palatino Linotype" w:hAnsi="Palatino Linotype"/>
                <w:sz w:val="20"/>
              </w:rPr>
              <w:t>0.061</w:t>
            </w:r>
          </w:p>
        </w:tc>
        <w:tc>
          <w:tcPr>
            <w:tcW w:w="1460" w:type="dxa"/>
            <w:tcBorders>
              <w:top w:val="nil"/>
              <w:left w:val="nil"/>
              <w:bottom w:val="nil"/>
              <w:right w:val="single" w:sz="4" w:space="0" w:color="auto"/>
            </w:tcBorders>
            <w:shd w:val="clear" w:color="auto" w:fill="auto"/>
            <w:noWrap/>
            <w:vAlign w:val="bottom"/>
            <w:hideMark/>
          </w:tcPr>
          <w:p w14:paraId="2F3D9360" w14:textId="77777777" w:rsidR="004578EA" w:rsidRPr="00A02636" w:rsidRDefault="004578EA">
            <w:pPr>
              <w:jc w:val="center"/>
              <w:rPr>
                <w:rFonts w:ascii="Palatino Linotype" w:hAnsi="Palatino Linotype"/>
                <w:sz w:val="20"/>
              </w:rPr>
            </w:pPr>
            <w:r w:rsidRPr="00A02636">
              <w:rPr>
                <w:rFonts w:ascii="Palatino Linotype" w:hAnsi="Palatino Linotype"/>
                <w:sz w:val="20"/>
              </w:rPr>
              <w:t>0.066</w:t>
            </w:r>
          </w:p>
        </w:tc>
        <w:tc>
          <w:tcPr>
            <w:tcW w:w="1331" w:type="dxa"/>
            <w:tcBorders>
              <w:top w:val="nil"/>
              <w:left w:val="single" w:sz="4" w:space="0" w:color="auto"/>
              <w:bottom w:val="nil"/>
              <w:right w:val="nil"/>
            </w:tcBorders>
            <w:vAlign w:val="center"/>
          </w:tcPr>
          <w:p w14:paraId="684B9759" w14:textId="77777777" w:rsidR="004578EA" w:rsidRPr="00A02636" w:rsidRDefault="004578EA">
            <w:pPr>
              <w:jc w:val="center"/>
              <w:rPr>
                <w:rFonts w:ascii="Palatino Linotype" w:hAnsi="Palatino Linotype"/>
                <w:sz w:val="20"/>
              </w:rPr>
            </w:pPr>
          </w:p>
        </w:tc>
      </w:tr>
      <w:tr w:rsidR="004578EA" w:rsidRPr="00A02636" w14:paraId="319FC7E2" w14:textId="77777777">
        <w:trPr>
          <w:trHeight w:val="320"/>
          <w:jc w:val="center"/>
        </w:trPr>
        <w:tc>
          <w:tcPr>
            <w:tcW w:w="1508" w:type="dxa"/>
            <w:tcBorders>
              <w:top w:val="nil"/>
              <w:left w:val="nil"/>
              <w:bottom w:val="nil"/>
              <w:right w:val="single" w:sz="4" w:space="0" w:color="auto"/>
            </w:tcBorders>
            <w:shd w:val="clear" w:color="auto" w:fill="auto"/>
            <w:noWrap/>
            <w:vAlign w:val="center"/>
            <w:hideMark/>
          </w:tcPr>
          <w:p w14:paraId="363CF299" w14:textId="28C1F5DB" w:rsidR="004578EA" w:rsidRPr="004865CD" w:rsidRDefault="00000000">
            <w:pPr>
              <w:rPr>
                <w:rFonts w:ascii="Palatino Linotype" w:hAnsi="Palatino Linotype"/>
                <w:iCs/>
                <w:sz w:val="20"/>
              </w:rPr>
            </w:pPr>
            <m:oMathPara>
              <m:oMath>
                <m:sSubSup>
                  <m:sSubSupPr>
                    <m:ctrlPr>
                      <w:rPr>
                        <w:rFonts w:ascii="Cambria Math" w:hAnsi="Cambria Math" w:cs="Segoe UI"/>
                        <w:iCs/>
                        <w:sz w:val="20"/>
                      </w:rPr>
                    </m:ctrlPr>
                  </m:sSubSupPr>
                  <m:e>
                    <m:r>
                      <m:rPr>
                        <m:sty m:val="p"/>
                      </m:rPr>
                      <w:rPr>
                        <w:rFonts w:ascii="Cambria Math" w:hAnsi="Cambria Math" w:cs="Segoe UI"/>
                        <w:sz w:val="20"/>
                      </w:rPr>
                      <m:t>β</m:t>
                    </m:r>
                  </m:e>
                  <m:sub>
                    <m:r>
                      <m:rPr>
                        <m:sty m:val="p"/>
                      </m:rPr>
                      <w:rPr>
                        <w:rFonts w:ascii="Cambria Math" w:hAnsi="Cambria Math" w:cs="Segoe UI"/>
                        <w:sz w:val="20"/>
                      </w:rPr>
                      <m:t>HRS</m:t>
                    </m:r>
                  </m:sub>
                  <m:sup>
                    <m:r>
                      <m:rPr>
                        <m:sty m:val="p"/>
                      </m:rPr>
                      <w:rPr>
                        <w:rFonts w:ascii="Cambria Math" w:hAnsi="Cambria Math" w:cs="Segoe UI"/>
                        <w:sz w:val="20"/>
                      </w:rPr>
                      <m:t>2</m:t>
                    </m:r>
                  </m:sup>
                </m:sSubSup>
              </m:oMath>
            </m:oMathPara>
          </w:p>
        </w:tc>
        <w:tc>
          <w:tcPr>
            <w:tcW w:w="1440" w:type="dxa"/>
            <w:tcBorders>
              <w:top w:val="nil"/>
              <w:left w:val="single" w:sz="4" w:space="0" w:color="auto"/>
              <w:bottom w:val="nil"/>
              <w:right w:val="single" w:sz="4" w:space="0" w:color="auto"/>
            </w:tcBorders>
            <w:shd w:val="clear" w:color="auto" w:fill="auto"/>
            <w:noWrap/>
            <w:vAlign w:val="bottom"/>
            <w:hideMark/>
          </w:tcPr>
          <w:p w14:paraId="5B33B4B7" w14:textId="77777777" w:rsidR="004578EA" w:rsidRPr="00A02636" w:rsidRDefault="004578EA">
            <w:pPr>
              <w:jc w:val="center"/>
              <w:rPr>
                <w:rFonts w:ascii="Palatino Linotype" w:hAnsi="Palatino Linotype"/>
                <w:sz w:val="20"/>
              </w:rPr>
            </w:pPr>
            <w:r w:rsidRPr="00A02636">
              <w:rPr>
                <w:rFonts w:ascii="Palatino Linotype" w:hAnsi="Palatino Linotype"/>
                <w:sz w:val="20"/>
              </w:rPr>
              <w:t>0.699</w:t>
            </w:r>
          </w:p>
        </w:tc>
        <w:tc>
          <w:tcPr>
            <w:tcW w:w="1300" w:type="dxa"/>
            <w:tcBorders>
              <w:top w:val="nil"/>
              <w:left w:val="nil"/>
              <w:bottom w:val="nil"/>
              <w:right w:val="single" w:sz="4" w:space="0" w:color="auto"/>
            </w:tcBorders>
            <w:shd w:val="clear" w:color="auto" w:fill="auto"/>
            <w:noWrap/>
            <w:vAlign w:val="bottom"/>
            <w:hideMark/>
          </w:tcPr>
          <w:p w14:paraId="69A8C837" w14:textId="77777777" w:rsidR="004578EA" w:rsidRPr="00A02636" w:rsidRDefault="004578EA">
            <w:pPr>
              <w:jc w:val="center"/>
              <w:rPr>
                <w:rFonts w:ascii="Palatino Linotype" w:hAnsi="Palatino Linotype"/>
                <w:sz w:val="20"/>
              </w:rPr>
            </w:pPr>
            <w:r w:rsidRPr="00A02636">
              <w:rPr>
                <w:rFonts w:ascii="Palatino Linotype" w:hAnsi="Palatino Linotype"/>
                <w:sz w:val="20"/>
              </w:rPr>
              <w:t>0.603</w:t>
            </w:r>
          </w:p>
        </w:tc>
        <w:tc>
          <w:tcPr>
            <w:tcW w:w="1300" w:type="dxa"/>
            <w:tcBorders>
              <w:top w:val="nil"/>
              <w:left w:val="nil"/>
              <w:bottom w:val="nil"/>
              <w:right w:val="single" w:sz="4" w:space="0" w:color="auto"/>
            </w:tcBorders>
            <w:shd w:val="clear" w:color="auto" w:fill="auto"/>
            <w:noWrap/>
            <w:vAlign w:val="bottom"/>
            <w:hideMark/>
          </w:tcPr>
          <w:p w14:paraId="0B15C9DD" w14:textId="77777777" w:rsidR="004578EA" w:rsidRPr="00A02636" w:rsidRDefault="004578EA">
            <w:pPr>
              <w:jc w:val="center"/>
              <w:rPr>
                <w:rFonts w:ascii="Palatino Linotype" w:hAnsi="Palatino Linotype"/>
                <w:sz w:val="20"/>
              </w:rPr>
            </w:pPr>
            <w:r w:rsidRPr="00A02636">
              <w:rPr>
                <w:rFonts w:ascii="Palatino Linotype" w:hAnsi="Palatino Linotype"/>
                <w:sz w:val="20"/>
              </w:rPr>
              <w:t>0.429</w:t>
            </w:r>
          </w:p>
        </w:tc>
        <w:tc>
          <w:tcPr>
            <w:tcW w:w="1300" w:type="dxa"/>
            <w:tcBorders>
              <w:top w:val="nil"/>
              <w:left w:val="nil"/>
              <w:bottom w:val="nil"/>
              <w:right w:val="single" w:sz="4" w:space="0" w:color="auto"/>
            </w:tcBorders>
            <w:shd w:val="clear" w:color="auto" w:fill="auto"/>
            <w:noWrap/>
            <w:vAlign w:val="bottom"/>
            <w:hideMark/>
          </w:tcPr>
          <w:p w14:paraId="5DEDDBA1" w14:textId="77777777" w:rsidR="004578EA" w:rsidRPr="00A02636" w:rsidRDefault="004578EA">
            <w:pPr>
              <w:jc w:val="center"/>
              <w:rPr>
                <w:rFonts w:ascii="Palatino Linotype" w:hAnsi="Palatino Linotype"/>
                <w:sz w:val="20"/>
              </w:rPr>
            </w:pPr>
            <w:r w:rsidRPr="00A02636">
              <w:rPr>
                <w:rFonts w:ascii="Palatino Linotype" w:hAnsi="Palatino Linotype"/>
                <w:sz w:val="20"/>
              </w:rPr>
              <w:t>0.322</w:t>
            </w:r>
          </w:p>
        </w:tc>
        <w:tc>
          <w:tcPr>
            <w:tcW w:w="1300" w:type="dxa"/>
            <w:tcBorders>
              <w:top w:val="nil"/>
              <w:left w:val="nil"/>
              <w:bottom w:val="nil"/>
              <w:right w:val="single" w:sz="4" w:space="0" w:color="auto"/>
            </w:tcBorders>
            <w:shd w:val="clear" w:color="auto" w:fill="auto"/>
            <w:noWrap/>
            <w:vAlign w:val="bottom"/>
            <w:hideMark/>
          </w:tcPr>
          <w:p w14:paraId="090FA01C" w14:textId="77777777" w:rsidR="004578EA" w:rsidRPr="00A02636" w:rsidRDefault="004578EA">
            <w:pPr>
              <w:jc w:val="center"/>
              <w:rPr>
                <w:rFonts w:ascii="Palatino Linotype" w:hAnsi="Palatino Linotype"/>
                <w:sz w:val="20"/>
              </w:rPr>
            </w:pPr>
            <w:r w:rsidRPr="00A02636">
              <w:rPr>
                <w:rFonts w:ascii="Palatino Linotype" w:hAnsi="Palatino Linotype"/>
                <w:sz w:val="20"/>
              </w:rPr>
              <w:t>0.159</w:t>
            </w:r>
          </w:p>
        </w:tc>
        <w:tc>
          <w:tcPr>
            <w:tcW w:w="1460" w:type="dxa"/>
            <w:tcBorders>
              <w:top w:val="nil"/>
              <w:left w:val="nil"/>
              <w:bottom w:val="nil"/>
              <w:right w:val="single" w:sz="4" w:space="0" w:color="auto"/>
            </w:tcBorders>
            <w:shd w:val="clear" w:color="auto" w:fill="auto"/>
            <w:noWrap/>
            <w:vAlign w:val="bottom"/>
            <w:hideMark/>
          </w:tcPr>
          <w:p w14:paraId="377E05E0" w14:textId="77777777" w:rsidR="004578EA" w:rsidRPr="00A02636" w:rsidRDefault="004578EA">
            <w:pPr>
              <w:jc w:val="center"/>
              <w:rPr>
                <w:rFonts w:ascii="Palatino Linotype" w:hAnsi="Palatino Linotype"/>
                <w:sz w:val="20"/>
              </w:rPr>
            </w:pPr>
            <w:r w:rsidRPr="00A02636">
              <w:rPr>
                <w:rFonts w:ascii="Palatino Linotype" w:hAnsi="Palatino Linotype"/>
                <w:sz w:val="20"/>
              </w:rPr>
              <w:t>0.180</w:t>
            </w:r>
          </w:p>
        </w:tc>
        <w:tc>
          <w:tcPr>
            <w:tcW w:w="1331" w:type="dxa"/>
            <w:tcBorders>
              <w:top w:val="nil"/>
              <w:left w:val="single" w:sz="4" w:space="0" w:color="auto"/>
              <w:bottom w:val="nil"/>
              <w:right w:val="nil"/>
            </w:tcBorders>
            <w:vAlign w:val="center"/>
          </w:tcPr>
          <w:p w14:paraId="78B42296" w14:textId="77777777" w:rsidR="004578EA" w:rsidRPr="00A02636" w:rsidRDefault="004578EA">
            <w:pPr>
              <w:jc w:val="center"/>
              <w:rPr>
                <w:rFonts w:ascii="Palatino Linotype" w:hAnsi="Palatino Linotype"/>
                <w:sz w:val="20"/>
              </w:rPr>
            </w:pPr>
          </w:p>
        </w:tc>
      </w:tr>
      <w:tr w:rsidR="004578EA" w:rsidRPr="00A02636" w14:paraId="26C76160" w14:textId="77777777">
        <w:trPr>
          <w:trHeight w:val="320"/>
          <w:jc w:val="center"/>
        </w:trPr>
        <w:tc>
          <w:tcPr>
            <w:tcW w:w="1508" w:type="dxa"/>
            <w:tcBorders>
              <w:top w:val="nil"/>
              <w:left w:val="nil"/>
              <w:bottom w:val="nil"/>
              <w:right w:val="nil"/>
            </w:tcBorders>
            <w:shd w:val="clear" w:color="auto" w:fill="auto"/>
            <w:noWrap/>
            <w:vAlign w:val="center"/>
            <w:hideMark/>
          </w:tcPr>
          <w:p w14:paraId="59C3F873" w14:textId="3C7BDD05" w:rsidR="004578EA" w:rsidRPr="004865CD" w:rsidRDefault="00000000">
            <w:pPr>
              <w:rPr>
                <w:rFonts w:ascii="Palatino Linotype" w:hAnsi="Palatino Linotype"/>
                <w:iCs/>
                <w:sz w:val="20"/>
              </w:rPr>
            </w:pPr>
            <m:oMathPara>
              <m:oMath>
                <m:sSub>
                  <m:sSubPr>
                    <m:ctrlPr>
                      <w:rPr>
                        <w:rFonts w:ascii="Cambria Math" w:hAnsi="Cambria Math" w:cs="Segoe UI"/>
                        <w:iCs/>
                        <w:sz w:val="20"/>
                      </w:rPr>
                    </m:ctrlPr>
                  </m:sSubPr>
                  <m:e>
                    <m:r>
                      <m:rPr>
                        <m:sty m:val="p"/>
                      </m:rPr>
                      <w:rPr>
                        <w:rFonts w:ascii="Cambria Math" w:hAnsi="Cambria Math" w:cs="Segoe UI"/>
                        <w:sz w:val="20"/>
                      </w:rPr>
                      <m:t>β</m:t>
                    </m:r>
                  </m:e>
                  <m:sub>
                    <m:r>
                      <m:rPr>
                        <m:sty m:val="p"/>
                      </m:rPr>
                      <w:rPr>
                        <w:rFonts w:ascii="Cambria Math" w:hAnsi="Cambria Math" w:cs="Segoe UI"/>
                        <w:sz w:val="20"/>
                      </w:rPr>
                      <m:t>HRS</m:t>
                    </m:r>
                  </m:sub>
                </m:sSub>
              </m:oMath>
            </m:oMathPara>
          </w:p>
        </w:tc>
        <w:tc>
          <w:tcPr>
            <w:tcW w:w="1440" w:type="dxa"/>
            <w:tcBorders>
              <w:top w:val="nil"/>
              <w:left w:val="single" w:sz="4" w:space="0" w:color="auto"/>
              <w:bottom w:val="nil"/>
              <w:right w:val="nil"/>
            </w:tcBorders>
            <w:shd w:val="clear" w:color="auto" w:fill="auto"/>
            <w:noWrap/>
            <w:vAlign w:val="bottom"/>
            <w:hideMark/>
          </w:tcPr>
          <w:p w14:paraId="4E1F3B54" w14:textId="77777777" w:rsidR="004578EA" w:rsidRPr="00A02636" w:rsidRDefault="004578EA">
            <w:pPr>
              <w:jc w:val="center"/>
              <w:rPr>
                <w:rFonts w:ascii="Palatino Linotype" w:hAnsi="Palatino Linotype"/>
                <w:sz w:val="20"/>
              </w:rPr>
            </w:pPr>
            <w:r w:rsidRPr="00A02636">
              <w:rPr>
                <w:rFonts w:ascii="Palatino Linotype" w:hAnsi="Palatino Linotype"/>
                <w:sz w:val="20"/>
              </w:rPr>
              <w:t>0.836</w:t>
            </w:r>
          </w:p>
        </w:tc>
        <w:tc>
          <w:tcPr>
            <w:tcW w:w="1300" w:type="dxa"/>
            <w:tcBorders>
              <w:top w:val="nil"/>
              <w:left w:val="single" w:sz="4" w:space="0" w:color="auto"/>
              <w:right w:val="nil"/>
            </w:tcBorders>
            <w:shd w:val="clear" w:color="auto" w:fill="auto"/>
            <w:noWrap/>
            <w:vAlign w:val="bottom"/>
            <w:hideMark/>
          </w:tcPr>
          <w:p w14:paraId="1F33E068" w14:textId="77777777" w:rsidR="004578EA" w:rsidRPr="00A02636" w:rsidRDefault="004578EA">
            <w:pPr>
              <w:jc w:val="center"/>
              <w:rPr>
                <w:rFonts w:ascii="Palatino Linotype" w:hAnsi="Palatino Linotype"/>
                <w:sz w:val="20"/>
              </w:rPr>
            </w:pPr>
            <w:r w:rsidRPr="00A02636">
              <w:rPr>
                <w:rFonts w:ascii="Palatino Linotype" w:hAnsi="Palatino Linotype"/>
                <w:sz w:val="20"/>
              </w:rPr>
              <w:t>0.776</w:t>
            </w:r>
          </w:p>
        </w:tc>
        <w:tc>
          <w:tcPr>
            <w:tcW w:w="1300" w:type="dxa"/>
            <w:tcBorders>
              <w:top w:val="nil"/>
              <w:left w:val="single" w:sz="4" w:space="0" w:color="auto"/>
              <w:right w:val="nil"/>
            </w:tcBorders>
            <w:shd w:val="clear" w:color="auto" w:fill="auto"/>
            <w:noWrap/>
            <w:vAlign w:val="bottom"/>
            <w:hideMark/>
          </w:tcPr>
          <w:p w14:paraId="2434B5EC" w14:textId="77777777" w:rsidR="004578EA" w:rsidRPr="00A02636" w:rsidRDefault="004578EA">
            <w:pPr>
              <w:jc w:val="center"/>
              <w:rPr>
                <w:rFonts w:ascii="Palatino Linotype" w:hAnsi="Palatino Linotype"/>
                <w:sz w:val="20"/>
              </w:rPr>
            </w:pPr>
            <w:r w:rsidRPr="00A02636">
              <w:rPr>
                <w:rFonts w:ascii="Palatino Linotype" w:hAnsi="Palatino Linotype"/>
                <w:sz w:val="20"/>
              </w:rPr>
              <w:t>0.655</w:t>
            </w:r>
          </w:p>
        </w:tc>
        <w:tc>
          <w:tcPr>
            <w:tcW w:w="1300" w:type="dxa"/>
            <w:tcBorders>
              <w:top w:val="nil"/>
              <w:left w:val="single" w:sz="4" w:space="0" w:color="auto"/>
              <w:right w:val="nil"/>
            </w:tcBorders>
            <w:shd w:val="clear" w:color="auto" w:fill="auto"/>
            <w:noWrap/>
            <w:vAlign w:val="bottom"/>
            <w:hideMark/>
          </w:tcPr>
          <w:p w14:paraId="1533E4CC" w14:textId="77777777" w:rsidR="004578EA" w:rsidRPr="00A02636" w:rsidRDefault="004578EA">
            <w:pPr>
              <w:jc w:val="center"/>
              <w:rPr>
                <w:rFonts w:ascii="Palatino Linotype" w:hAnsi="Palatino Linotype"/>
                <w:sz w:val="20"/>
              </w:rPr>
            </w:pPr>
            <w:r w:rsidRPr="00A02636">
              <w:rPr>
                <w:rFonts w:ascii="Palatino Linotype" w:hAnsi="Palatino Linotype"/>
                <w:sz w:val="20"/>
              </w:rPr>
              <w:t>0.568</w:t>
            </w:r>
          </w:p>
        </w:tc>
        <w:tc>
          <w:tcPr>
            <w:tcW w:w="1300" w:type="dxa"/>
            <w:tcBorders>
              <w:top w:val="nil"/>
              <w:left w:val="single" w:sz="4" w:space="0" w:color="auto"/>
              <w:right w:val="nil"/>
            </w:tcBorders>
            <w:shd w:val="clear" w:color="auto" w:fill="auto"/>
            <w:noWrap/>
            <w:vAlign w:val="bottom"/>
            <w:hideMark/>
          </w:tcPr>
          <w:p w14:paraId="02DD1338" w14:textId="77777777" w:rsidR="004578EA" w:rsidRPr="00A02636" w:rsidRDefault="004578EA">
            <w:pPr>
              <w:jc w:val="center"/>
              <w:rPr>
                <w:rFonts w:ascii="Palatino Linotype" w:hAnsi="Palatino Linotype"/>
                <w:sz w:val="20"/>
              </w:rPr>
            </w:pPr>
            <w:r w:rsidRPr="00A02636">
              <w:rPr>
                <w:rFonts w:ascii="Palatino Linotype" w:hAnsi="Palatino Linotype"/>
                <w:sz w:val="20"/>
              </w:rPr>
              <w:t>0.398</w:t>
            </w:r>
          </w:p>
        </w:tc>
        <w:tc>
          <w:tcPr>
            <w:tcW w:w="1460" w:type="dxa"/>
            <w:tcBorders>
              <w:top w:val="nil"/>
              <w:left w:val="single" w:sz="4" w:space="0" w:color="auto"/>
              <w:right w:val="nil"/>
            </w:tcBorders>
            <w:shd w:val="clear" w:color="auto" w:fill="auto"/>
            <w:noWrap/>
            <w:vAlign w:val="bottom"/>
            <w:hideMark/>
          </w:tcPr>
          <w:p w14:paraId="76370C27" w14:textId="77777777" w:rsidR="004578EA" w:rsidRPr="00A02636" w:rsidRDefault="004578EA">
            <w:pPr>
              <w:jc w:val="center"/>
              <w:rPr>
                <w:rFonts w:ascii="Palatino Linotype" w:hAnsi="Palatino Linotype"/>
                <w:sz w:val="20"/>
              </w:rPr>
            </w:pPr>
            <w:r w:rsidRPr="00A02636">
              <w:rPr>
                <w:rFonts w:ascii="Palatino Linotype" w:hAnsi="Palatino Linotype"/>
                <w:sz w:val="20"/>
              </w:rPr>
              <w:t>0.425</w:t>
            </w:r>
          </w:p>
        </w:tc>
        <w:tc>
          <w:tcPr>
            <w:tcW w:w="1331" w:type="dxa"/>
            <w:tcBorders>
              <w:top w:val="nil"/>
              <w:left w:val="single" w:sz="4" w:space="0" w:color="auto"/>
              <w:right w:val="nil"/>
            </w:tcBorders>
            <w:vAlign w:val="center"/>
          </w:tcPr>
          <w:p w14:paraId="38DA38F2" w14:textId="526B6FF9" w:rsidR="004578EA" w:rsidRPr="00A02636" w:rsidRDefault="0034110F">
            <w:pPr>
              <w:jc w:val="center"/>
              <w:rPr>
                <w:rFonts w:ascii="Palatino Linotype" w:hAnsi="Palatino Linotype"/>
                <w:sz w:val="20"/>
              </w:rPr>
            </w:pPr>
            <w:r w:rsidRPr="00A02636">
              <w:rPr>
                <w:rFonts w:ascii="Palatino Linotype" w:hAnsi="Palatino Linotype"/>
                <w:sz w:val="20"/>
              </w:rPr>
              <w:t>0.193</w:t>
            </w:r>
            <w:r w:rsidR="007C28E7" w:rsidRPr="00A02636">
              <w:rPr>
                <w:rFonts w:ascii="Palatino Linotype" w:hAnsi="Palatino Linotype"/>
                <w:sz w:val="20"/>
              </w:rPr>
              <w:t xml:space="preserve"> ± 0.011</w:t>
            </w:r>
          </w:p>
        </w:tc>
      </w:tr>
      <w:tr w:rsidR="004578EA" w:rsidRPr="00A02636" w14:paraId="4AEF2A9A" w14:textId="77777777">
        <w:trPr>
          <w:trHeight w:val="320"/>
          <w:jc w:val="center"/>
        </w:trPr>
        <w:tc>
          <w:tcPr>
            <w:tcW w:w="1508" w:type="dxa"/>
            <w:tcBorders>
              <w:top w:val="nil"/>
              <w:left w:val="nil"/>
              <w:bottom w:val="nil"/>
              <w:right w:val="nil"/>
            </w:tcBorders>
            <w:shd w:val="clear" w:color="auto" w:fill="auto"/>
            <w:noWrap/>
            <w:vAlign w:val="center"/>
          </w:tcPr>
          <w:p w14:paraId="49EF61F6" w14:textId="4813433C" w:rsidR="004578EA" w:rsidRPr="004865CD" w:rsidRDefault="004865CD">
            <w:pPr>
              <w:rPr>
                <w:rFonts w:ascii="Aptos" w:eastAsia="Aptos" w:hAnsi="Aptos"/>
                <w:iCs/>
                <w:sz w:val="20"/>
              </w:rPr>
            </w:pPr>
            <m:oMathPara>
              <m:oMath>
                <m:r>
                  <m:rPr>
                    <m:sty m:val="p"/>
                  </m:rPr>
                  <w:rPr>
                    <w:rFonts w:ascii="Cambria Math" w:hAnsi="Cambria Math" w:cs="Segoe UI"/>
                    <w:sz w:val="20"/>
                  </w:rPr>
                  <m:t>DR</m:t>
                </m:r>
              </m:oMath>
            </m:oMathPara>
          </w:p>
        </w:tc>
        <w:tc>
          <w:tcPr>
            <w:tcW w:w="1440" w:type="dxa"/>
            <w:tcBorders>
              <w:top w:val="nil"/>
              <w:left w:val="single" w:sz="4" w:space="0" w:color="auto"/>
              <w:bottom w:val="nil"/>
              <w:right w:val="nil"/>
            </w:tcBorders>
            <w:shd w:val="clear" w:color="auto" w:fill="auto"/>
            <w:noWrap/>
            <w:vAlign w:val="bottom"/>
          </w:tcPr>
          <w:p w14:paraId="7F8DFC25" w14:textId="77777777" w:rsidR="004578EA" w:rsidRPr="00A02636" w:rsidRDefault="004578EA">
            <w:pPr>
              <w:jc w:val="center"/>
              <w:rPr>
                <w:rFonts w:ascii="Palatino Linotype" w:hAnsi="Palatino Linotype"/>
                <w:sz w:val="20"/>
              </w:rPr>
            </w:pPr>
            <w:r w:rsidRPr="00A02636">
              <w:rPr>
                <w:rFonts w:ascii="Palatino Linotype" w:hAnsi="Palatino Linotype"/>
                <w:sz w:val="20"/>
              </w:rPr>
              <w:t>1.916</w:t>
            </w:r>
          </w:p>
        </w:tc>
        <w:tc>
          <w:tcPr>
            <w:tcW w:w="1300" w:type="dxa"/>
            <w:tcBorders>
              <w:top w:val="nil"/>
              <w:left w:val="single" w:sz="4" w:space="0" w:color="auto"/>
              <w:right w:val="nil"/>
            </w:tcBorders>
            <w:shd w:val="clear" w:color="auto" w:fill="auto"/>
            <w:noWrap/>
            <w:vAlign w:val="bottom"/>
          </w:tcPr>
          <w:p w14:paraId="050F1939" w14:textId="77777777" w:rsidR="004578EA" w:rsidRPr="00A02636" w:rsidRDefault="004578EA">
            <w:pPr>
              <w:jc w:val="center"/>
              <w:rPr>
                <w:rFonts w:ascii="Palatino Linotype" w:hAnsi="Palatino Linotype"/>
                <w:sz w:val="20"/>
              </w:rPr>
            </w:pPr>
            <w:r w:rsidRPr="00A02636">
              <w:rPr>
                <w:rFonts w:ascii="Palatino Linotype" w:hAnsi="Palatino Linotype"/>
                <w:sz w:val="20"/>
              </w:rPr>
              <w:t>1.851</w:t>
            </w:r>
          </w:p>
        </w:tc>
        <w:tc>
          <w:tcPr>
            <w:tcW w:w="1300" w:type="dxa"/>
            <w:tcBorders>
              <w:top w:val="nil"/>
              <w:left w:val="single" w:sz="4" w:space="0" w:color="auto"/>
              <w:right w:val="nil"/>
            </w:tcBorders>
            <w:shd w:val="clear" w:color="auto" w:fill="auto"/>
            <w:noWrap/>
            <w:vAlign w:val="bottom"/>
          </w:tcPr>
          <w:p w14:paraId="2F4743E6" w14:textId="77777777" w:rsidR="004578EA" w:rsidRPr="00A02636" w:rsidRDefault="004578EA">
            <w:pPr>
              <w:jc w:val="center"/>
              <w:rPr>
                <w:rFonts w:ascii="Palatino Linotype" w:hAnsi="Palatino Linotype"/>
                <w:sz w:val="20"/>
              </w:rPr>
            </w:pPr>
            <w:r w:rsidRPr="00A02636">
              <w:rPr>
                <w:rFonts w:ascii="Palatino Linotype" w:hAnsi="Palatino Linotype"/>
                <w:sz w:val="20"/>
              </w:rPr>
              <w:t>1.816</w:t>
            </w:r>
          </w:p>
        </w:tc>
        <w:tc>
          <w:tcPr>
            <w:tcW w:w="1300" w:type="dxa"/>
            <w:tcBorders>
              <w:top w:val="nil"/>
              <w:left w:val="single" w:sz="4" w:space="0" w:color="auto"/>
              <w:right w:val="nil"/>
            </w:tcBorders>
            <w:shd w:val="clear" w:color="auto" w:fill="auto"/>
            <w:noWrap/>
            <w:vAlign w:val="bottom"/>
          </w:tcPr>
          <w:p w14:paraId="5C049E21" w14:textId="77777777" w:rsidR="004578EA" w:rsidRPr="00A02636" w:rsidRDefault="004578EA">
            <w:pPr>
              <w:jc w:val="center"/>
              <w:rPr>
                <w:rFonts w:ascii="Palatino Linotype" w:hAnsi="Palatino Linotype"/>
                <w:sz w:val="20"/>
              </w:rPr>
            </w:pPr>
            <w:r w:rsidRPr="00A02636">
              <w:rPr>
                <w:rFonts w:ascii="Palatino Linotype" w:hAnsi="Palatino Linotype"/>
                <w:sz w:val="20"/>
              </w:rPr>
              <w:t>1.767</w:t>
            </w:r>
          </w:p>
        </w:tc>
        <w:tc>
          <w:tcPr>
            <w:tcW w:w="1300" w:type="dxa"/>
            <w:tcBorders>
              <w:top w:val="nil"/>
              <w:left w:val="single" w:sz="4" w:space="0" w:color="auto"/>
              <w:right w:val="nil"/>
            </w:tcBorders>
            <w:shd w:val="clear" w:color="auto" w:fill="auto"/>
            <w:noWrap/>
            <w:vAlign w:val="bottom"/>
          </w:tcPr>
          <w:p w14:paraId="38332E15" w14:textId="77777777" w:rsidR="004578EA" w:rsidRPr="00A02636" w:rsidRDefault="004578EA">
            <w:pPr>
              <w:jc w:val="center"/>
              <w:rPr>
                <w:rFonts w:ascii="Palatino Linotype" w:hAnsi="Palatino Linotype"/>
                <w:sz w:val="20"/>
              </w:rPr>
            </w:pPr>
            <w:r w:rsidRPr="00A02636">
              <w:rPr>
                <w:rFonts w:ascii="Palatino Linotype" w:hAnsi="Palatino Linotype"/>
                <w:sz w:val="20"/>
              </w:rPr>
              <w:t>1.587</w:t>
            </w:r>
          </w:p>
        </w:tc>
        <w:tc>
          <w:tcPr>
            <w:tcW w:w="1460" w:type="dxa"/>
            <w:tcBorders>
              <w:top w:val="nil"/>
              <w:left w:val="single" w:sz="4" w:space="0" w:color="auto"/>
              <w:right w:val="nil"/>
            </w:tcBorders>
            <w:shd w:val="clear" w:color="auto" w:fill="auto"/>
            <w:noWrap/>
            <w:vAlign w:val="bottom"/>
          </w:tcPr>
          <w:p w14:paraId="1E7BAA28" w14:textId="77777777" w:rsidR="004578EA" w:rsidRPr="00A02636" w:rsidRDefault="004578EA">
            <w:pPr>
              <w:jc w:val="center"/>
              <w:rPr>
                <w:rFonts w:ascii="Palatino Linotype" w:hAnsi="Palatino Linotype"/>
                <w:sz w:val="20"/>
              </w:rPr>
            </w:pPr>
            <w:r w:rsidRPr="00A02636">
              <w:rPr>
                <w:rFonts w:ascii="Palatino Linotype" w:hAnsi="Palatino Linotype"/>
                <w:sz w:val="20"/>
              </w:rPr>
              <w:t>1.729</w:t>
            </w:r>
          </w:p>
        </w:tc>
        <w:tc>
          <w:tcPr>
            <w:tcW w:w="1331" w:type="dxa"/>
            <w:tcBorders>
              <w:top w:val="nil"/>
              <w:left w:val="single" w:sz="4" w:space="0" w:color="auto"/>
              <w:right w:val="nil"/>
            </w:tcBorders>
            <w:vAlign w:val="center"/>
          </w:tcPr>
          <w:p w14:paraId="093B81CC" w14:textId="427A57D6" w:rsidR="004578EA" w:rsidRPr="00A02636" w:rsidRDefault="000175D4">
            <w:pPr>
              <w:jc w:val="center"/>
              <w:rPr>
                <w:rFonts w:ascii="Palatino Linotype" w:hAnsi="Palatino Linotype"/>
                <w:sz w:val="20"/>
              </w:rPr>
            </w:pPr>
            <w:r w:rsidRPr="00A02636">
              <w:rPr>
                <w:rFonts w:ascii="Palatino Linotype" w:hAnsi="Palatino Linotype"/>
                <w:sz w:val="20"/>
              </w:rPr>
              <w:t xml:space="preserve">3.111  ± </w:t>
            </w:r>
            <w:r w:rsidR="0017705D" w:rsidRPr="00A02636">
              <w:rPr>
                <w:rFonts w:ascii="Palatino Linotype" w:hAnsi="Palatino Linotype"/>
                <w:sz w:val="20"/>
              </w:rPr>
              <w:t>0.668</w:t>
            </w:r>
          </w:p>
        </w:tc>
      </w:tr>
      <w:tr w:rsidR="004578EA" w:rsidRPr="00A02636" w14:paraId="11208243" w14:textId="77777777">
        <w:trPr>
          <w:trHeight w:val="320"/>
          <w:jc w:val="center"/>
        </w:trPr>
        <w:tc>
          <w:tcPr>
            <w:tcW w:w="1508" w:type="dxa"/>
            <w:tcBorders>
              <w:top w:val="single" w:sz="4" w:space="0" w:color="auto"/>
              <w:left w:val="nil"/>
              <w:bottom w:val="single" w:sz="4" w:space="0" w:color="auto"/>
              <w:right w:val="single" w:sz="4" w:space="0" w:color="auto"/>
            </w:tcBorders>
            <w:shd w:val="clear" w:color="auto" w:fill="auto"/>
            <w:noWrap/>
            <w:vAlign w:val="center"/>
          </w:tcPr>
          <w:p w14:paraId="42B6C742" w14:textId="77777777" w:rsidR="004578EA" w:rsidRPr="00A02636" w:rsidRDefault="004578EA">
            <w:pPr>
              <w:rPr>
                <w:rFonts w:ascii="Palatino Linotype" w:hAnsi="Palatino Linotype"/>
                <w:sz w:val="20"/>
              </w:rPr>
            </w:pPr>
            <w:r w:rsidRPr="00A02636">
              <w:rPr>
                <w:rFonts w:ascii="Palatino Linotype" w:hAnsi="Palatino Linotype"/>
                <w:sz w:val="20"/>
              </w:rPr>
              <w:t>Band Gap (eV)</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6FEC6" w14:textId="77777777" w:rsidR="004578EA" w:rsidRPr="00A02636" w:rsidRDefault="004578EA">
            <w:pPr>
              <w:jc w:val="center"/>
              <w:rPr>
                <w:rFonts w:ascii="Palatino Linotype" w:hAnsi="Palatino Linotype"/>
                <w:sz w:val="20"/>
              </w:rPr>
            </w:pPr>
            <w:r w:rsidRPr="00A02636">
              <w:rPr>
                <w:rFonts w:ascii="Palatino Linotype" w:hAnsi="Palatino Linotype"/>
                <w:sz w:val="20"/>
              </w:rPr>
              <w:t>6.04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8DCEE" w14:textId="77777777" w:rsidR="004578EA" w:rsidRPr="00A02636" w:rsidRDefault="004578EA">
            <w:pPr>
              <w:jc w:val="center"/>
              <w:rPr>
                <w:rFonts w:ascii="Palatino Linotype" w:hAnsi="Palatino Linotype"/>
                <w:sz w:val="20"/>
              </w:rPr>
            </w:pPr>
            <w:r w:rsidRPr="00A02636">
              <w:rPr>
                <w:rFonts w:ascii="Palatino Linotype" w:hAnsi="Palatino Linotype"/>
                <w:sz w:val="20"/>
              </w:rPr>
              <w:t>5.63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0589F" w14:textId="77777777" w:rsidR="004578EA" w:rsidRPr="00A02636" w:rsidRDefault="004578EA">
            <w:pPr>
              <w:jc w:val="center"/>
              <w:rPr>
                <w:rFonts w:ascii="Palatino Linotype" w:hAnsi="Palatino Linotype"/>
                <w:sz w:val="20"/>
              </w:rPr>
            </w:pPr>
            <w:r w:rsidRPr="00A02636">
              <w:rPr>
                <w:rFonts w:ascii="Palatino Linotype" w:hAnsi="Palatino Linotype"/>
                <w:sz w:val="20"/>
              </w:rPr>
              <w:t>6.53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4B484" w14:textId="77777777" w:rsidR="004578EA" w:rsidRPr="00A02636" w:rsidRDefault="004578EA">
            <w:pPr>
              <w:jc w:val="center"/>
              <w:rPr>
                <w:rFonts w:ascii="Palatino Linotype" w:hAnsi="Palatino Linotype"/>
                <w:sz w:val="20"/>
              </w:rPr>
            </w:pPr>
            <w:r w:rsidRPr="00A02636">
              <w:rPr>
                <w:rFonts w:ascii="Palatino Linotype" w:hAnsi="Palatino Linotype"/>
                <w:sz w:val="20"/>
              </w:rPr>
              <w:t>7.44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DDD07" w14:textId="77777777" w:rsidR="004578EA" w:rsidRPr="00A02636" w:rsidRDefault="004578EA">
            <w:pPr>
              <w:jc w:val="center"/>
              <w:rPr>
                <w:rFonts w:ascii="Palatino Linotype" w:hAnsi="Palatino Linotype"/>
                <w:sz w:val="20"/>
              </w:rPr>
            </w:pPr>
            <w:r w:rsidRPr="00A02636">
              <w:rPr>
                <w:rFonts w:ascii="Palatino Linotype" w:hAnsi="Palatino Linotype"/>
                <w:sz w:val="20"/>
              </w:rPr>
              <w:t>12.07</w:t>
            </w:r>
          </w:p>
        </w:tc>
        <w:tc>
          <w:tcPr>
            <w:tcW w:w="1460" w:type="dxa"/>
            <w:tcBorders>
              <w:top w:val="single" w:sz="4" w:space="0" w:color="auto"/>
              <w:left w:val="single" w:sz="4" w:space="0" w:color="auto"/>
              <w:bottom w:val="single" w:sz="4" w:space="0" w:color="auto"/>
              <w:right w:val="nil"/>
            </w:tcBorders>
            <w:shd w:val="clear" w:color="auto" w:fill="auto"/>
            <w:noWrap/>
            <w:vAlign w:val="bottom"/>
          </w:tcPr>
          <w:p w14:paraId="3CE554C6" w14:textId="77777777" w:rsidR="004578EA" w:rsidRPr="00A02636" w:rsidRDefault="004578EA">
            <w:pPr>
              <w:jc w:val="center"/>
              <w:rPr>
                <w:rFonts w:ascii="Palatino Linotype" w:hAnsi="Palatino Linotype"/>
                <w:sz w:val="20"/>
              </w:rPr>
            </w:pPr>
            <w:r w:rsidRPr="00A02636">
              <w:rPr>
                <w:rFonts w:ascii="Palatino Linotype" w:hAnsi="Palatino Linotype"/>
                <w:sz w:val="20"/>
              </w:rPr>
              <w:t>10.38</w:t>
            </w:r>
          </w:p>
        </w:tc>
        <w:tc>
          <w:tcPr>
            <w:tcW w:w="1331" w:type="dxa"/>
            <w:tcBorders>
              <w:top w:val="single" w:sz="4" w:space="0" w:color="auto"/>
              <w:left w:val="single" w:sz="4" w:space="0" w:color="auto"/>
              <w:bottom w:val="single" w:sz="4" w:space="0" w:color="auto"/>
              <w:right w:val="nil"/>
            </w:tcBorders>
            <w:vAlign w:val="center"/>
          </w:tcPr>
          <w:p w14:paraId="44F1F3BD" w14:textId="77777777" w:rsidR="004578EA" w:rsidRPr="00A02636" w:rsidRDefault="004578EA">
            <w:pPr>
              <w:jc w:val="center"/>
              <w:rPr>
                <w:rFonts w:ascii="Palatino Linotype" w:hAnsi="Palatino Linotype"/>
                <w:sz w:val="20"/>
              </w:rPr>
            </w:pPr>
          </w:p>
        </w:tc>
      </w:tr>
    </w:tbl>
    <w:p w14:paraId="3158817D" w14:textId="77777777" w:rsidR="00827472" w:rsidRDefault="00827472">
      <w:pPr>
        <w:spacing w:after="0"/>
        <w:jc w:val="left"/>
      </w:pPr>
    </w:p>
    <w:p w14:paraId="5D271ECB" w14:textId="62053157" w:rsidR="003E2C9A" w:rsidRDefault="003E2C9A" w:rsidP="003E2C9A">
      <w:pPr>
        <w:pStyle w:val="TAMainText"/>
      </w:pPr>
      <w:r w:rsidRPr="00A02636">
        <w:t xml:space="preserve">Examining the tensor components obtained from the quantum </w:t>
      </w:r>
      <w:r w:rsidR="00A17035">
        <w:t>chemical</w:t>
      </w:r>
      <w:r w:rsidRPr="00A02636">
        <w:t xml:space="preserve"> modeling confirms that Kleinman symmetry, which was assumed within the theoretical framework, is valid.</w:t>
      </w:r>
    </w:p>
    <w:p w14:paraId="41053371" w14:textId="77777777" w:rsidR="00A02636" w:rsidRDefault="00A02636" w:rsidP="004B1569">
      <w:pPr>
        <w:pStyle w:val="TAMainText"/>
        <w:rPr>
          <w:b/>
          <w:bCs/>
          <w:highlight w:val="cyan"/>
        </w:rPr>
      </w:pPr>
    </w:p>
    <w:p w14:paraId="5ED83156" w14:textId="309E3933" w:rsidR="004B1569" w:rsidRPr="00A02636" w:rsidRDefault="004B1569" w:rsidP="004B1569">
      <w:pPr>
        <w:pStyle w:val="TAMainText"/>
        <w:rPr>
          <w:b/>
          <w:bCs/>
        </w:rPr>
      </w:pPr>
      <w:r w:rsidRPr="00A02636">
        <w:rPr>
          <w:b/>
          <w:bCs/>
        </w:rPr>
        <w:t>Reducing the tensor complexity</w:t>
      </w:r>
    </w:p>
    <w:p w14:paraId="29DDBC7F" w14:textId="59C80F95" w:rsidR="004A4F35" w:rsidRDefault="002B44D5" w:rsidP="0008687D">
      <w:pPr>
        <w:pStyle w:val="TAMainText"/>
      </w:pPr>
      <w:r w:rsidRPr="00A02636">
        <w:t xml:space="preserve">The </w:t>
      </w:r>
      <w:r w:rsidR="00C439B8" w:rsidRPr="00A02636">
        <w:t xml:space="preserve">first </w:t>
      </w:r>
      <w:r w:rsidRPr="00A02636">
        <w:t xml:space="preserve">hyperpolarizability of </w:t>
      </w: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β</m:t>
            </m:r>
          </m:sub>
        </m:sSub>
      </m:oMath>
      <w:r w:rsidRPr="00A02636">
        <w:rPr>
          <w:iCs/>
        </w:rPr>
        <w:t xml:space="preserve"> cellulose is dominated by </w:t>
      </w:r>
      <m:oMath>
        <m:sSub>
          <m:sSubPr>
            <m:ctrlPr>
              <w:rPr>
                <w:rFonts w:ascii="Cambria Math" w:hAnsi="Cambria Math"/>
                <w:i/>
              </w:rPr>
            </m:ctrlPr>
          </m:sSubPr>
          <m:e>
            <m:r>
              <w:rPr>
                <w:rFonts w:ascii="Cambria Math" w:hAnsi="Cambria Math"/>
              </w:rPr>
              <m:t>β</m:t>
            </m:r>
          </m:e>
          <m:sub>
            <m:r>
              <w:rPr>
                <w:rFonts w:ascii="Cambria Math" w:hAnsi="Cambria Math"/>
              </w:rPr>
              <m:t>zzz</m:t>
            </m:r>
          </m:sub>
        </m:sSub>
      </m:oMath>
      <w:r w:rsidRPr="00A02636">
        <w:t xml:space="preserve"> and </w:t>
      </w:r>
      <m:oMath>
        <m:sSub>
          <m:sSubPr>
            <m:ctrlPr>
              <w:rPr>
                <w:rFonts w:ascii="Cambria Math" w:hAnsi="Cambria Math"/>
                <w:i/>
              </w:rPr>
            </m:ctrlPr>
          </m:sSubPr>
          <m:e>
            <m:r>
              <w:rPr>
                <w:rFonts w:ascii="Cambria Math" w:hAnsi="Cambria Math"/>
              </w:rPr>
              <m:t>β</m:t>
            </m:r>
          </m:e>
          <m:sub>
            <m:r>
              <w:rPr>
                <w:rFonts w:ascii="Cambria Math" w:hAnsi="Cambria Math"/>
              </w:rPr>
              <m:t>zyy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yzy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yyz</m:t>
            </m:r>
          </m:sub>
        </m:sSub>
      </m:oMath>
      <w:r w:rsidRPr="00A02636">
        <w:t xml:space="preserve"> components in every case, particularly for the </w:t>
      </w:r>
      <m:oMath>
        <m:r>
          <m:rPr>
            <m:sty m:val="p"/>
          </m:rPr>
          <w:rPr>
            <w:rFonts w:ascii="Cambria Math" w:hAnsi="Cambria Math"/>
          </w:rPr>
          <m:t>ω</m:t>
        </m:r>
      </m:oMath>
      <w:r w:rsidRPr="00A02636">
        <w:t xml:space="preserve">B97X and CAM-B3LYP calculations. Those tensors are therefore suitable for the approximation scheme </w:t>
      </w:r>
      <w:r w:rsidR="0008687D" w:rsidRPr="00A02636">
        <w:t xml:space="preserve">discussed in the theoretical part involving the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2v</m:t>
            </m:r>
          </m:sub>
        </m:sSub>
      </m:oMath>
      <w:r w:rsidR="0008687D" w:rsidRPr="00A02636">
        <w:t xml:space="preserve"> symmetry and </w:t>
      </w:r>
      <m:oMath>
        <m:sSub>
          <m:sSubPr>
            <m:ctrlPr>
              <w:rPr>
                <w:rFonts w:ascii="Cambria Math" w:hAnsi="Cambria Math"/>
                <w:i/>
              </w:rPr>
            </m:ctrlPr>
          </m:sSubPr>
          <m:e>
            <m:r>
              <w:rPr>
                <w:rFonts w:ascii="Cambria Math" w:hAnsi="Cambria Math"/>
              </w:rPr>
              <m:t>β</m:t>
            </m:r>
          </m:e>
          <m:sub>
            <m:r>
              <w:rPr>
                <w:rFonts w:ascii="Cambria Math" w:hAnsi="Cambria Math"/>
              </w:rPr>
              <m:t>zxx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xzx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xxz</m:t>
            </m:r>
          </m:sub>
        </m:sSub>
        <m:r>
          <w:rPr>
            <w:rFonts w:ascii="Cambria Math" w:hAnsi="Cambria Math"/>
          </w:rPr>
          <m:t>=0</m:t>
        </m:r>
      </m:oMath>
      <w:r w:rsidR="0008687D" w:rsidRPr="00A02636">
        <w:t xml:space="preserve"> assumptions, in view of applying the electrostatic scheme.</w:t>
      </w:r>
      <w:r w:rsidRPr="00A02636">
        <w:t xml:space="preserve"> While the </w:t>
      </w:r>
      <w:r w:rsidR="00D33BB7" w:rsidRPr="00A02636">
        <w:t>LC-BLYP calculations</w:t>
      </w:r>
      <w:r w:rsidR="005945D6" w:rsidRPr="00A02636">
        <w:t xml:space="preserve"> </w:t>
      </w:r>
      <w:r w:rsidRPr="00A02636">
        <w:t xml:space="preserve">present </w:t>
      </w:r>
      <w:r w:rsidR="0070711B" w:rsidRPr="00A02636">
        <w:t>other non-negligible</w:t>
      </w:r>
      <w:r w:rsidRPr="00A02636">
        <w:t xml:space="preserve"> tensor components</w:t>
      </w:r>
      <w:r w:rsidR="0070711B" w:rsidRPr="00A02636">
        <w:t xml:space="preserve"> (typically of the </w:t>
      </w:r>
      <m:oMath>
        <m:sSub>
          <m:sSubPr>
            <m:ctrlPr>
              <w:rPr>
                <w:rFonts w:ascii="Cambria Math" w:hAnsi="Cambria Math"/>
                <w:i/>
              </w:rPr>
            </m:ctrlPr>
          </m:sSubPr>
          <m:e>
            <m:r>
              <w:rPr>
                <w:rFonts w:ascii="Cambria Math" w:hAnsi="Cambria Math"/>
              </w:rPr>
              <m:t>β</m:t>
            </m:r>
          </m:e>
          <m:sub>
            <m:r>
              <w:rPr>
                <w:rFonts w:ascii="Cambria Math" w:hAnsi="Cambria Math"/>
              </w:rPr>
              <m:t>zxx</m:t>
            </m:r>
          </m:sub>
        </m:sSub>
      </m:oMath>
      <w:r w:rsidR="0070711B" w:rsidRPr="00A02636">
        <w:t xml:space="preserve"> type) </w:t>
      </w:r>
      <w:r w:rsidR="009A3F9C" w:rsidRPr="00A02636">
        <w:t>this simplification</w:t>
      </w:r>
      <w:r w:rsidR="00F43584" w:rsidRPr="00A02636">
        <w:t xml:space="preserve"> can</w:t>
      </w:r>
      <w:r w:rsidR="009A3F9C" w:rsidRPr="00A02636">
        <w:t xml:space="preserve"> still be done because the </w:t>
      </w:r>
      <m:oMath>
        <m:sSub>
          <m:sSubPr>
            <m:ctrlPr>
              <w:rPr>
                <w:rFonts w:ascii="Cambria Math" w:hAnsi="Cambria Math" w:cs="Segoe UI"/>
                <w:iCs/>
                <w:szCs w:val="24"/>
              </w:rPr>
            </m:ctrlPr>
          </m:sSubPr>
          <m:e>
            <m:r>
              <m:rPr>
                <m:sty m:val="p"/>
              </m:rPr>
              <w:rPr>
                <w:rFonts w:ascii="Cambria Math" w:hAnsi="Cambria Math" w:cs="Segoe UI"/>
                <w:szCs w:val="24"/>
              </w:rPr>
              <m:t>β</m:t>
            </m:r>
          </m:e>
          <m:sub>
            <m:r>
              <m:rPr>
                <m:sty m:val="p"/>
              </m:rPr>
              <w:rPr>
                <w:rFonts w:ascii="Cambria Math" w:hAnsi="Cambria Math" w:cs="Segoe UI"/>
                <w:szCs w:val="24"/>
              </w:rPr>
              <m:t>HRS</m:t>
            </m:r>
          </m:sub>
        </m:sSub>
      </m:oMath>
      <w:r w:rsidR="009A3F9C" w:rsidRPr="00A02636">
        <w:rPr>
          <w:i/>
          <w:iCs/>
          <w:szCs w:val="24"/>
        </w:rPr>
        <w:t xml:space="preserve"> </w:t>
      </w:r>
      <w:r w:rsidR="009A3F9C" w:rsidRPr="00A02636">
        <w:t xml:space="preserve">and DR quantities account for all </w:t>
      </w:r>
      <w:r w:rsidR="005945D6" w:rsidRPr="00A02636">
        <w:t>tensor</w:t>
      </w:r>
      <w:r w:rsidR="009A3F9C" w:rsidRPr="00A02636">
        <w:t xml:space="preserve"> components. </w:t>
      </w:r>
      <w:r w:rsidR="00F43584" w:rsidRPr="00A02636">
        <w:t xml:space="preserve">From these the effective </w:t>
      </w:r>
      <m:oMath>
        <m:sSub>
          <m:sSubPr>
            <m:ctrlPr>
              <w:rPr>
                <w:rFonts w:ascii="Cambria Math" w:hAnsi="Cambria Math"/>
                <w:i/>
              </w:rPr>
            </m:ctrlPr>
          </m:sSubPr>
          <m:e>
            <m:r>
              <w:rPr>
                <w:rFonts w:ascii="Cambria Math" w:hAnsi="Cambria Math"/>
              </w:rPr>
              <m:t>β</m:t>
            </m:r>
          </m:e>
          <m:sub>
            <m:r>
              <w:rPr>
                <w:rFonts w:ascii="Cambria Math" w:hAnsi="Cambria Math"/>
              </w:rPr>
              <m:t>zzz</m:t>
            </m:r>
          </m:sub>
        </m:sSub>
      </m:oMath>
      <w:r w:rsidR="00F43584" w:rsidRPr="00A02636">
        <w:t xml:space="preserve"> and </w:t>
      </w:r>
      <m:oMath>
        <m:sSub>
          <m:sSubPr>
            <m:ctrlPr>
              <w:rPr>
                <w:rFonts w:ascii="Cambria Math" w:hAnsi="Cambria Math"/>
                <w:i/>
              </w:rPr>
            </m:ctrlPr>
          </m:sSubPr>
          <m:e>
            <m:r>
              <w:rPr>
                <w:rFonts w:ascii="Cambria Math" w:hAnsi="Cambria Math"/>
              </w:rPr>
              <m:t>β</m:t>
            </m:r>
          </m:e>
          <m:sub>
            <m:r>
              <w:rPr>
                <w:rFonts w:ascii="Cambria Math" w:hAnsi="Cambria Math"/>
              </w:rPr>
              <m:t>zyy</m:t>
            </m:r>
          </m:sub>
        </m:sSub>
      </m:oMath>
      <w:r w:rsidR="00F43584" w:rsidRPr="00A02636">
        <w:t xml:space="preserve"> values are determined.  </w:t>
      </w:r>
      <w:r w:rsidR="001E7AF1" w:rsidRPr="00A02636">
        <w:t>The two solutions at</w:t>
      </w:r>
      <w:r w:rsidR="0008687D" w:rsidRPr="00A02636">
        <w:t xml:space="preserve"> the issue of the treatment</w:t>
      </w:r>
      <w:r w:rsidR="001E7AF1" w:rsidRPr="00A02636">
        <w:t xml:space="preserve"> are shown in ESI.1</w:t>
      </w:r>
      <w:r w:rsidR="001844FE">
        <w:t>4</w:t>
      </w:r>
      <w:r w:rsidR="001E7AF1" w:rsidRPr="00A02636">
        <w:t>. The selected</w:t>
      </w:r>
      <w:r w:rsidR="0008687D" w:rsidRPr="00A02636">
        <w:t xml:space="preserve"> new </w:t>
      </w:r>
      <m:oMath>
        <m:sSub>
          <m:sSubPr>
            <m:ctrlPr>
              <w:rPr>
                <w:rFonts w:ascii="Cambria Math" w:hAnsi="Cambria Math"/>
                <w:i/>
              </w:rPr>
            </m:ctrlPr>
          </m:sSubPr>
          <m:e>
            <m:r>
              <w:rPr>
                <w:rFonts w:ascii="Cambria Math" w:hAnsi="Cambria Math"/>
              </w:rPr>
              <m:t>β</m:t>
            </m:r>
          </m:e>
          <m:sub>
            <m:r>
              <w:rPr>
                <w:rFonts w:ascii="Cambria Math" w:hAnsi="Cambria Math"/>
              </w:rPr>
              <m:t>zzz</m:t>
            </m:r>
          </m:sub>
        </m:sSub>
      </m:oMath>
      <w:r w:rsidR="0008687D" w:rsidRPr="00A02636">
        <w:t xml:space="preserve"> and </w:t>
      </w:r>
      <m:oMath>
        <m:sSub>
          <m:sSubPr>
            <m:ctrlPr>
              <w:rPr>
                <w:rFonts w:ascii="Cambria Math" w:hAnsi="Cambria Math"/>
                <w:i/>
              </w:rPr>
            </m:ctrlPr>
          </m:sSubPr>
          <m:e>
            <m:r>
              <w:rPr>
                <w:rFonts w:ascii="Cambria Math" w:hAnsi="Cambria Math"/>
              </w:rPr>
              <m:t>β</m:t>
            </m:r>
          </m:e>
          <m:sub>
            <m:r>
              <w:rPr>
                <w:rFonts w:ascii="Cambria Math" w:hAnsi="Cambria Math"/>
              </w:rPr>
              <m:t>zyy</m:t>
            </m:r>
          </m:sub>
        </m:sSub>
      </m:oMath>
      <w:r w:rsidR="001E7AF1" w:rsidRPr="00A02636">
        <w:t xml:space="preserve"> as well as their ratio</w:t>
      </w:r>
      <w:r w:rsidR="0008687D" w:rsidRPr="00A02636">
        <w:t xml:space="preserve"> a</w:t>
      </w:r>
      <w:r w:rsidR="004B1569" w:rsidRPr="00A02636">
        <w:t xml:space="preserve">re </w:t>
      </w:r>
      <w:r w:rsidR="00D33BB7" w:rsidRPr="00A02636">
        <w:t>given</w:t>
      </w:r>
      <w:r w:rsidR="004B1569" w:rsidRPr="00A02636">
        <w:t xml:space="preserve"> in Table </w:t>
      </w:r>
      <w:r w:rsidR="0008687D" w:rsidRPr="00A02636">
        <w:t>3</w:t>
      </w:r>
      <w:r w:rsidR="004B1569" w:rsidRPr="00A02636">
        <w:t>.</w:t>
      </w:r>
    </w:p>
    <w:p w14:paraId="7241BCCA" w14:textId="77777777" w:rsidR="00D4183C" w:rsidRPr="00A02636" w:rsidRDefault="00D4183C" w:rsidP="0008687D">
      <w:pPr>
        <w:pStyle w:val="TAMainText"/>
      </w:pPr>
    </w:p>
    <w:p w14:paraId="4C2DF056" w14:textId="355637A8" w:rsidR="005154C0" w:rsidRPr="00A02636" w:rsidRDefault="005154C0" w:rsidP="004A4F35">
      <w:pPr>
        <w:pStyle w:val="VAFigureCaption"/>
      </w:pPr>
      <w:r w:rsidRPr="00A02636">
        <w:rPr>
          <w:b/>
          <w:bCs/>
        </w:rPr>
        <w:t xml:space="preserve">Table </w:t>
      </w:r>
      <w:r w:rsidRPr="00A02636">
        <w:rPr>
          <w:b/>
          <w:bCs/>
        </w:rPr>
        <w:fldChar w:fldCharType="begin"/>
      </w:r>
      <w:r w:rsidRPr="00A02636">
        <w:rPr>
          <w:b/>
          <w:bCs/>
        </w:rPr>
        <w:instrText xml:space="preserve"> SEQ Table \* ARABIC </w:instrText>
      </w:r>
      <w:r w:rsidRPr="00A02636">
        <w:rPr>
          <w:b/>
          <w:bCs/>
        </w:rPr>
        <w:fldChar w:fldCharType="separate"/>
      </w:r>
      <w:r w:rsidR="00C942F6">
        <w:rPr>
          <w:b/>
          <w:bCs/>
          <w:noProof/>
        </w:rPr>
        <w:t>3</w:t>
      </w:r>
      <w:r w:rsidRPr="00A02636">
        <w:rPr>
          <w:b/>
          <w:bCs/>
        </w:rPr>
        <w:fldChar w:fldCharType="end"/>
      </w:r>
      <w:r w:rsidR="004A4F35" w:rsidRPr="00A02636">
        <w:rPr>
          <w:b/>
          <w:bCs/>
        </w:rPr>
        <w:t>.</w:t>
      </w:r>
      <w:r w:rsidRPr="00A02636">
        <w:t xml:space="preserve"> </w:t>
      </w:r>
      <w:r w:rsidR="00D4183C">
        <w:t>Effective</w:t>
      </w:r>
      <w:r w:rsidR="00D4183C" w:rsidRPr="00A02636">
        <w:t xml:space="preserve"> </w:t>
      </w:r>
      <w:r w:rsidRPr="00A02636">
        <w:t>first hyperpolarizability components of cellulose nanocrystals (10</w:t>
      </w:r>
      <w:r w:rsidRPr="00A02636">
        <w:rPr>
          <w:vertAlign w:val="superscript"/>
        </w:rPr>
        <w:t>-30</w:t>
      </w:r>
      <w:r w:rsidRPr="00A02636">
        <w:t xml:space="preserve"> esu, B convention) computed from the depolarization ratio and </w:t>
      </w:r>
      <m:oMath>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HRS</m:t>
            </m:r>
          </m:sub>
        </m:sSub>
      </m:oMath>
      <w:r w:rsidRPr="00A02636">
        <w:t xml:space="preserve"> obtained from DFT-PBC calculations at 1064 nm, assuming </w:t>
      </w:r>
      <m:oMath>
        <m:sSub>
          <m:sSubPr>
            <m:ctrlPr>
              <w:rPr>
                <w:rFonts w:ascii="Cambria Math" w:hAnsi="Cambria Math"/>
              </w:rPr>
            </m:ctrlPr>
          </m:sSubPr>
          <m:e>
            <m:r>
              <w:rPr>
                <w:rFonts w:ascii="Cambria Math" w:hAnsi="Cambria Math"/>
              </w:rPr>
              <m:t>β</m:t>
            </m:r>
          </m:e>
          <m:sub>
            <m:r>
              <w:rPr>
                <w:rFonts w:ascii="Cambria Math" w:hAnsi="Cambria Math"/>
              </w:rPr>
              <m:t>zzz</m:t>
            </m:r>
          </m:sub>
        </m:sSub>
      </m:oMath>
      <w:r w:rsidRPr="00A02636">
        <w:t xml:space="preserve"> and  </w:t>
      </w:r>
      <m:oMath>
        <m:sSub>
          <m:sSubPr>
            <m:ctrlPr>
              <w:rPr>
                <w:rFonts w:ascii="Cambria Math" w:hAnsi="Cambria Math"/>
              </w:rPr>
            </m:ctrlPr>
          </m:sSubPr>
          <m:e>
            <m:r>
              <w:rPr>
                <w:rFonts w:ascii="Cambria Math" w:hAnsi="Cambria Math"/>
              </w:rPr>
              <m:t>β</m:t>
            </m:r>
          </m:e>
          <m:sub>
            <m:r>
              <w:rPr>
                <w:rFonts w:ascii="Cambria Math" w:hAnsi="Cambria Math"/>
              </w:rPr>
              <m:t>zyy</m:t>
            </m:r>
          </m:sub>
        </m:sSub>
      </m:oMath>
      <w:r w:rsidRPr="00A02636">
        <w:t xml:space="preserve"> are the only nonzero independent components</w:t>
      </w:r>
    </w:p>
    <w:tbl>
      <w:tblPr>
        <w:tblStyle w:val="TableGrid"/>
        <w:tblW w:w="512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134"/>
        <w:gridCol w:w="1134"/>
        <w:gridCol w:w="1177"/>
      </w:tblGrid>
      <w:tr w:rsidR="0008687D" w:rsidRPr="0008687D" w14:paraId="0FC57A76" w14:textId="77777777" w:rsidTr="0008687D">
        <w:trPr>
          <w:trHeight w:val="817"/>
          <w:jc w:val="center"/>
        </w:trPr>
        <w:tc>
          <w:tcPr>
            <w:tcW w:w="1676" w:type="dxa"/>
            <w:tcBorders>
              <w:top w:val="single" w:sz="4" w:space="0" w:color="auto"/>
              <w:bottom w:val="single" w:sz="4" w:space="0" w:color="auto"/>
              <w:right w:val="single" w:sz="4" w:space="0" w:color="auto"/>
            </w:tcBorders>
            <w:vAlign w:val="center"/>
          </w:tcPr>
          <w:p w14:paraId="0340045E" w14:textId="77777777" w:rsidR="0008687D" w:rsidRPr="00A02636" w:rsidRDefault="0008687D" w:rsidP="00860CFA">
            <w:pPr>
              <w:jc w:val="center"/>
              <w:rPr>
                <w:rFonts w:ascii="Palatino Linotype" w:hAnsi="Palatino Linotype"/>
                <w:iCs/>
                <w:sz w:val="18"/>
                <w:szCs w:val="18"/>
                <w:lang w:val="en-US"/>
              </w:rPr>
            </w:pPr>
          </w:p>
        </w:tc>
        <w:tc>
          <w:tcPr>
            <w:tcW w:w="1134" w:type="dxa"/>
            <w:tcBorders>
              <w:top w:val="single" w:sz="4" w:space="0" w:color="auto"/>
              <w:left w:val="single" w:sz="4" w:space="0" w:color="auto"/>
              <w:bottom w:val="single" w:sz="4" w:space="0" w:color="auto"/>
            </w:tcBorders>
            <w:vAlign w:val="center"/>
          </w:tcPr>
          <w:p w14:paraId="0E21A136" w14:textId="72FD8828" w:rsidR="0008687D" w:rsidRPr="00C15AA4" w:rsidRDefault="00000000" w:rsidP="00860CFA">
            <w:pPr>
              <w:jc w:val="center"/>
              <w:rPr>
                <w:rFonts w:ascii="Palatino Linotype" w:hAnsi="Palatino Linotype"/>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zzz</m:t>
                    </m:r>
                  </m:sub>
                </m:sSub>
              </m:oMath>
            </m:oMathPara>
          </w:p>
        </w:tc>
        <w:tc>
          <w:tcPr>
            <w:tcW w:w="1134" w:type="dxa"/>
            <w:tcBorders>
              <w:top w:val="single" w:sz="4" w:space="0" w:color="auto"/>
              <w:bottom w:val="single" w:sz="4" w:space="0" w:color="auto"/>
            </w:tcBorders>
            <w:vAlign w:val="center"/>
          </w:tcPr>
          <w:p w14:paraId="3B324FD0" w14:textId="6D13F50D" w:rsidR="0008687D" w:rsidRPr="00C15AA4" w:rsidRDefault="00000000" w:rsidP="00860CFA">
            <w:pPr>
              <w:jc w:val="center"/>
              <w:rPr>
                <w:rFonts w:ascii="Palatino Linotype" w:hAnsi="Palatino Linotype"/>
                <w:i/>
                <w:sz w:val="18"/>
                <w:szCs w:val="18"/>
                <w:lang w:val="en-US"/>
              </w:rPr>
            </w:pPr>
            <m:oMathPara>
              <m:oMath>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zyy</m:t>
                    </m:r>
                  </m:sub>
                </m:sSub>
              </m:oMath>
            </m:oMathPara>
          </w:p>
        </w:tc>
        <w:tc>
          <w:tcPr>
            <w:tcW w:w="1177" w:type="dxa"/>
            <w:tcBorders>
              <w:top w:val="single" w:sz="4" w:space="0" w:color="auto"/>
              <w:bottom w:val="single" w:sz="4" w:space="0" w:color="auto"/>
            </w:tcBorders>
            <w:vAlign w:val="center"/>
          </w:tcPr>
          <w:p w14:paraId="142CA513" w14:textId="254D3B49" w:rsidR="0008687D" w:rsidRPr="00C15AA4" w:rsidRDefault="00C15AA4" w:rsidP="00860CFA">
            <w:pPr>
              <w:jc w:val="center"/>
              <w:rPr>
                <w:rFonts w:ascii="Palatino Linotype" w:hAnsi="Palatino Linotype"/>
                <w:i/>
                <w:sz w:val="18"/>
                <w:szCs w:val="18"/>
                <w:lang w:val="en-US"/>
              </w:rPr>
            </w:pPr>
            <m:oMathPara>
              <m:oMath>
                <m:r>
                  <w:rPr>
                    <w:rFonts w:ascii="Cambria Math" w:hAnsi="Cambria Math"/>
                    <w:sz w:val="18"/>
                    <w:szCs w:val="18"/>
                    <w:lang w:val="en-US"/>
                  </w:rPr>
                  <m:t>R=</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zyy</m:t>
                        </m:r>
                      </m:sub>
                    </m:sSub>
                  </m:num>
                  <m:den>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zzz</m:t>
                        </m:r>
                      </m:sub>
                    </m:sSub>
                  </m:den>
                </m:f>
              </m:oMath>
            </m:oMathPara>
          </w:p>
        </w:tc>
      </w:tr>
      <w:tr w:rsidR="0008687D" w:rsidRPr="0008687D" w14:paraId="452EF1FF" w14:textId="77777777" w:rsidTr="0008687D">
        <w:trPr>
          <w:trHeight w:val="288"/>
          <w:jc w:val="center"/>
        </w:trPr>
        <w:tc>
          <w:tcPr>
            <w:tcW w:w="1676" w:type="dxa"/>
            <w:tcBorders>
              <w:top w:val="single" w:sz="4" w:space="0" w:color="auto"/>
              <w:right w:val="single" w:sz="4" w:space="0" w:color="auto"/>
            </w:tcBorders>
            <w:vAlign w:val="center"/>
          </w:tcPr>
          <w:p w14:paraId="25F7A8F5"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iCs/>
                <w:color w:val="000000"/>
                <w:sz w:val="18"/>
                <w:szCs w:val="18"/>
                <w:lang w:val="en-US"/>
              </w:rPr>
              <w:t>LC-BLYP20-opt</w:t>
            </w:r>
          </w:p>
        </w:tc>
        <w:tc>
          <w:tcPr>
            <w:tcW w:w="1134" w:type="dxa"/>
            <w:tcBorders>
              <w:top w:val="single" w:sz="4" w:space="0" w:color="auto"/>
              <w:left w:val="single" w:sz="4" w:space="0" w:color="auto"/>
            </w:tcBorders>
            <w:vAlign w:val="center"/>
          </w:tcPr>
          <w:p w14:paraId="1A9A7451"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1.953</w:t>
            </w:r>
          </w:p>
        </w:tc>
        <w:tc>
          <w:tcPr>
            <w:tcW w:w="1134" w:type="dxa"/>
            <w:tcBorders>
              <w:top w:val="single" w:sz="4" w:space="0" w:color="auto"/>
            </w:tcBorders>
            <w:vAlign w:val="center"/>
          </w:tcPr>
          <w:p w14:paraId="326CFE80"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-0.954</w:t>
            </w:r>
          </w:p>
        </w:tc>
        <w:tc>
          <w:tcPr>
            <w:tcW w:w="1177" w:type="dxa"/>
            <w:tcBorders>
              <w:top w:val="single" w:sz="4" w:space="0" w:color="auto"/>
            </w:tcBorders>
            <w:vAlign w:val="center"/>
          </w:tcPr>
          <w:p w14:paraId="1A6C3B63"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-0.489</w:t>
            </w:r>
          </w:p>
        </w:tc>
      </w:tr>
      <w:tr w:rsidR="0008687D" w:rsidRPr="0008687D" w14:paraId="1E513D7A" w14:textId="77777777" w:rsidTr="0008687D">
        <w:trPr>
          <w:trHeight w:val="288"/>
          <w:jc w:val="center"/>
        </w:trPr>
        <w:tc>
          <w:tcPr>
            <w:tcW w:w="1676" w:type="dxa"/>
            <w:tcBorders>
              <w:right w:val="single" w:sz="4" w:space="0" w:color="auto"/>
            </w:tcBorders>
            <w:vAlign w:val="center"/>
          </w:tcPr>
          <w:p w14:paraId="3506A3D8"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iCs/>
                <w:color w:val="000000"/>
                <w:sz w:val="18"/>
                <w:szCs w:val="18"/>
                <w:lang w:val="en-US"/>
              </w:rPr>
              <w:lastRenderedPageBreak/>
              <w:t>LC-BLYP20</w:t>
            </w:r>
          </w:p>
        </w:tc>
        <w:tc>
          <w:tcPr>
            <w:tcW w:w="1134" w:type="dxa"/>
            <w:tcBorders>
              <w:left w:val="single" w:sz="4" w:space="0" w:color="auto"/>
            </w:tcBorders>
            <w:vAlign w:val="center"/>
          </w:tcPr>
          <w:p w14:paraId="714828E0"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1.784</w:t>
            </w:r>
          </w:p>
        </w:tc>
        <w:tc>
          <w:tcPr>
            <w:tcW w:w="1134" w:type="dxa"/>
            <w:vAlign w:val="center"/>
          </w:tcPr>
          <w:p w14:paraId="78550AF7"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-0.922</w:t>
            </w:r>
          </w:p>
        </w:tc>
        <w:tc>
          <w:tcPr>
            <w:tcW w:w="1177" w:type="dxa"/>
            <w:vAlign w:val="center"/>
          </w:tcPr>
          <w:p w14:paraId="71928DA7"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-0.517</w:t>
            </w:r>
          </w:p>
        </w:tc>
      </w:tr>
      <w:tr w:rsidR="0008687D" w:rsidRPr="0008687D" w14:paraId="26D441A4" w14:textId="77777777" w:rsidTr="0008687D">
        <w:trPr>
          <w:trHeight w:val="288"/>
          <w:jc w:val="center"/>
        </w:trPr>
        <w:tc>
          <w:tcPr>
            <w:tcW w:w="1676" w:type="dxa"/>
            <w:tcBorders>
              <w:right w:val="single" w:sz="4" w:space="0" w:color="auto"/>
            </w:tcBorders>
            <w:vAlign w:val="center"/>
          </w:tcPr>
          <w:p w14:paraId="2DB023E6"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iCs/>
                <w:color w:val="000000"/>
                <w:sz w:val="18"/>
                <w:szCs w:val="18"/>
                <w:lang w:val="en-US"/>
              </w:rPr>
              <w:t>LC-BLYP30</w:t>
            </w:r>
          </w:p>
        </w:tc>
        <w:tc>
          <w:tcPr>
            <w:tcW w:w="1134" w:type="dxa"/>
            <w:tcBorders>
              <w:left w:val="single" w:sz="4" w:space="0" w:color="auto"/>
            </w:tcBorders>
            <w:vAlign w:val="center"/>
          </w:tcPr>
          <w:p w14:paraId="02020B24"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1.490</w:t>
            </w:r>
          </w:p>
        </w:tc>
        <w:tc>
          <w:tcPr>
            <w:tcW w:w="1134" w:type="dxa"/>
            <w:vAlign w:val="center"/>
          </w:tcPr>
          <w:p w14:paraId="23722305"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-0.797</w:t>
            </w:r>
          </w:p>
        </w:tc>
        <w:tc>
          <w:tcPr>
            <w:tcW w:w="1177" w:type="dxa"/>
            <w:vAlign w:val="center"/>
          </w:tcPr>
          <w:p w14:paraId="6CB64079"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-0.534</w:t>
            </w:r>
          </w:p>
        </w:tc>
      </w:tr>
      <w:tr w:rsidR="0008687D" w:rsidRPr="0008687D" w14:paraId="43F54F5F" w14:textId="77777777" w:rsidTr="0008687D">
        <w:trPr>
          <w:trHeight w:val="288"/>
          <w:jc w:val="center"/>
        </w:trPr>
        <w:tc>
          <w:tcPr>
            <w:tcW w:w="1676" w:type="dxa"/>
            <w:tcBorders>
              <w:right w:val="single" w:sz="4" w:space="0" w:color="auto"/>
            </w:tcBorders>
            <w:vAlign w:val="center"/>
          </w:tcPr>
          <w:p w14:paraId="37E708C5"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iCs/>
                <w:color w:val="000000"/>
                <w:sz w:val="18"/>
                <w:szCs w:val="18"/>
                <w:lang w:val="en-US"/>
              </w:rPr>
              <w:t>LC-BLYP40</w:t>
            </w:r>
          </w:p>
        </w:tc>
        <w:tc>
          <w:tcPr>
            <w:tcW w:w="1134" w:type="dxa"/>
            <w:tcBorders>
              <w:left w:val="single" w:sz="4" w:space="0" w:color="auto"/>
            </w:tcBorders>
            <w:vAlign w:val="center"/>
          </w:tcPr>
          <w:p w14:paraId="214230E1"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1.270</w:t>
            </w:r>
          </w:p>
        </w:tc>
        <w:tc>
          <w:tcPr>
            <w:tcW w:w="1134" w:type="dxa"/>
            <w:vAlign w:val="center"/>
          </w:tcPr>
          <w:p w14:paraId="0359DA52"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-0.713</w:t>
            </w:r>
          </w:p>
        </w:tc>
        <w:tc>
          <w:tcPr>
            <w:tcW w:w="1177" w:type="dxa"/>
            <w:vAlign w:val="center"/>
          </w:tcPr>
          <w:p w14:paraId="29192035"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-0.561</w:t>
            </w:r>
          </w:p>
        </w:tc>
      </w:tr>
      <w:tr w:rsidR="0008687D" w:rsidRPr="0008687D" w14:paraId="00A88E6F" w14:textId="77777777" w:rsidTr="0008687D">
        <w:trPr>
          <w:trHeight w:val="288"/>
          <w:jc w:val="center"/>
        </w:trPr>
        <w:tc>
          <w:tcPr>
            <w:tcW w:w="1676" w:type="dxa"/>
            <w:tcBorders>
              <w:right w:val="single" w:sz="4" w:space="0" w:color="auto"/>
            </w:tcBorders>
            <w:vAlign w:val="center"/>
          </w:tcPr>
          <w:p w14:paraId="34F2B93E" w14:textId="4F703807" w:rsidR="0008687D" w:rsidRPr="00A02636" w:rsidRDefault="00BA57E0" w:rsidP="00860CFA">
            <w:pPr>
              <w:jc w:val="center"/>
              <w:rPr>
                <w:rFonts w:ascii="Palatino Linotype" w:hAnsi="Palatino Linotype"/>
                <w:iCs/>
                <w:sz w:val="18"/>
                <w:szCs w:val="18"/>
                <w:lang w:val="en-US"/>
              </w:rPr>
            </w:pPr>
            <m:oMath>
              <m:r>
                <m:rPr>
                  <m:sty m:val="p"/>
                </m:rPr>
                <w:rPr>
                  <w:rFonts w:ascii="Cambria Math" w:hAnsi="Cambria Math"/>
                  <w:color w:val="000000"/>
                  <w:sz w:val="18"/>
                  <w:szCs w:val="18"/>
                  <w:lang w:val="en-US"/>
                </w:rPr>
                <m:t>ω</m:t>
              </m:r>
            </m:oMath>
            <w:r w:rsidR="0008687D" w:rsidRPr="00A02636">
              <w:rPr>
                <w:rFonts w:ascii="Palatino Linotype" w:hAnsi="Palatino Linotype"/>
                <w:iCs/>
                <w:color w:val="000000"/>
                <w:sz w:val="18"/>
                <w:szCs w:val="18"/>
                <w:lang w:val="en-US"/>
              </w:rPr>
              <w:t>B97X</w:t>
            </w:r>
          </w:p>
        </w:tc>
        <w:tc>
          <w:tcPr>
            <w:tcW w:w="1134" w:type="dxa"/>
            <w:tcBorders>
              <w:left w:val="single" w:sz="4" w:space="0" w:color="auto"/>
            </w:tcBorders>
            <w:vAlign w:val="center"/>
          </w:tcPr>
          <w:p w14:paraId="2AD33D53"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0.803</w:t>
            </w:r>
          </w:p>
        </w:tc>
        <w:tc>
          <w:tcPr>
            <w:tcW w:w="1134" w:type="dxa"/>
            <w:vAlign w:val="center"/>
          </w:tcPr>
          <w:p w14:paraId="04E4577F"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-0.571</w:t>
            </w:r>
          </w:p>
        </w:tc>
        <w:tc>
          <w:tcPr>
            <w:tcW w:w="1177" w:type="dxa"/>
            <w:vAlign w:val="center"/>
          </w:tcPr>
          <w:p w14:paraId="46FD5B68"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-0.712</w:t>
            </w:r>
          </w:p>
        </w:tc>
      </w:tr>
      <w:tr w:rsidR="0008687D" w:rsidRPr="00B750B0" w14:paraId="228A4C51" w14:textId="77777777" w:rsidTr="0008687D">
        <w:trPr>
          <w:trHeight w:val="288"/>
          <w:jc w:val="center"/>
        </w:trPr>
        <w:tc>
          <w:tcPr>
            <w:tcW w:w="1676" w:type="dxa"/>
            <w:tcBorders>
              <w:right w:val="single" w:sz="4" w:space="0" w:color="auto"/>
            </w:tcBorders>
            <w:vAlign w:val="center"/>
          </w:tcPr>
          <w:p w14:paraId="5D6CF025"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iCs/>
                <w:color w:val="000000"/>
                <w:sz w:val="18"/>
                <w:szCs w:val="18"/>
                <w:lang w:val="en-US"/>
              </w:rPr>
              <w:t>CAM-B3LYP</w:t>
            </w:r>
          </w:p>
        </w:tc>
        <w:tc>
          <w:tcPr>
            <w:tcW w:w="1134" w:type="dxa"/>
            <w:tcBorders>
              <w:left w:val="single" w:sz="4" w:space="0" w:color="auto"/>
            </w:tcBorders>
            <w:vAlign w:val="center"/>
          </w:tcPr>
          <w:p w14:paraId="7F5BC63A"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0.936</w:t>
            </w:r>
          </w:p>
        </w:tc>
        <w:tc>
          <w:tcPr>
            <w:tcW w:w="1134" w:type="dxa"/>
            <w:vAlign w:val="center"/>
          </w:tcPr>
          <w:p w14:paraId="7ED090A9"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-0.547</w:t>
            </w:r>
          </w:p>
        </w:tc>
        <w:tc>
          <w:tcPr>
            <w:tcW w:w="1177" w:type="dxa"/>
            <w:vAlign w:val="center"/>
          </w:tcPr>
          <w:p w14:paraId="224A96DC" w14:textId="77777777" w:rsidR="0008687D" w:rsidRPr="00A02636" w:rsidRDefault="0008687D" w:rsidP="00860CFA">
            <w:pPr>
              <w:jc w:val="center"/>
              <w:rPr>
                <w:rFonts w:ascii="Palatino Linotype" w:hAnsi="Palatino Linotype"/>
                <w:iCs/>
                <w:sz w:val="18"/>
                <w:szCs w:val="18"/>
                <w:lang w:val="en-US"/>
              </w:rPr>
            </w:pPr>
            <w:r w:rsidRPr="00A02636">
              <w:rPr>
                <w:rFonts w:ascii="Palatino Linotype" w:hAnsi="Palatino Linotype"/>
                <w:color w:val="000000"/>
                <w:sz w:val="18"/>
                <w:szCs w:val="18"/>
                <w:lang w:val="en-US"/>
              </w:rPr>
              <w:t>-0.584</w:t>
            </w:r>
          </w:p>
        </w:tc>
      </w:tr>
    </w:tbl>
    <w:p w14:paraId="3E423B8A" w14:textId="77777777" w:rsidR="00FB55BC" w:rsidRDefault="00FB55BC" w:rsidP="00FC01B0">
      <w:pPr>
        <w:pStyle w:val="TAMainText"/>
        <w:rPr>
          <w:b/>
          <w:bCs/>
        </w:rPr>
      </w:pPr>
    </w:p>
    <w:p w14:paraId="2B71A648" w14:textId="4827E9D4" w:rsidR="00FC01B0" w:rsidRPr="00617254" w:rsidRDefault="00B276B1" w:rsidP="00FC01B0">
      <w:pPr>
        <w:pStyle w:val="TAMainText"/>
        <w:rPr>
          <w:b/>
          <w:bCs/>
        </w:rPr>
      </w:pPr>
      <w:r w:rsidRPr="00617254">
        <w:rPr>
          <w:b/>
          <w:bCs/>
        </w:rPr>
        <w:t>Electric field inside a Cavity in a continuous medium</w:t>
      </w:r>
    </w:p>
    <w:p w14:paraId="4ABB5525" w14:textId="5016EE8E" w:rsidR="006D0CD1" w:rsidRPr="00D50B7F" w:rsidRDefault="006D0CD1" w:rsidP="00DE38C7">
      <w:pPr>
        <w:spacing w:line="480" w:lineRule="auto"/>
      </w:pPr>
      <w:r w:rsidRPr="00617254">
        <w:t xml:space="preserve">The distribution of </w:t>
      </w:r>
      <w:r w:rsidR="00EA1E42" w:rsidRPr="00D50B7F">
        <w:t>L</w:t>
      </w:r>
      <w:r w:rsidR="00EA1E42" w:rsidRPr="00017FBC">
        <w:rPr>
          <w:vertAlign w:val="subscript"/>
        </w:rPr>
        <w:t>3</w:t>
      </w:r>
      <w:r w:rsidRPr="00617254">
        <w:t>/</w:t>
      </w:r>
      <w:r w:rsidR="00EA1E42" w:rsidRPr="00EA1E42">
        <w:t xml:space="preserve"> </w:t>
      </w:r>
      <w:r w:rsidR="00EA1E42" w:rsidRPr="00D50B7F">
        <w:t>L</w:t>
      </w:r>
      <w:r w:rsidR="00EA1E42">
        <w:rPr>
          <w:vertAlign w:val="subscript"/>
        </w:rPr>
        <w:t>1</w:t>
      </w:r>
      <w:r w:rsidRPr="00617254">
        <w:t xml:space="preserve"> ratios obtained from the AFM is illustrated in Fig</w:t>
      </w:r>
      <w:r w:rsidR="00C1302B" w:rsidRPr="00617254">
        <w:t>. S</w:t>
      </w:r>
      <w:r w:rsidR="00CF7F83">
        <w:t>8</w:t>
      </w:r>
      <w:r w:rsidRPr="00617254">
        <w:t xml:space="preserve">. The data is used to compute </w:t>
      </w:r>
      <w:r w:rsidR="00803947" w:rsidRPr="00617254">
        <w:t>the</w:t>
      </w:r>
      <w:r w:rsidRPr="00617254">
        <w:t xml:space="preserve"> Maxwell electric field/cellulose electric field ratios</w:t>
      </w:r>
      <w:r w:rsidR="00407B62" w:rsidRPr="00617254">
        <w:t>, using</w:t>
      </w:r>
      <w:r w:rsidRPr="00617254">
        <w:t xml:space="preserve"> </w:t>
      </w:r>
      <w:proofErr w:type="spellStart"/>
      <w:r w:rsidR="00BC6284" w:rsidRPr="00617254">
        <w:t>eqn</w:t>
      </w:r>
      <w:proofErr w:type="spellEnd"/>
      <w:r w:rsidR="00BC6284" w:rsidRPr="00617254">
        <w:t xml:space="preserve"> (1</w:t>
      </w:r>
      <w:r w:rsidR="009B13B3">
        <w:t>0</w:t>
      </w:r>
      <w:r w:rsidR="00BC6284" w:rsidRPr="00617254">
        <w:t>)</w:t>
      </w:r>
      <w:r w:rsidRPr="00617254">
        <w:t xml:space="preserve">, along with the relative permittivity of water </w:t>
      </w:r>
      <w:proofErr w:type="spellStart"/>
      <w:r w:rsidRPr="00617254">
        <w:t>ε</w:t>
      </w:r>
      <w:r w:rsidRPr="00617254">
        <w:rPr>
          <w:vertAlign w:val="subscript"/>
        </w:rPr>
        <w:t>r</w:t>
      </w:r>
      <w:proofErr w:type="spellEnd"/>
      <w:r w:rsidRPr="00617254">
        <w:t xml:space="preserve"> = 1.7583 at 1064 nm, and the relative permittivity’s of </w:t>
      </w: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β</m:t>
            </m:r>
          </m:sub>
        </m:sSub>
      </m:oMath>
      <w:r w:rsidRPr="00617254">
        <w:rPr>
          <w:iCs/>
        </w:rPr>
        <w:t xml:space="preserve"> cellulose obtained from the quantum chemistry calculations</w:t>
      </w:r>
      <w:r w:rsidR="00617254" w:rsidRPr="00617254">
        <w:rPr>
          <w:iCs/>
        </w:rPr>
        <w:t xml:space="preserve"> from </w:t>
      </w:r>
      <w:proofErr w:type="spellStart"/>
      <w:r w:rsidR="00617254" w:rsidRPr="00617254">
        <w:rPr>
          <w:iCs/>
        </w:rPr>
        <w:t>eqn</w:t>
      </w:r>
      <w:proofErr w:type="spellEnd"/>
      <w:r w:rsidR="00617254" w:rsidRPr="00617254">
        <w:rPr>
          <w:iCs/>
        </w:rPr>
        <w:t xml:space="preserve"> (</w:t>
      </w:r>
      <w:r w:rsidR="000233DC">
        <w:rPr>
          <w:iCs/>
        </w:rPr>
        <w:t>6</w:t>
      </w:r>
      <w:r w:rsidR="00617254" w:rsidRPr="00617254">
        <w:rPr>
          <w:iCs/>
        </w:rPr>
        <w:t xml:space="preserve">). </w:t>
      </w:r>
      <w:r w:rsidRPr="00D50B7F">
        <w:t xml:space="preserve">In these, the </w:t>
      </w:r>
      <w:r w:rsidRPr="007D53FE">
        <w:rPr>
          <w:i/>
          <w:iCs/>
        </w:rPr>
        <w:t>L</w:t>
      </w:r>
      <w:r w:rsidRPr="007D53FE">
        <w:rPr>
          <w:i/>
          <w:iCs/>
          <w:vertAlign w:val="subscript"/>
        </w:rPr>
        <w:t>1</w:t>
      </w:r>
      <w:r w:rsidRPr="007D53FE">
        <w:rPr>
          <w:i/>
          <w:iCs/>
        </w:rPr>
        <w:t>, L</w:t>
      </w:r>
      <w:r w:rsidRPr="007D53FE">
        <w:rPr>
          <w:i/>
          <w:iCs/>
          <w:vertAlign w:val="subscript"/>
        </w:rPr>
        <w:t>2</w:t>
      </w:r>
      <w:r w:rsidRPr="00D50B7F">
        <w:t xml:space="preserve">, and </w:t>
      </w:r>
      <w:r w:rsidRPr="007D53FE">
        <w:rPr>
          <w:i/>
          <w:iCs/>
        </w:rPr>
        <w:t>L</w:t>
      </w:r>
      <w:r w:rsidRPr="007D53FE">
        <w:rPr>
          <w:i/>
          <w:iCs/>
          <w:vertAlign w:val="subscript"/>
        </w:rPr>
        <w:t>3</w:t>
      </w:r>
      <w:r w:rsidRPr="00D50B7F">
        <w:t xml:space="preserve"> axes of the CNC’s are associated with the x, y, and z directions, respectively. The electric field ratios are then used to scale the two first hyperpolarizability components of Table 3 for each XCF (and structure), from which </w:t>
      </w:r>
      <w:r w:rsidR="001B12F3" w:rsidRPr="00D50B7F">
        <w:t xml:space="preserve">scaled depolarization ratios and </w:t>
      </w:r>
      <m:oMath>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HRS</m:t>
            </m:r>
          </m:sub>
        </m:sSub>
      </m:oMath>
      <w:r w:rsidR="001B12F3" w:rsidRPr="00D50B7F">
        <w:rPr>
          <w:iCs/>
        </w:rPr>
        <w:t xml:space="preserve"> are obtained.</w:t>
      </w:r>
      <w:r w:rsidRPr="00D50B7F">
        <w:t xml:space="preserve"> All the results are weight averaged according to the distribution of </w:t>
      </w:r>
      <w:r w:rsidR="00D50B7F">
        <w:t>Fig.</w:t>
      </w:r>
      <w:r w:rsidR="00CF7F83">
        <w:t xml:space="preserve"> </w:t>
      </w:r>
      <w:r w:rsidR="000B7729">
        <w:t>S</w:t>
      </w:r>
      <w:r w:rsidR="007E187A">
        <w:t>8</w:t>
      </w:r>
      <w:r w:rsidRPr="00D50B7F">
        <w:t>. From t</w:t>
      </w:r>
      <w:r w:rsidR="00DD6E18">
        <w:t>he</w:t>
      </w:r>
      <w:r w:rsidRPr="00D50B7F">
        <w:t xml:space="preserve"> weighted distribution, standard deviations are also obtained. The details are shown in ESI.1</w:t>
      </w:r>
      <w:r w:rsidR="001844FE">
        <w:t>5</w:t>
      </w:r>
      <w:r w:rsidRPr="00D50B7F">
        <w:t>.</w:t>
      </w:r>
      <w:r w:rsidR="006C71A7">
        <w:fldChar w:fldCharType="begin" w:fldLock="1"/>
      </w:r>
      <w:r w:rsidR="00230CB5">
        <w:instrText>ADDIN CSL_CITATION {"citationItems":[{"id":"ITEM-1","itemData":{"author":[{"dropping-particle":"","family":"Böttcher","given":"Carl Johan Friedrich","non-dropping-particle":"","parse-names":false,"suffix":""}],"id":"ITEM-1","issued":{"date-parts":[["1973"]]},"publisher":"Elsevier Scientific Publishing Company","publisher-place":"New York","title":"Theory of Electric Polarization","type":"book"},"uris":["http://www.mendeley.com/documents/?uuid=6a5a1845-58f6-4a0e-a45f-f4342b3863b9"]},{"id":"ITEM-2","itemData":{"DOI":"10.3390/molecules27196240","ISSN":"1420-3049","abstract":"The phonon properties and thermodynamics of four crystalline cellulose allomorphs, Iα, Iβ, II, and III1, have been investigated using dispersion-corrected density functional theory (DFT). In line with experimental findings, the free energy differences between the studied cellulose allomorphs are small, less than 1 kJ/mol per atom. The calculated specific heat at constant volume (Cv) has been compared with the available experimental data in the temperature range 10–300 K. Quasiharmonic approximation has been employed to study thermodynamics and specific heat at constant pressure (Cp). For the studied temperature range of 10–400 K, the specific heat of all cellulose allomorphs shows very similar behavior. The calculated and experimental specific heat agree well at low temperatures below 100 K, but the deviation between theory and experiment increases with temperature. This may be due to increasing phonon anharmonicity as the temperature increases.","author":[{"dropping-particle":"","family":"Srivastava","given":"Divya","non-dropping-particle":"","parse-names":false,"suffix":""},{"dropping-particle":"","family":"Ahopelto","given":"Jouni","non-dropping-particle":"","parse-names":false,"suffix":""},{"dropping-particle":"","family":"Karttunen","given":"Antti J.","non-dropping-particle":"","parse-names":false,"suffix":""}],"container-title":"Molecules","id":"ITEM-2","issue":"19","issued":{"date-parts":[["2022","9","22"]]},"page":"6240","title":"Thermodynamic Properties of Crystalline Cellulose Allomorphs Studied with Dispersion-Corrected Density Functional Methods","type":"article-journal","volume":"27"},"uris":["http://www.mendeley.com/documents/?uuid=76d0c68c-28e8-4675-9006-e06e039e92e6"]}],"mendeley":{"formattedCitation":"&lt;sup&gt;50,57&lt;/sup&gt;","plainTextFormattedCitation":"50,57","previouslyFormattedCitation":"&lt;sup&gt;50,57&lt;/sup&gt;"},"properties":{"noteIndex":0},"schema":"https://github.com/citation-style-language/schema/raw/master/csl-citation.json"}</w:instrText>
      </w:r>
      <w:r w:rsidR="006C71A7">
        <w:fldChar w:fldCharType="separate"/>
      </w:r>
      <w:r w:rsidR="00D91D8C" w:rsidRPr="00D91D8C">
        <w:rPr>
          <w:noProof/>
          <w:vertAlign w:val="superscript"/>
        </w:rPr>
        <w:t>50,57</w:t>
      </w:r>
      <w:r w:rsidR="006C71A7">
        <w:fldChar w:fldCharType="end"/>
      </w:r>
    </w:p>
    <w:p w14:paraId="2FD0AF25" w14:textId="44FC9CF1" w:rsidR="00E06292" w:rsidRPr="0017194B" w:rsidRDefault="00E06292" w:rsidP="00DE38C7">
      <w:pPr>
        <w:spacing w:line="480" w:lineRule="auto"/>
      </w:pPr>
      <w:r w:rsidRPr="00056020">
        <w:rPr>
          <w:rFonts w:eastAsiaTheme="minorEastAsia"/>
        </w:rPr>
        <w:t>The</w:t>
      </w:r>
      <w:r w:rsidR="007B5650" w:rsidRPr="00056020">
        <w:rPr>
          <w:rFonts w:eastAsiaTheme="minorEastAsia"/>
        </w:rPr>
        <w:t xml:space="preserve"> </w:t>
      </w:r>
      <w:r w:rsidRPr="00056020">
        <w:rPr>
          <w:rFonts w:eastAsiaTheme="minorEastAsia"/>
        </w:rPr>
        <w:t>results</w:t>
      </w:r>
      <w:r w:rsidR="001E2EF5" w:rsidRPr="00056020">
        <w:rPr>
          <w:rFonts w:eastAsiaTheme="minorEastAsia"/>
        </w:rPr>
        <w:t xml:space="preserve"> </w:t>
      </w:r>
      <w:r w:rsidR="00531237" w:rsidRPr="00056020">
        <w:rPr>
          <w:rFonts w:eastAsiaTheme="minorEastAsia"/>
        </w:rPr>
        <w:t>listed</w:t>
      </w:r>
      <w:r w:rsidRPr="00056020">
        <w:rPr>
          <w:rFonts w:eastAsiaTheme="minorEastAsia"/>
        </w:rPr>
        <w:t xml:space="preserve"> in Table</w:t>
      </w:r>
      <w:r w:rsidR="006535D5">
        <w:rPr>
          <w:rFonts w:eastAsiaTheme="minorEastAsia"/>
        </w:rPr>
        <w:t>s</w:t>
      </w:r>
      <w:r w:rsidRPr="00056020">
        <w:rPr>
          <w:rFonts w:eastAsiaTheme="minorEastAsia"/>
        </w:rPr>
        <w:t xml:space="preserve"> </w:t>
      </w:r>
      <w:r w:rsidR="006535D5">
        <w:rPr>
          <w:rFonts w:eastAsiaTheme="minorEastAsia"/>
        </w:rPr>
        <w:t>S8</w:t>
      </w:r>
      <w:r w:rsidR="00376F58" w:rsidRPr="00056020">
        <w:rPr>
          <w:rFonts w:eastAsiaTheme="minorEastAsia"/>
        </w:rPr>
        <w:t xml:space="preserve"> </w:t>
      </w:r>
      <w:r w:rsidR="006535D5">
        <w:rPr>
          <w:rFonts w:eastAsiaTheme="minorEastAsia"/>
        </w:rPr>
        <w:t xml:space="preserve">and S9 </w:t>
      </w:r>
      <w:r w:rsidR="00376F58" w:rsidRPr="00056020">
        <w:rPr>
          <w:rFonts w:eastAsiaTheme="minorEastAsia"/>
        </w:rPr>
        <w:t xml:space="preserve">show </w:t>
      </w:r>
      <w:r w:rsidRPr="00056020">
        <w:rPr>
          <w:rFonts w:eastAsiaTheme="minorEastAsia"/>
        </w:rPr>
        <w:t xml:space="preserve">that </w:t>
      </w:r>
      <w:proofErr w:type="spellStart"/>
      <w:r w:rsidR="001E2EF5" w:rsidRPr="00056020">
        <w:rPr>
          <w:rFonts w:eastAsiaTheme="minorEastAsia"/>
        </w:rPr>
        <w:t>i</w:t>
      </w:r>
      <w:proofErr w:type="spellEnd"/>
      <w:r w:rsidR="001E2EF5" w:rsidRPr="00056020">
        <w:rPr>
          <w:rFonts w:eastAsiaTheme="minorEastAsia"/>
        </w:rPr>
        <w:t xml:space="preserve">) the field inside the cavity and the Maxwell field are almost identical when the field is polarized along the z direction but that ii) the field inside the cavity is 10 to 20% smaller than the Maxwell field when the field is polarized perpendicularly to the nanocrystal long axis. </w:t>
      </w:r>
      <w:r w:rsidR="00960ECF" w:rsidRPr="00056020">
        <w:rPr>
          <w:rFonts w:eastAsiaTheme="minorEastAsia"/>
        </w:rPr>
        <w:t xml:space="preserve">As a matter of </w:t>
      </w:r>
      <w:r w:rsidR="00960ECF" w:rsidRPr="00056020">
        <w:rPr>
          <w:rFonts w:eastAsiaTheme="minorEastAsia"/>
          <w:szCs w:val="24"/>
        </w:rPr>
        <w:t>fact</w:t>
      </w:r>
      <w:r w:rsidR="009B2BD6" w:rsidRPr="00056020">
        <w:rPr>
          <w:rFonts w:eastAsiaTheme="minorEastAsia"/>
          <w:szCs w:val="24"/>
        </w:rPr>
        <w:t>, the</w:t>
      </w:r>
      <w:r w:rsidR="00960ECF" w:rsidRPr="00056020">
        <w:rPr>
          <w:rFonts w:eastAsiaTheme="minorEastAsia"/>
          <w:szCs w:val="24"/>
        </w:rPr>
        <w:t xml:space="preserve"> scaled</w:t>
      </w:r>
      <w:r w:rsidR="009B2BD6" w:rsidRPr="00056020">
        <w:rPr>
          <w:rFonts w:eastAsiaTheme="minorEastAsia"/>
          <w:szCs w:val="24"/>
        </w:rPr>
        <w:t xml:space="preserve"> </w:t>
      </w:r>
      <m:oMath>
        <m:sSub>
          <m:sSubPr>
            <m:ctrlPr>
              <w:rPr>
                <w:rFonts w:ascii="Cambria Math" w:hAnsi="Cambria Math"/>
                <w:szCs w:val="24"/>
              </w:rPr>
            </m:ctrlPr>
          </m:sSubPr>
          <m:e>
            <m:r>
              <w:rPr>
                <w:rFonts w:ascii="Cambria Math" w:hAnsi="Cambria Math"/>
                <w:szCs w:val="24"/>
              </w:rPr>
              <m:t>β</m:t>
            </m:r>
          </m:e>
          <m:sub>
            <m:r>
              <w:rPr>
                <w:rFonts w:ascii="Cambria Math" w:hAnsi="Cambria Math"/>
                <w:szCs w:val="24"/>
              </w:rPr>
              <m:t>zyy</m:t>
            </m:r>
          </m:sub>
        </m:sSub>
      </m:oMath>
      <w:r w:rsidR="00960ECF" w:rsidRPr="00056020">
        <w:rPr>
          <w:szCs w:val="24"/>
        </w:rPr>
        <w:t xml:space="preserve"> tensor components are smaller than the unit cell values, and subsequently the </w:t>
      </w:r>
      <w:r w:rsidR="00960ECF" w:rsidRPr="007D53FE">
        <w:rPr>
          <w:i/>
          <w:iCs/>
          <w:szCs w:val="24"/>
        </w:rPr>
        <w:t>R</w:t>
      </w:r>
      <w:r w:rsidR="00960ECF" w:rsidRPr="00056020">
        <w:rPr>
          <w:szCs w:val="24"/>
        </w:rPr>
        <w:t xml:space="preserve"> ratio is also reduced</w:t>
      </w:r>
      <w:r w:rsidR="006535D5">
        <w:rPr>
          <w:szCs w:val="24"/>
        </w:rPr>
        <w:t xml:space="preserve"> (</w:t>
      </w:r>
      <w:r w:rsidR="006535D5" w:rsidRPr="00056020">
        <w:rPr>
          <w:rFonts w:eastAsiaTheme="minorEastAsia"/>
        </w:rPr>
        <w:t>Table 4</w:t>
      </w:r>
      <w:r w:rsidR="006535D5">
        <w:rPr>
          <w:szCs w:val="24"/>
        </w:rPr>
        <w:t>)</w:t>
      </w:r>
      <w:r w:rsidR="00960ECF" w:rsidRPr="00056020">
        <w:rPr>
          <w:szCs w:val="24"/>
        </w:rPr>
        <w:t xml:space="preserve">. On this basis, the </w:t>
      </w:r>
      <m:oMath>
        <m:sSub>
          <m:sSubPr>
            <m:ctrlPr>
              <w:rPr>
                <w:rFonts w:ascii="Cambria Math" w:hAnsi="Cambria Math"/>
                <w:iCs/>
                <w:szCs w:val="24"/>
              </w:rPr>
            </m:ctrlPr>
          </m:sSubPr>
          <m:e>
            <m:r>
              <m:rPr>
                <m:sty m:val="p"/>
              </m:rPr>
              <w:rPr>
                <w:rFonts w:ascii="Cambria Math" w:hAnsi="Cambria Math"/>
                <w:szCs w:val="24"/>
              </w:rPr>
              <m:t>β</m:t>
            </m:r>
          </m:e>
          <m:sub>
            <m:r>
              <m:rPr>
                <m:sty m:val="p"/>
              </m:rPr>
              <w:rPr>
                <w:rFonts w:ascii="Cambria Math" w:hAnsi="Cambria Math"/>
                <w:szCs w:val="24"/>
              </w:rPr>
              <m:t>HRS,scaled</m:t>
            </m:r>
          </m:sub>
        </m:sSub>
      </m:oMath>
      <w:r w:rsidR="00960ECF" w:rsidRPr="00056020">
        <w:rPr>
          <w:iCs/>
          <w:szCs w:val="24"/>
        </w:rPr>
        <w:t xml:space="preserve"> and </w:t>
      </w:r>
      <m:oMath>
        <m:sSub>
          <m:sSubPr>
            <m:ctrlPr>
              <w:rPr>
                <w:rFonts w:ascii="Cambria Math" w:hAnsi="Cambria Math"/>
                <w:iCs/>
                <w:szCs w:val="24"/>
              </w:rPr>
            </m:ctrlPr>
          </m:sSubPr>
          <m:e>
            <m:r>
              <m:rPr>
                <m:sty m:val="p"/>
              </m:rPr>
              <w:rPr>
                <w:rFonts w:ascii="Cambria Math" w:hAnsi="Cambria Math"/>
                <w:szCs w:val="24"/>
              </w:rPr>
              <m:t>DR</m:t>
            </m:r>
          </m:e>
          <m:sub>
            <m:r>
              <m:rPr>
                <m:sty m:val="p"/>
              </m:rPr>
              <w:rPr>
                <w:rFonts w:ascii="Cambria Math" w:hAnsi="Cambria Math"/>
                <w:szCs w:val="24"/>
              </w:rPr>
              <m:t>scaled</m:t>
            </m:r>
          </m:sub>
        </m:sSub>
      </m:oMath>
      <w:r w:rsidR="00960ECF" w:rsidRPr="00056020">
        <w:rPr>
          <w:iCs/>
          <w:szCs w:val="24"/>
        </w:rPr>
        <w:t xml:space="preserve"> quantities have been recomputed. It is noticeable that these scaled </w:t>
      </w:r>
      <w:r w:rsidRPr="00056020">
        <w:rPr>
          <w:rFonts w:eastAsiaTheme="minorEastAsia"/>
        </w:rPr>
        <w:t xml:space="preserve">first hyperpolarizability components allow to get </w:t>
      </w:r>
      <m:oMath>
        <m:r>
          <m:rPr>
            <m:sty m:val="p"/>
          </m:rPr>
          <w:rPr>
            <w:rFonts w:ascii="Cambria Math" w:hAnsi="Cambria Math"/>
          </w:rPr>
          <m:t>DR</m:t>
        </m:r>
      </m:oMath>
      <w:r w:rsidRPr="00056020">
        <w:rPr>
          <w:rFonts w:eastAsiaTheme="minorEastAsia"/>
        </w:rPr>
        <w:t xml:space="preserve"> closer to the experimental </w:t>
      </w:r>
      <w:r w:rsidR="007B5650" w:rsidRPr="00056020">
        <w:rPr>
          <w:rFonts w:eastAsiaTheme="minorEastAsia"/>
        </w:rPr>
        <w:t>value</w:t>
      </w:r>
      <w:r w:rsidRPr="00056020">
        <w:rPr>
          <w:rFonts w:eastAsiaTheme="minorEastAsia"/>
        </w:rPr>
        <w:t xml:space="preserve"> (</w:t>
      </w:r>
      <w:r w:rsidR="00BA3698" w:rsidRPr="00056020">
        <w:rPr>
          <w:rFonts w:eastAsiaTheme="minorEastAsia"/>
        </w:rPr>
        <w:t>3.1 ± 0.</w:t>
      </w:r>
      <w:r w:rsidR="002B1F8A">
        <w:rPr>
          <w:rFonts w:eastAsiaTheme="minorEastAsia"/>
        </w:rPr>
        <w:t>7</w:t>
      </w:r>
      <w:r w:rsidRPr="00056020">
        <w:rPr>
          <w:rFonts w:eastAsiaTheme="minorEastAsia"/>
          <w:color w:val="000000"/>
        </w:rPr>
        <w:t>)</w:t>
      </w:r>
      <w:r w:rsidR="00C80945" w:rsidRPr="00056020">
        <w:rPr>
          <w:rFonts w:eastAsiaTheme="minorEastAsia"/>
          <w:color w:val="000000"/>
        </w:rPr>
        <w:t>. Specifically</w:t>
      </w:r>
      <w:r w:rsidRPr="00056020">
        <w:rPr>
          <w:rFonts w:eastAsiaTheme="minorEastAsia"/>
          <w:color w:val="000000"/>
        </w:rPr>
        <w:t xml:space="preserve"> in the</w:t>
      </w:r>
      <w:r w:rsidR="00C80945" w:rsidRPr="00056020">
        <w:rPr>
          <w:rFonts w:eastAsiaTheme="minorEastAsia"/>
          <w:color w:val="000000"/>
        </w:rPr>
        <w:t xml:space="preserve"> case of</w:t>
      </w:r>
      <w:r w:rsidRPr="00056020">
        <w:rPr>
          <w:rFonts w:eastAsiaTheme="minorEastAsia"/>
          <w:color w:val="000000"/>
        </w:rPr>
        <w:t xml:space="preserve"> LC-BLYP20 (optimized structure)</w:t>
      </w:r>
      <w:r w:rsidR="007C59D5" w:rsidRPr="00056020">
        <w:rPr>
          <w:rFonts w:eastAsiaTheme="minorEastAsia"/>
          <w:color w:val="000000"/>
        </w:rPr>
        <w:t xml:space="preserve">, </w:t>
      </w:r>
      <w:r w:rsidR="00061B9C" w:rsidRPr="00056020">
        <w:rPr>
          <w:rFonts w:eastAsiaTheme="minorEastAsia"/>
          <w:color w:val="000000"/>
        </w:rPr>
        <w:t xml:space="preserve">the results fall within the </w:t>
      </w:r>
      <w:r w:rsidR="00061B9C" w:rsidRPr="00056020">
        <w:rPr>
          <w:rFonts w:eastAsiaTheme="minorEastAsia"/>
          <w:color w:val="000000"/>
        </w:rPr>
        <w:lastRenderedPageBreak/>
        <w:t>experimental uncertainty range</w:t>
      </w:r>
      <w:r w:rsidR="00017FBC">
        <w:rPr>
          <w:rFonts w:eastAsiaTheme="minorEastAsia"/>
          <w:color w:val="000000"/>
        </w:rPr>
        <w:t xml:space="preserve"> of </w:t>
      </w:r>
      <w:r w:rsidR="00F07503">
        <w:rPr>
          <w:rFonts w:eastAsiaTheme="minorEastAsia"/>
          <w:color w:val="000000"/>
        </w:rPr>
        <w:t xml:space="preserve">one standard deviation. </w:t>
      </w:r>
      <w:r w:rsidRPr="00056020">
        <w:rPr>
          <w:rFonts w:eastAsiaTheme="minorEastAsia"/>
          <w:color w:val="000000"/>
        </w:rPr>
        <w:t xml:space="preserve">The </w:t>
      </w:r>
      <m:oMath>
        <m:sSub>
          <m:sSubPr>
            <m:ctrlPr>
              <w:rPr>
                <w:rFonts w:ascii="Cambria Math" w:hAnsi="Cambria Math" w:cs="Segoe UI"/>
              </w:rPr>
            </m:ctrlPr>
          </m:sSubPr>
          <m:e>
            <m:r>
              <m:rPr>
                <m:sty m:val="p"/>
              </m:rPr>
              <w:rPr>
                <w:rFonts w:ascii="Cambria Math" w:hAnsi="Cambria Math" w:cs="Segoe UI"/>
              </w:rPr>
              <m:t>β</m:t>
            </m:r>
          </m:e>
          <m:sub>
            <m:r>
              <m:rPr>
                <m:sty m:val="p"/>
              </m:rPr>
              <w:rPr>
                <w:rFonts w:ascii="Cambria Math" w:hAnsi="Cambria Math" w:cs="Segoe UI"/>
              </w:rPr>
              <m:t>HRS</m:t>
            </m:r>
          </m:sub>
        </m:sSub>
      </m:oMath>
      <w:r w:rsidRPr="00056020">
        <w:rPr>
          <w:rFonts w:eastAsiaTheme="minorEastAsia"/>
        </w:rPr>
        <w:t xml:space="preserve"> are a</w:t>
      </w:r>
      <w:r w:rsidR="00F6562A" w:rsidRPr="00056020">
        <w:rPr>
          <w:rFonts w:eastAsiaTheme="minorEastAsia"/>
        </w:rPr>
        <w:t>lso</w:t>
      </w:r>
      <w:r w:rsidRPr="00056020">
        <w:rPr>
          <w:rFonts w:eastAsiaTheme="minorEastAsia"/>
        </w:rPr>
        <w:t xml:space="preserve"> </w:t>
      </w:r>
      <w:r w:rsidR="009A1FE1">
        <w:rPr>
          <w:rFonts w:eastAsiaTheme="minorEastAsia"/>
        </w:rPr>
        <w:t>slightly</w:t>
      </w:r>
      <w:r w:rsidR="009A1FE1" w:rsidRPr="00056020">
        <w:rPr>
          <w:rFonts w:eastAsiaTheme="minorEastAsia"/>
        </w:rPr>
        <w:t xml:space="preserve"> </w:t>
      </w:r>
      <w:r w:rsidRPr="00056020">
        <w:rPr>
          <w:rFonts w:eastAsiaTheme="minorEastAsia"/>
        </w:rPr>
        <w:t>lower after the scaling</w:t>
      </w:r>
      <w:r w:rsidR="00D44B36">
        <w:rPr>
          <w:rFonts w:eastAsiaTheme="minorEastAsia"/>
        </w:rPr>
        <w:t>,</w:t>
      </w:r>
      <w:r w:rsidR="00F6562A" w:rsidRPr="00056020">
        <w:rPr>
          <w:rFonts w:eastAsiaTheme="minorEastAsia"/>
        </w:rPr>
        <w:t xml:space="preserve"> bringing them closer to the experimental value. </w:t>
      </w:r>
      <w:r w:rsidR="00D44B36" w:rsidRPr="00056020">
        <w:rPr>
          <w:rFonts w:eastAsiaTheme="minorEastAsia"/>
        </w:rPr>
        <w:t>However,</w:t>
      </w:r>
      <w:r w:rsidRPr="00056020">
        <w:rPr>
          <w:rFonts w:eastAsiaTheme="minorEastAsia"/>
        </w:rPr>
        <w:t xml:space="preserve"> </w:t>
      </w:r>
      <w:r w:rsidR="000B1CF5" w:rsidRPr="00056020">
        <w:rPr>
          <w:rFonts w:eastAsiaTheme="minorEastAsia"/>
        </w:rPr>
        <w:t xml:space="preserve">in all case, we are </w:t>
      </w:r>
      <w:r w:rsidR="003976E1" w:rsidRPr="00056020">
        <w:rPr>
          <w:rFonts w:eastAsiaTheme="minorEastAsia"/>
        </w:rPr>
        <w:t xml:space="preserve">still </w:t>
      </w:r>
      <w:r w:rsidR="00D44B36">
        <w:rPr>
          <w:rFonts w:eastAsiaTheme="minorEastAsia"/>
        </w:rPr>
        <w:t>above</w:t>
      </w:r>
      <w:r w:rsidR="00D44B36" w:rsidRPr="00056020">
        <w:rPr>
          <w:rFonts w:eastAsiaTheme="minorEastAsia"/>
        </w:rPr>
        <w:t xml:space="preserve"> </w:t>
      </w:r>
      <w:r w:rsidRPr="00056020">
        <w:rPr>
          <w:rFonts w:eastAsiaTheme="minorEastAsia"/>
        </w:rPr>
        <w:t xml:space="preserve">the experimental </w:t>
      </w:r>
      <w:r w:rsidR="004F19B9" w:rsidRPr="00056020">
        <w:rPr>
          <w:rFonts w:eastAsiaTheme="minorEastAsia"/>
        </w:rPr>
        <w:t>value</w:t>
      </w:r>
      <w:r w:rsidRPr="00056020">
        <w:rPr>
          <w:rFonts w:eastAsiaTheme="minorEastAsia"/>
        </w:rPr>
        <w:t xml:space="preserve"> (</w:t>
      </w:r>
      <m:oMath>
        <m:r>
          <m:rPr>
            <m:sty m:val="p"/>
          </m:rPr>
          <w:rPr>
            <w:rFonts w:ascii="Cambria Math" w:hAnsi="Cambria Math"/>
          </w:rPr>
          <m:t>0.193± 0.011×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-30</m:t>
            </m:r>
          </m:sup>
        </m:sSup>
        <m:r>
          <m:rPr>
            <m:sty m:val="p"/>
          </m:rPr>
          <w:rPr>
            <w:rFonts w:ascii="Cambria Math" w:hAnsi="Cambria Math"/>
          </w:rPr>
          <m:t xml:space="preserve"> </m:t>
        </m:r>
        <m:r>
          <w:rPr>
            <w:rFonts w:ascii="Cambria Math" w:hAnsi="Cambria Math"/>
          </w:rPr>
          <m:t>esu</m:t>
        </m:r>
      </m:oMath>
      <w:r w:rsidRPr="00056020">
        <w:rPr>
          <w:rFonts w:eastAsiaTheme="minorEastAsia"/>
        </w:rPr>
        <w:t>).</w:t>
      </w:r>
    </w:p>
    <w:p w14:paraId="64EFDF38" w14:textId="77777777" w:rsidR="00FC01B0" w:rsidRDefault="00FC01B0">
      <w:pPr>
        <w:spacing w:after="0"/>
        <w:jc w:val="left"/>
      </w:pPr>
    </w:p>
    <w:p w14:paraId="2CA4C055" w14:textId="15E7E037" w:rsidR="00FC01B0" w:rsidRPr="00B750B0" w:rsidRDefault="00FC01B0" w:rsidP="00F92BF9">
      <w:pPr>
        <w:pStyle w:val="VAFigureCaption"/>
      </w:pPr>
      <w:r w:rsidRPr="00F92BF9">
        <w:rPr>
          <w:b/>
          <w:bCs/>
        </w:rPr>
        <w:t>Table</w:t>
      </w:r>
      <w:r w:rsidR="00F92BF9">
        <w:rPr>
          <w:b/>
          <w:bCs/>
        </w:rPr>
        <w:t xml:space="preserve"> </w:t>
      </w:r>
      <w:r w:rsidR="001B12F3">
        <w:rPr>
          <w:b/>
          <w:bCs/>
        </w:rPr>
        <w:t>4</w:t>
      </w:r>
      <w:r w:rsidR="00F92BF9">
        <w:t>:</w:t>
      </w:r>
      <w:r w:rsidRPr="00B750B0">
        <w:t xml:space="preserve"> Averaged nonlinear optical quantities computed from the scaled </w:t>
      </w:r>
      <m:oMath>
        <m:sSub>
          <m:sSubPr>
            <m:ctrlPr>
              <w:rPr>
                <w:rFonts w:ascii="Cambria Math" w:hAnsi="Cambria Math"/>
              </w:rPr>
            </m:ctrlPr>
          </m:sSubPr>
          <m:e>
            <m:r>
              <w:rPr>
                <w:rFonts w:ascii="Cambria Math" w:hAnsi="Cambria Math"/>
              </w:rPr>
              <m:t>β</m:t>
            </m:r>
          </m:e>
          <m:sub>
            <m:r>
              <w:rPr>
                <w:rFonts w:ascii="Cambria Math" w:hAnsi="Cambria Math"/>
              </w:rPr>
              <m:t>zyy</m:t>
            </m:r>
          </m:sub>
        </m:sSub>
      </m:oMath>
      <w:r w:rsidRPr="00B750B0">
        <w:t xml:space="preserve"> and </w:t>
      </w:r>
      <m:oMath>
        <m:sSub>
          <m:sSubPr>
            <m:ctrlPr>
              <w:rPr>
                <w:rFonts w:ascii="Cambria Math" w:hAnsi="Cambria Math"/>
              </w:rPr>
            </m:ctrlPr>
          </m:sSubPr>
          <m:e>
            <m:r>
              <w:rPr>
                <w:rFonts w:ascii="Cambria Math" w:hAnsi="Cambria Math"/>
              </w:rPr>
              <m:t>β</m:t>
            </m:r>
          </m:e>
          <m:sub>
            <m:r>
              <w:rPr>
                <w:rFonts w:ascii="Cambria Math" w:hAnsi="Cambria Math"/>
              </w:rPr>
              <m:t>zzz</m:t>
            </m:r>
          </m:sub>
        </m:sSub>
      </m:oMath>
      <w:r w:rsidRPr="00B750B0">
        <w:t xml:space="preserve"> for various XCFs, in 10</w:t>
      </w:r>
      <w:r w:rsidRPr="00B750B0">
        <w:rPr>
          <w:vertAlign w:val="superscript"/>
        </w:rPr>
        <w:t>-30</w:t>
      </w:r>
      <w:r w:rsidRPr="00B750B0">
        <w:t xml:space="preserve"> esu (B convention)</w:t>
      </w:r>
    </w:p>
    <w:tbl>
      <w:tblPr>
        <w:tblStyle w:val="TableGrid"/>
        <w:tblW w:w="1020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342"/>
        <w:gridCol w:w="1351"/>
        <w:gridCol w:w="1418"/>
        <w:gridCol w:w="1417"/>
        <w:gridCol w:w="1418"/>
        <w:gridCol w:w="1417"/>
      </w:tblGrid>
      <w:tr w:rsidR="00FC01B0" w:rsidRPr="00B750B0" w14:paraId="0828DDCF" w14:textId="77777777">
        <w:trPr>
          <w:jc w:val="center"/>
        </w:trPr>
        <w:tc>
          <w:tcPr>
            <w:tcW w:w="1843" w:type="dxa"/>
            <w:tcBorders>
              <w:top w:val="single" w:sz="4" w:space="0" w:color="auto"/>
              <w:bottom w:val="single" w:sz="4" w:space="0" w:color="auto"/>
              <w:right w:val="single" w:sz="4" w:space="0" w:color="auto"/>
            </w:tcBorders>
            <w:vAlign w:val="center"/>
          </w:tcPr>
          <w:p w14:paraId="47734BB4" w14:textId="77777777" w:rsidR="00FC01B0" w:rsidRPr="00B750B0" w:rsidRDefault="00FC01B0">
            <w:pPr>
              <w:jc w:val="center"/>
              <w:rPr>
                <w:rFonts w:ascii="Palatino Linotype" w:eastAsiaTheme="minorEastAsia" w:hAnsi="Palatino Linotype"/>
                <w:iCs/>
                <w:sz w:val="20"/>
                <w:szCs w:val="20"/>
                <w:lang w:val="en-US"/>
              </w:rPr>
            </w:pPr>
          </w:p>
        </w:tc>
        <w:tc>
          <w:tcPr>
            <w:tcW w:w="1342" w:type="dxa"/>
            <w:tcBorders>
              <w:top w:val="single" w:sz="4" w:space="0" w:color="auto"/>
              <w:left w:val="single" w:sz="4" w:space="0" w:color="auto"/>
              <w:bottom w:val="single" w:sz="4" w:space="0" w:color="auto"/>
            </w:tcBorders>
            <w:vAlign w:val="center"/>
          </w:tcPr>
          <w:p w14:paraId="2D2C1587" w14:textId="77777777" w:rsidR="00FC01B0" w:rsidRPr="00B750B0" w:rsidRDefault="00FC01B0">
            <w:pPr>
              <w:jc w:val="center"/>
              <w:rPr>
                <w:rFonts w:ascii="Palatino Linotype" w:eastAsiaTheme="minorEastAsia" w:hAnsi="Palatino Linotype"/>
                <w:iCs/>
                <w:sz w:val="20"/>
                <w:szCs w:val="20"/>
                <w:lang w:val="en-US"/>
              </w:rPr>
            </w:pPr>
            <w:r w:rsidRPr="00B750B0">
              <w:rPr>
                <w:rFonts w:ascii="Palatino Linotype" w:hAnsi="Palatino Linotype"/>
                <w:iCs/>
                <w:sz w:val="20"/>
                <w:szCs w:val="20"/>
                <w:lang w:val="en-US"/>
              </w:rPr>
              <w:t>LC-BLYP20 (optimized)</w:t>
            </w:r>
          </w:p>
        </w:tc>
        <w:tc>
          <w:tcPr>
            <w:tcW w:w="1351" w:type="dxa"/>
            <w:tcBorders>
              <w:top w:val="single" w:sz="4" w:space="0" w:color="auto"/>
              <w:bottom w:val="single" w:sz="4" w:space="0" w:color="auto"/>
            </w:tcBorders>
            <w:vAlign w:val="center"/>
          </w:tcPr>
          <w:p w14:paraId="0F42AD6B" w14:textId="77777777" w:rsidR="00FC01B0" w:rsidRPr="00B750B0" w:rsidRDefault="00FC01B0">
            <w:pPr>
              <w:jc w:val="center"/>
              <w:rPr>
                <w:rFonts w:ascii="Palatino Linotype" w:eastAsiaTheme="minorEastAsia" w:hAnsi="Palatino Linotype"/>
                <w:iCs/>
                <w:sz w:val="20"/>
                <w:szCs w:val="20"/>
                <w:lang w:val="en-US"/>
              </w:rPr>
            </w:pPr>
            <w:r w:rsidRPr="00B750B0">
              <w:rPr>
                <w:rFonts w:ascii="Palatino Linotype" w:hAnsi="Palatino Linotype"/>
                <w:iCs/>
                <w:sz w:val="20"/>
                <w:szCs w:val="20"/>
                <w:lang w:val="en-US"/>
              </w:rPr>
              <w:t>LC-BLYP20</w:t>
            </w:r>
          </w:p>
        </w:tc>
        <w:tc>
          <w:tcPr>
            <w:tcW w:w="1418" w:type="dxa"/>
            <w:tcBorders>
              <w:top w:val="single" w:sz="4" w:space="0" w:color="auto"/>
              <w:bottom w:val="single" w:sz="4" w:space="0" w:color="auto"/>
            </w:tcBorders>
            <w:vAlign w:val="center"/>
          </w:tcPr>
          <w:p w14:paraId="0C039F64" w14:textId="77777777" w:rsidR="00FC01B0" w:rsidRPr="00B750B0" w:rsidRDefault="00FC01B0">
            <w:pPr>
              <w:jc w:val="center"/>
              <w:rPr>
                <w:rFonts w:ascii="Palatino Linotype" w:eastAsiaTheme="minorEastAsia" w:hAnsi="Palatino Linotype"/>
                <w:iCs/>
                <w:sz w:val="20"/>
                <w:szCs w:val="20"/>
                <w:lang w:val="en-US"/>
              </w:rPr>
            </w:pPr>
            <w:r w:rsidRPr="00B750B0">
              <w:rPr>
                <w:rFonts w:ascii="Palatino Linotype" w:hAnsi="Palatino Linotype"/>
                <w:iCs/>
                <w:sz w:val="20"/>
                <w:szCs w:val="20"/>
                <w:lang w:val="en-US"/>
              </w:rPr>
              <w:t>LC-BLYP30</w:t>
            </w:r>
          </w:p>
        </w:tc>
        <w:tc>
          <w:tcPr>
            <w:tcW w:w="1417" w:type="dxa"/>
            <w:tcBorders>
              <w:top w:val="single" w:sz="4" w:space="0" w:color="auto"/>
              <w:bottom w:val="single" w:sz="4" w:space="0" w:color="auto"/>
            </w:tcBorders>
            <w:vAlign w:val="center"/>
          </w:tcPr>
          <w:p w14:paraId="020677AE" w14:textId="77777777" w:rsidR="00FC01B0" w:rsidRPr="00B750B0" w:rsidRDefault="00FC01B0">
            <w:pPr>
              <w:jc w:val="center"/>
              <w:rPr>
                <w:rFonts w:ascii="Palatino Linotype" w:eastAsiaTheme="minorEastAsia" w:hAnsi="Palatino Linotype"/>
                <w:iCs/>
                <w:sz w:val="20"/>
                <w:szCs w:val="20"/>
                <w:lang w:val="en-US"/>
              </w:rPr>
            </w:pPr>
            <w:r w:rsidRPr="00B750B0">
              <w:rPr>
                <w:rFonts w:ascii="Palatino Linotype" w:hAnsi="Palatino Linotype"/>
                <w:iCs/>
                <w:sz w:val="20"/>
                <w:szCs w:val="20"/>
                <w:lang w:val="en-US"/>
              </w:rPr>
              <w:t>LC-BLYP40</w:t>
            </w:r>
          </w:p>
        </w:tc>
        <w:tc>
          <w:tcPr>
            <w:tcW w:w="1418" w:type="dxa"/>
            <w:tcBorders>
              <w:top w:val="single" w:sz="4" w:space="0" w:color="auto"/>
              <w:bottom w:val="single" w:sz="4" w:space="0" w:color="auto"/>
            </w:tcBorders>
            <w:vAlign w:val="center"/>
          </w:tcPr>
          <w:p w14:paraId="4D29F21A" w14:textId="77777777" w:rsidR="00FC01B0" w:rsidRPr="00B750B0" w:rsidRDefault="00FC01B0">
            <w:pPr>
              <w:jc w:val="center"/>
              <w:rPr>
                <w:rFonts w:ascii="Palatino Linotype" w:eastAsiaTheme="minorEastAsia" w:hAnsi="Palatino Linotype"/>
                <w:iCs/>
                <w:sz w:val="20"/>
                <w:szCs w:val="20"/>
                <w:lang w:val="en-US"/>
              </w:rPr>
            </w:pPr>
            <m:oMath>
              <m:r>
                <m:rPr>
                  <m:sty m:val="p"/>
                </m:rPr>
                <w:rPr>
                  <w:rFonts w:ascii="Cambria Math" w:hAnsi="Cambria Math"/>
                  <w:sz w:val="20"/>
                  <w:szCs w:val="20"/>
                  <w:lang w:val="en-US"/>
                </w:rPr>
                <m:t>ω</m:t>
              </m:r>
            </m:oMath>
            <w:r w:rsidRPr="00B750B0">
              <w:rPr>
                <w:rFonts w:ascii="Palatino Linotype" w:eastAsiaTheme="minorEastAsia" w:hAnsi="Palatino Linotype"/>
                <w:iCs/>
                <w:sz w:val="20"/>
                <w:szCs w:val="20"/>
                <w:lang w:val="en-US"/>
              </w:rPr>
              <w:t>B97X</w:t>
            </w:r>
          </w:p>
        </w:tc>
        <w:tc>
          <w:tcPr>
            <w:tcW w:w="1417" w:type="dxa"/>
            <w:tcBorders>
              <w:top w:val="single" w:sz="4" w:space="0" w:color="auto"/>
              <w:bottom w:val="single" w:sz="4" w:space="0" w:color="auto"/>
            </w:tcBorders>
            <w:vAlign w:val="center"/>
          </w:tcPr>
          <w:p w14:paraId="5D39A983" w14:textId="77777777" w:rsidR="00FC01B0" w:rsidRPr="00B750B0" w:rsidRDefault="00FC01B0">
            <w:pPr>
              <w:jc w:val="center"/>
              <w:rPr>
                <w:rFonts w:ascii="Palatino Linotype" w:eastAsiaTheme="minorEastAsia" w:hAnsi="Palatino Linotype"/>
                <w:iCs/>
                <w:sz w:val="20"/>
                <w:szCs w:val="20"/>
                <w:lang w:val="en-US"/>
              </w:rPr>
            </w:pPr>
            <w:r w:rsidRPr="00B750B0">
              <w:rPr>
                <w:rFonts w:ascii="Palatino Linotype" w:hAnsi="Palatino Linotype"/>
                <w:iCs/>
                <w:sz w:val="20"/>
                <w:szCs w:val="20"/>
                <w:lang w:val="en-US"/>
              </w:rPr>
              <w:t>CAM-B3LYP</w:t>
            </w:r>
          </w:p>
        </w:tc>
      </w:tr>
      <w:tr w:rsidR="00822395" w:rsidRPr="00B750B0" w14:paraId="3D473226" w14:textId="77777777">
        <w:trPr>
          <w:jc w:val="center"/>
        </w:trPr>
        <w:tc>
          <w:tcPr>
            <w:tcW w:w="1843" w:type="dxa"/>
            <w:tcBorders>
              <w:right w:val="single" w:sz="4" w:space="0" w:color="auto"/>
            </w:tcBorders>
            <w:vAlign w:val="center"/>
          </w:tcPr>
          <w:p w14:paraId="78DFE917" w14:textId="10A83D18" w:rsidR="00822395" w:rsidRPr="00ED38E5" w:rsidRDefault="00000000" w:rsidP="00822395">
            <w:pPr>
              <w:jc w:val="center"/>
              <w:rPr>
                <w:sz w:val="20"/>
                <w:szCs w:val="20"/>
              </w:rPr>
            </w:pPr>
            <m:oMathPara>
              <m:oMath>
                <m:sSub>
                  <m:sSubPr>
                    <m:ctrlPr>
                      <w:rPr>
                        <w:rFonts w:ascii="Cambria Math" w:hAnsi="Cambria Math"/>
                        <w:sz w:val="20"/>
                        <w:szCs w:val="20"/>
                        <w:lang w:val="en-US"/>
                      </w:rPr>
                    </m:ctrlPr>
                  </m:sSubPr>
                  <m:e>
                    <m:r>
                      <w:rPr>
                        <w:rFonts w:ascii="Cambria Math" w:hAnsi="Cambria Math"/>
                        <w:sz w:val="20"/>
                        <w:szCs w:val="20"/>
                        <w:lang w:val="en-US"/>
                      </w:rPr>
                      <m:t>β</m:t>
                    </m:r>
                  </m:e>
                  <m:sub>
                    <m:r>
                      <w:rPr>
                        <w:rFonts w:ascii="Cambria Math" w:hAnsi="Cambria Math"/>
                        <w:sz w:val="20"/>
                        <w:szCs w:val="20"/>
                        <w:lang w:val="en-US"/>
                      </w:rPr>
                      <m:t>zzz, scaled</m:t>
                    </m:r>
                  </m:sub>
                </m:sSub>
              </m:oMath>
            </m:oMathPara>
          </w:p>
        </w:tc>
        <w:tc>
          <w:tcPr>
            <w:tcW w:w="1342" w:type="dxa"/>
            <w:tcBorders>
              <w:left w:val="single" w:sz="4" w:space="0" w:color="auto"/>
            </w:tcBorders>
          </w:tcPr>
          <w:p w14:paraId="40FE1C5A" w14:textId="678BE4A0"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1.936</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0.131</w:t>
            </w:r>
          </w:p>
        </w:tc>
        <w:tc>
          <w:tcPr>
            <w:tcW w:w="1351" w:type="dxa"/>
          </w:tcPr>
          <w:p w14:paraId="6F92926B" w14:textId="7CCEBDD7"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1.771</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0.120</w:t>
            </w:r>
          </w:p>
        </w:tc>
        <w:tc>
          <w:tcPr>
            <w:tcW w:w="1418" w:type="dxa"/>
          </w:tcPr>
          <w:p w14:paraId="6507F806" w14:textId="2255DAA4"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1.480</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0.100</w:t>
            </w:r>
          </w:p>
        </w:tc>
        <w:tc>
          <w:tcPr>
            <w:tcW w:w="1417" w:type="dxa"/>
          </w:tcPr>
          <w:p w14:paraId="7DC2E068" w14:textId="52B19108"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1.262</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0.085</w:t>
            </w:r>
          </w:p>
        </w:tc>
        <w:tc>
          <w:tcPr>
            <w:tcW w:w="1418" w:type="dxa"/>
          </w:tcPr>
          <w:p w14:paraId="3827FB01" w14:textId="0115B661"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0.799</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0.054</w:t>
            </w:r>
          </w:p>
        </w:tc>
        <w:tc>
          <w:tcPr>
            <w:tcW w:w="1417" w:type="dxa"/>
          </w:tcPr>
          <w:p w14:paraId="70D52DB3" w14:textId="39024BE1"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0.931</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0.063</w:t>
            </w:r>
          </w:p>
        </w:tc>
      </w:tr>
      <w:tr w:rsidR="00822395" w:rsidRPr="00B750B0" w14:paraId="36BEEBCF" w14:textId="77777777">
        <w:trPr>
          <w:jc w:val="center"/>
        </w:trPr>
        <w:tc>
          <w:tcPr>
            <w:tcW w:w="1843" w:type="dxa"/>
            <w:tcBorders>
              <w:right w:val="single" w:sz="4" w:space="0" w:color="auto"/>
            </w:tcBorders>
            <w:vAlign w:val="center"/>
          </w:tcPr>
          <w:p w14:paraId="261966C8" w14:textId="608F24C9" w:rsidR="00822395" w:rsidRPr="00ED38E5" w:rsidRDefault="00000000" w:rsidP="00822395">
            <w:pPr>
              <w:jc w:val="center"/>
              <w:rPr>
                <w:sz w:val="20"/>
                <w:szCs w:val="20"/>
              </w:rPr>
            </w:pPr>
            <m:oMathPara>
              <m:oMath>
                <m:sSub>
                  <m:sSubPr>
                    <m:ctrlPr>
                      <w:rPr>
                        <w:rFonts w:ascii="Cambria Math" w:hAnsi="Cambria Math"/>
                        <w:sz w:val="20"/>
                        <w:szCs w:val="20"/>
                        <w:lang w:val="en-US"/>
                      </w:rPr>
                    </m:ctrlPr>
                  </m:sSubPr>
                  <m:e>
                    <m:r>
                      <w:rPr>
                        <w:rFonts w:ascii="Cambria Math" w:hAnsi="Cambria Math"/>
                        <w:sz w:val="20"/>
                        <w:szCs w:val="20"/>
                        <w:lang w:val="en-US"/>
                      </w:rPr>
                      <m:t>β</m:t>
                    </m:r>
                  </m:e>
                  <m:sub>
                    <m:r>
                      <w:rPr>
                        <w:rFonts w:ascii="Cambria Math" w:hAnsi="Cambria Math"/>
                        <w:sz w:val="20"/>
                        <w:szCs w:val="20"/>
                        <w:lang w:val="en-US"/>
                      </w:rPr>
                      <m:t>zyy,scaled</m:t>
                    </m:r>
                  </m:sub>
                </m:sSub>
              </m:oMath>
            </m:oMathPara>
          </w:p>
        </w:tc>
        <w:tc>
          <w:tcPr>
            <w:tcW w:w="1342" w:type="dxa"/>
            <w:tcBorders>
              <w:left w:val="single" w:sz="4" w:space="0" w:color="auto"/>
            </w:tcBorders>
          </w:tcPr>
          <w:p w14:paraId="3788C4EC" w14:textId="08C9B14D"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-0.611</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0.041</w:t>
            </w:r>
          </w:p>
        </w:tc>
        <w:tc>
          <w:tcPr>
            <w:tcW w:w="1351" w:type="dxa"/>
          </w:tcPr>
          <w:p w14:paraId="14F76967" w14:textId="3CA38308"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-0.658</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0.045</w:t>
            </w:r>
          </w:p>
        </w:tc>
        <w:tc>
          <w:tcPr>
            <w:tcW w:w="1418" w:type="dxa"/>
          </w:tcPr>
          <w:p w14:paraId="72935BD2" w14:textId="67E69C40"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-0.586</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0.040</w:t>
            </w:r>
          </w:p>
        </w:tc>
        <w:tc>
          <w:tcPr>
            <w:tcW w:w="1417" w:type="dxa"/>
          </w:tcPr>
          <w:p w14:paraId="1A368B77" w14:textId="150534FE"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-0.539</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0.036</w:t>
            </w:r>
          </w:p>
        </w:tc>
        <w:tc>
          <w:tcPr>
            <w:tcW w:w="1418" w:type="dxa"/>
          </w:tcPr>
          <w:p w14:paraId="39911797" w14:textId="03CEC3C7"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-0.471</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0.032</w:t>
            </w:r>
          </w:p>
        </w:tc>
        <w:tc>
          <w:tcPr>
            <w:tcW w:w="1417" w:type="dxa"/>
          </w:tcPr>
          <w:p w14:paraId="0E42E103" w14:textId="2E39520E" w:rsidR="00822395" w:rsidRPr="00B750B0" w:rsidRDefault="00822395" w:rsidP="00822395">
            <w:pPr>
              <w:jc w:val="center"/>
              <w:rPr>
                <w:rFonts w:ascii="Palatino Linotype" w:hAnsi="Palatino Linotype"/>
                <w:color w:val="000000"/>
                <w:sz w:val="20"/>
              </w:rPr>
            </w:pPr>
            <w:r w:rsidRPr="00B750B0">
              <w:rPr>
                <w:rFonts w:ascii="Palatino Linotype" w:hAnsi="Palatino Linotype"/>
                <w:color w:val="000000"/>
                <w:sz w:val="20"/>
                <w:szCs w:val="20"/>
                <w:lang w:val="en-US"/>
              </w:rPr>
              <w:t>-0.453</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0.031</w:t>
            </w:r>
          </w:p>
        </w:tc>
      </w:tr>
      <w:tr w:rsidR="00822395" w:rsidRPr="00B750B0" w14:paraId="17483D0C" w14:textId="77777777">
        <w:trPr>
          <w:jc w:val="center"/>
        </w:trPr>
        <w:tc>
          <w:tcPr>
            <w:tcW w:w="1843" w:type="dxa"/>
            <w:tcBorders>
              <w:right w:val="single" w:sz="4" w:space="0" w:color="auto"/>
            </w:tcBorders>
            <w:vAlign w:val="center"/>
          </w:tcPr>
          <w:p w14:paraId="22D21229" w14:textId="1ECFBBEE" w:rsidR="00822395" w:rsidRPr="00FA3C51" w:rsidRDefault="00000000" w:rsidP="00822395">
            <w:pPr>
              <w:jc w:val="center"/>
              <w:rPr>
                <w:rFonts w:ascii="Palatino Linotype" w:eastAsiaTheme="minorEastAsia" w:hAnsi="Palatino Linotype"/>
                <w:i/>
                <w:iCs/>
                <w:sz w:val="20"/>
                <w:szCs w:val="20"/>
                <w:lang w:val="en-US"/>
              </w:rPr>
            </w:pPr>
            <m:oMathPara>
              <m:oMath>
                <m:sSub>
                  <m:sSubPr>
                    <m:ctrlPr>
                      <w:rPr>
                        <w:rFonts w:ascii="Cambria Math" w:hAnsi="Cambria Math"/>
                        <w:i/>
                        <w:iCs/>
                        <w:sz w:val="20"/>
                        <w:szCs w:val="20"/>
                        <w:lang w:val="en-US"/>
                      </w:rPr>
                    </m:ctrlPr>
                  </m:sSubPr>
                  <m:e>
                    <m:r>
                      <w:rPr>
                        <w:rFonts w:ascii="Cambria Math" w:hAnsi="Cambria Math"/>
                        <w:sz w:val="20"/>
                        <w:szCs w:val="20"/>
                        <w:lang w:val="en-US"/>
                      </w:rPr>
                      <m:t>R</m:t>
                    </m:r>
                  </m:e>
                  <m:sub>
                    <m:r>
                      <w:rPr>
                        <w:rFonts w:ascii="Cambria Math" w:hAnsi="Cambria Math"/>
                        <w:sz w:val="20"/>
                        <w:szCs w:val="20"/>
                        <w:lang w:val="en-US"/>
                      </w:rPr>
                      <m:t>scaled</m:t>
                    </m:r>
                  </m:sub>
                </m:sSub>
              </m:oMath>
            </m:oMathPara>
          </w:p>
        </w:tc>
        <w:tc>
          <w:tcPr>
            <w:tcW w:w="1342" w:type="dxa"/>
            <w:tcBorders>
              <w:left w:val="single" w:sz="4" w:space="0" w:color="auto"/>
            </w:tcBorders>
            <w:vAlign w:val="center"/>
          </w:tcPr>
          <w:p w14:paraId="700F7F11"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-0.315</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0.021</w:t>
            </w:r>
          </w:p>
        </w:tc>
        <w:tc>
          <w:tcPr>
            <w:tcW w:w="1351" w:type="dxa"/>
            <w:vAlign w:val="center"/>
          </w:tcPr>
          <w:p w14:paraId="1D8A96A7"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-0.371</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0.025</w:t>
            </w:r>
          </w:p>
        </w:tc>
        <w:tc>
          <w:tcPr>
            <w:tcW w:w="1418" w:type="dxa"/>
            <w:vAlign w:val="center"/>
          </w:tcPr>
          <w:p w14:paraId="68C258A9"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-0.396</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0.027</w:t>
            </w:r>
          </w:p>
        </w:tc>
        <w:tc>
          <w:tcPr>
            <w:tcW w:w="1417" w:type="dxa"/>
            <w:vAlign w:val="center"/>
          </w:tcPr>
          <w:p w14:paraId="02D03CFD"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-0.427</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0.029</w:t>
            </w:r>
          </w:p>
        </w:tc>
        <w:tc>
          <w:tcPr>
            <w:tcW w:w="1418" w:type="dxa"/>
            <w:vAlign w:val="center"/>
          </w:tcPr>
          <w:p w14:paraId="09C0777A"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-0.590</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0.040</w:t>
            </w:r>
          </w:p>
        </w:tc>
        <w:tc>
          <w:tcPr>
            <w:tcW w:w="1417" w:type="dxa"/>
            <w:vAlign w:val="center"/>
          </w:tcPr>
          <w:p w14:paraId="37B43454"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-0.487</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0.033</w:t>
            </w:r>
          </w:p>
        </w:tc>
      </w:tr>
      <w:tr w:rsidR="00822395" w:rsidRPr="00B750B0" w14:paraId="4A4AF0F5" w14:textId="77777777">
        <w:trPr>
          <w:jc w:val="center"/>
        </w:trPr>
        <w:tc>
          <w:tcPr>
            <w:tcW w:w="1843" w:type="dxa"/>
            <w:tcBorders>
              <w:right w:val="single" w:sz="4" w:space="0" w:color="auto"/>
            </w:tcBorders>
            <w:vAlign w:val="center"/>
          </w:tcPr>
          <w:p w14:paraId="495AA4F0" w14:textId="739F7BA6" w:rsidR="00822395" w:rsidRPr="00784B5E" w:rsidRDefault="00000000" w:rsidP="00822395">
            <w:pPr>
              <w:jc w:val="center"/>
              <w:rPr>
                <w:rFonts w:eastAsia="Times New Roman" w:cs="Times New Roman"/>
                <w:iCs/>
                <w:sz w:val="20"/>
                <w:szCs w:val="20"/>
                <w:lang w:val="en-US"/>
              </w:rPr>
            </w:pPr>
            <m:oMathPara>
              <m:oMath>
                <m:sSub>
                  <m:sSubPr>
                    <m:ctrlPr>
                      <w:rPr>
                        <w:rFonts w:ascii="Cambria Math" w:hAnsi="Cambria Math"/>
                        <w:iCs/>
                        <w:sz w:val="20"/>
                        <w:szCs w:val="20"/>
                        <w:lang w:val="en-US"/>
                      </w:rPr>
                    </m:ctrlPr>
                  </m:sSubPr>
                  <m:e>
                    <m:r>
                      <m:rPr>
                        <m:sty m:val="p"/>
                      </m:rPr>
                      <w:rPr>
                        <w:rFonts w:ascii="Cambria Math" w:hAnsi="Cambria Math"/>
                        <w:sz w:val="20"/>
                        <w:szCs w:val="20"/>
                        <w:lang w:val="en-US"/>
                      </w:rPr>
                      <m:t>DR</m:t>
                    </m:r>
                  </m:e>
                  <m:sub>
                    <m:r>
                      <m:rPr>
                        <m:sty m:val="p"/>
                      </m:rPr>
                      <w:rPr>
                        <w:rFonts w:ascii="Cambria Math" w:hAnsi="Cambria Math"/>
                        <w:sz w:val="20"/>
                        <w:szCs w:val="20"/>
                        <w:lang w:val="en-US"/>
                      </w:rPr>
                      <m:t>scaled</m:t>
                    </m:r>
                  </m:sub>
                </m:sSub>
              </m:oMath>
            </m:oMathPara>
          </w:p>
        </w:tc>
        <w:tc>
          <w:tcPr>
            <w:tcW w:w="1342" w:type="dxa"/>
            <w:tcBorders>
              <w:left w:val="single" w:sz="4" w:space="0" w:color="auto"/>
            </w:tcBorders>
            <w:vAlign w:val="center"/>
          </w:tcPr>
          <w:p w14:paraId="35767224" w14:textId="77777777" w:rsidR="00822395" w:rsidRPr="00784B5E" w:rsidRDefault="00822395" w:rsidP="00822395">
            <w:pPr>
              <w:jc w:val="center"/>
              <w:rPr>
                <w:rFonts w:eastAsia="Times New Roman" w:cs="Times New Roman"/>
                <w:iCs/>
                <w:sz w:val="20"/>
                <w:szCs w:val="20"/>
                <w:lang w:val="en-US"/>
              </w:rPr>
            </w:pPr>
            <w:r w:rsidRPr="00784B5E">
              <w:rPr>
                <w:rFonts w:eastAsia="Times New Roman" w:cs="Times New Roman"/>
                <w:color w:val="000000"/>
                <w:sz w:val="20"/>
                <w:szCs w:val="20"/>
                <w:lang w:val="en-US"/>
              </w:rPr>
              <w:t>2.541±0.172</w:t>
            </w:r>
          </w:p>
        </w:tc>
        <w:tc>
          <w:tcPr>
            <w:tcW w:w="1351" w:type="dxa"/>
            <w:vAlign w:val="center"/>
          </w:tcPr>
          <w:p w14:paraId="1C059896"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2.289</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0.155</w:t>
            </w:r>
          </w:p>
        </w:tc>
        <w:tc>
          <w:tcPr>
            <w:tcW w:w="1418" w:type="dxa"/>
            <w:vAlign w:val="center"/>
          </w:tcPr>
          <w:p w14:paraId="1DBB6D3D"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2.195</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0.149</w:t>
            </w:r>
          </w:p>
        </w:tc>
        <w:tc>
          <w:tcPr>
            <w:tcW w:w="1417" w:type="dxa"/>
            <w:vAlign w:val="center"/>
          </w:tcPr>
          <w:p w14:paraId="3A5A8039"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2.089</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0.141</w:t>
            </w:r>
          </w:p>
        </w:tc>
        <w:tc>
          <w:tcPr>
            <w:tcW w:w="1418" w:type="dxa"/>
            <w:vAlign w:val="center"/>
          </w:tcPr>
          <w:p w14:paraId="3CF5D3FD"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1.720</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0.116</w:t>
            </w:r>
          </w:p>
        </w:tc>
        <w:tc>
          <w:tcPr>
            <w:tcW w:w="1417" w:type="dxa"/>
            <w:vAlign w:val="center"/>
          </w:tcPr>
          <w:p w14:paraId="3DD25D1D"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1.920</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0.130</w:t>
            </w:r>
          </w:p>
        </w:tc>
      </w:tr>
      <w:tr w:rsidR="00822395" w:rsidRPr="00B750B0" w14:paraId="23817FCB" w14:textId="77777777">
        <w:trPr>
          <w:jc w:val="center"/>
        </w:trPr>
        <w:tc>
          <w:tcPr>
            <w:tcW w:w="1843" w:type="dxa"/>
            <w:tcBorders>
              <w:right w:val="single" w:sz="4" w:space="0" w:color="auto"/>
            </w:tcBorders>
            <w:vAlign w:val="center"/>
          </w:tcPr>
          <w:p w14:paraId="380AD586" w14:textId="77777777" w:rsidR="00822395" w:rsidRPr="00B750B0" w:rsidRDefault="00000000" w:rsidP="00822395">
            <w:pPr>
              <w:jc w:val="center"/>
              <w:rPr>
                <w:rFonts w:ascii="Palatino Linotype" w:eastAsiaTheme="minorEastAsia" w:hAnsi="Palatino Linotype"/>
                <w:iCs/>
                <w:sz w:val="20"/>
                <w:szCs w:val="20"/>
                <w:lang w:val="en-US"/>
              </w:rPr>
            </w:pPr>
            <m:oMathPara>
              <m:oMath>
                <m:sSub>
                  <m:sSubPr>
                    <m:ctrlPr>
                      <w:rPr>
                        <w:rFonts w:ascii="Cambria Math" w:hAnsi="Cambria Math"/>
                        <w:iCs/>
                        <w:sz w:val="20"/>
                        <w:szCs w:val="20"/>
                        <w:lang w:val="en-US"/>
                      </w:rPr>
                    </m:ctrlPr>
                  </m:sSubPr>
                  <m:e>
                    <m:r>
                      <m:rPr>
                        <m:sty m:val="p"/>
                      </m:rPr>
                      <w:rPr>
                        <w:rFonts w:ascii="Cambria Math" w:hAnsi="Cambria Math"/>
                        <w:sz w:val="20"/>
                        <w:szCs w:val="20"/>
                        <w:lang w:val="en-US"/>
                      </w:rPr>
                      <m:t>β</m:t>
                    </m:r>
                  </m:e>
                  <m:sub>
                    <m:r>
                      <m:rPr>
                        <m:sty m:val="p"/>
                      </m:rPr>
                      <w:rPr>
                        <w:rFonts w:ascii="Cambria Math" w:hAnsi="Cambria Math"/>
                        <w:sz w:val="20"/>
                        <w:szCs w:val="20"/>
                        <w:lang w:val="en-US"/>
                      </w:rPr>
                      <m:t>HRS,scaled</m:t>
                    </m:r>
                  </m:sub>
                </m:sSub>
              </m:oMath>
            </m:oMathPara>
          </w:p>
        </w:tc>
        <w:tc>
          <w:tcPr>
            <w:tcW w:w="1342" w:type="dxa"/>
            <w:tcBorders>
              <w:left w:val="single" w:sz="4" w:space="0" w:color="auto"/>
              <w:bottom w:val="single" w:sz="4" w:space="0" w:color="auto"/>
            </w:tcBorders>
            <w:vAlign w:val="center"/>
          </w:tcPr>
          <w:p w14:paraId="12AE4C73"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0.773</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0.052</w:t>
            </w:r>
          </w:p>
        </w:tc>
        <w:tc>
          <w:tcPr>
            <w:tcW w:w="1351" w:type="dxa"/>
            <w:vAlign w:val="center"/>
          </w:tcPr>
          <w:p w14:paraId="43B7984A"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0.719</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0.049</w:t>
            </w:r>
          </w:p>
        </w:tc>
        <w:tc>
          <w:tcPr>
            <w:tcW w:w="1418" w:type="dxa"/>
            <w:vAlign w:val="center"/>
          </w:tcPr>
          <w:p w14:paraId="755A37C8"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0.606</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0.041</w:t>
            </w:r>
          </w:p>
        </w:tc>
        <w:tc>
          <w:tcPr>
            <w:tcW w:w="1417" w:type="dxa"/>
            <w:vAlign w:val="center"/>
          </w:tcPr>
          <w:p w14:paraId="211AD8E3"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0.524</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0.035</w:t>
            </w:r>
          </w:p>
        </w:tc>
        <w:tc>
          <w:tcPr>
            <w:tcW w:w="1418" w:type="dxa"/>
            <w:vAlign w:val="center"/>
          </w:tcPr>
          <w:p w14:paraId="1DFF3F3A"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0.364</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0.025</w:t>
            </w:r>
          </w:p>
        </w:tc>
        <w:tc>
          <w:tcPr>
            <w:tcW w:w="1417" w:type="dxa"/>
            <w:vAlign w:val="center"/>
          </w:tcPr>
          <w:p w14:paraId="642967D7" w14:textId="77777777" w:rsidR="00822395" w:rsidRPr="00B750B0" w:rsidRDefault="00822395" w:rsidP="00822395">
            <w:pPr>
              <w:jc w:val="center"/>
              <w:rPr>
                <w:rFonts w:ascii="Palatino Linotype" w:eastAsiaTheme="minorEastAsia" w:hAnsi="Palatino Linotype"/>
                <w:iCs/>
                <w:sz w:val="20"/>
                <w:szCs w:val="20"/>
                <w:lang w:val="en-US"/>
              </w:rPr>
            </w:pPr>
            <w:r w:rsidRPr="00B750B0">
              <w:rPr>
                <w:rFonts w:ascii="Palatino Linotype" w:hAnsi="Palatino Linotype"/>
                <w:color w:val="000000"/>
                <w:sz w:val="20"/>
                <w:szCs w:val="20"/>
                <w:lang w:val="en-US"/>
              </w:rPr>
              <w:t>0.398</w:t>
            </w:r>
            <m:oMath>
              <m:r>
                <w:rPr>
                  <w:rFonts w:ascii="Cambria Math" w:hAnsi="Cambria Math"/>
                  <w:color w:val="000000"/>
                  <w:sz w:val="20"/>
                  <w:szCs w:val="20"/>
                  <w:lang w:val="en-US"/>
                </w:rPr>
                <m:t>±</m:t>
              </m:r>
            </m:oMath>
            <w:r>
              <w:rPr>
                <w:rFonts w:ascii="Palatino Linotype" w:eastAsiaTheme="minorEastAsia" w:hAnsi="Palatino Linotype"/>
                <w:color w:val="000000"/>
                <w:sz w:val="20"/>
                <w:szCs w:val="20"/>
                <w:lang w:val="en-US"/>
              </w:rPr>
              <w:t>0.027</w:t>
            </w:r>
          </w:p>
        </w:tc>
      </w:tr>
    </w:tbl>
    <w:p w14:paraId="51F2BA01" w14:textId="77777777" w:rsidR="00FC01B0" w:rsidRDefault="00FC01B0">
      <w:pPr>
        <w:spacing w:after="0"/>
        <w:jc w:val="left"/>
      </w:pPr>
    </w:p>
    <w:p w14:paraId="6B6D14F7" w14:textId="4E82ADE3" w:rsidR="00BA127E" w:rsidRDefault="00BA127E">
      <w:pPr>
        <w:spacing w:after="0"/>
        <w:jc w:val="left"/>
        <w:rPr>
          <w:b/>
          <w:bCs/>
        </w:rPr>
      </w:pPr>
    </w:p>
    <w:p w14:paraId="61BA7BD0" w14:textId="5E5F704A" w:rsidR="00A71799" w:rsidRPr="00D50FE5" w:rsidRDefault="00A71799" w:rsidP="00D50FE5">
      <w:pPr>
        <w:pStyle w:val="TAMainText"/>
        <w:rPr>
          <w:b/>
          <w:bCs/>
        </w:rPr>
      </w:pPr>
      <w:r w:rsidRPr="00D50FE5">
        <w:rPr>
          <w:b/>
          <w:bCs/>
        </w:rPr>
        <w:t>Part I</w:t>
      </w:r>
      <w:r w:rsidR="009C5A56">
        <w:rPr>
          <w:b/>
          <w:bCs/>
        </w:rPr>
        <w:t>V</w:t>
      </w:r>
      <w:r w:rsidRPr="00D50FE5">
        <w:rPr>
          <w:b/>
          <w:bCs/>
        </w:rPr>
        <w:t>: Discussion</w:t>
      </w:r>
    </w:p>
    <w:p w14:paraId="022C1C4A" w14:textId="0553D6BE" w:rsidR="0041624D" w:rsidRDefault="1D91C26A" w:rsidP="00C673B5">
      <w:pPr>
        <w:pStyle w:val="TAMainText"/>
        <w:rPr>
          <w:rFonts w:cs="Times"/>
        </w:rPr>
      </w:pPr>
      <w:r w:rsidRPr="000A75A9">
        <w:rPr>
          <w:rFonts w:cs="Times"/>
        </w:rPr>
        <w:t xml:space="preserve">We demonstrated </w:t>
      </w:r>
      <w:r w:rsidR="0014C522" w:rsidRPr="000A75A9">
        <w:rPr>
          <w:rFonts w:cs="Times"/>
        </w:rPr>
        <w:t>HRS</w:t>
      </w:r>
      <w:r w:rsidRPr="000A75A9">
        <w:rPr>
          <w:rFonts w:cs="Times"/>
        </w:rPr>
        <w:t xml:space="preserve"> as a suitable technique for probing the </w:t>
      </w:r>
      <w:r w:rsidR="00E02C5D">
        <w:rPr>
          <w:rFonts w:cs="Times"/>
        </w:rPr>
        <w:t xml:space="preserve">first </w:t>
      </w:r>
      <w:r w:rsidRPr="000A75A9">
        <w:rPr>
          <w:rFonts w:cs="Times"/>
        </w:rPr>
        <w:t>hyperpolarizability of CNC rods. We obtained values for</w:t>
      </w:r>
      <w:r w:rsidR="00BA5616">
        <w:rPr>
          <w:rFonts w:cs="Times"/>
        </w:rPr>
        <w:t xml:space="preserve">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m:t>
            </m:r>
          </m:sub>
        </m:sSub>
        <m:r>
          <w:rPr>
            <w:rFonts w:ascii="Cambria Math" w:eastAsiaTheme="minorEastAsia" w:hAnsi="Cambria Math" w:cs="Times"/>
          </w:rPr>
          <m:t xml:space="preserve"> = 2.81</m:t>
        </m:r>
        <m:r>
          <w:rPr>
            <w:rFonts w:ascii="Cambria Math" w:hAnsi="Cambria Math" w:cs="Times"/>
          </w:rPr>
          <m:t>±0.15×</m:t>
        </m:r>
        <m:sSup>
          <m:sSupPr>
            <m:ctrlPr>
              <w:rPr>
                <w:rFonts w:ascii="Cambria Math" w:hAnsi="Cambria Math" w:cs="Times"/>
                <w:i/>
              </w:rPr>
            </m:ctrlPr>
          </m:sSupPr>
          <m:e>
            <m:r>
              <w:rPr>
                <w:rFonts w:ascii="Cambria Math" w:hAnsi="Cambria Math" w:cs="Times"/>
              </w:rPr>
              <m:t>10</m:t>
            </m:r>
          </m:e>
          <m:sup>
            <m:r>
              <w:rPr>
                <w:rFonts w:ascii="Cambria Math" w:hAnsi="Cambria Math" w:cs="Times"/>
              </w:rPr>
              <m:t>-27</m:t>
            </m:r>
          </m:sup>
        </m:sSup>
        <m:r>
          <w:rPr>
            <w:rFonts w:ascii="Cambria Math" w:hAnsi="Cambria Math" w:cs="Times"/>
          </w:rPr>
          <m:t xml:space="preserve"> </m:t>
        </m:r>
        <m:r>
          <m:rPr>
            <m:sty m:val="p"/>
          </m:rPr>
          <w:rPr>
            <w:rFonts w:ascii="Cambria Math" w:hAnsi="Cambria Math" w:cs="Times"/>
          </w:rPr>
          <m:t>esu</m:t>
        </m:r>
      </m:oMath>
      <w:r w:rsidRPr="000A75A9">
        <w:rPr>
          <w:rFonts w:cs="Times"/>
        </w:rPr>
        <w:t xml:space="preserve"> at 1030 nm which equates to a static value of</w:t>
      </w:r>
      <w:r w:rsidR="009B2492">
        <w:rPr>
          <w:rFonts w:cs="Times"/>
        </w:rPr>
        <w:t xml:space="preserve"> </w:t>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HRS,CNC,0</m:t>
            </m:r>
          </m:sub>
        </m:sSub>
        <m:r>
          <w:rPr>
            <w:rFonts w:ascii="Cambria Math" w:hAnsi="Cambria Math" w:cs="Times"/>
          </w:rPr>
          <m:t>=2.17±0.12×</m:t>
        </m:r>
        <m:sSup>
          <m:sSupPr>
            <m:ctrlPr>
              <w:rPr>
                <w:rFonts w:ascii="Cambria Math" w:hAnsi="Cambria Math" w:cs="Times"/>
                <w:i/>
              </w:rPr>
            </m:ctrlPr>
          </m:sSupPr>
          <m:e>
            <m:r>
              <w:rPr>
                <w:rFonts w:ascii="Cambria Math" w:hAnsi="Cambria Math" w:cs="Times"/>
              </w:rPr>
              <m:t>10</m:t>
            </m:r>
          </m:e>
          <m:sup>
            <m:r>
              <w:rPr>
                <w:rFonts w:ascii="Cambria Math" w:hAnsi="Cambria Math" w:cs="Times"/>
              </w:rPr>
              <m:t>-27</m:t>
            </m:r>
          </m:sup>
        </m:sSup>
        <m:r>
          <m:rPr>
            <m:sty m:val="p"/>
          </m:rPr>
          <w:rPr>
            <w:rFonts w:ascii="Cambria Math" w:hAnsi="Cambria Math" w:cs="Times"/>
          </w:rPr>
          <m:t>esu</m:t>
        </m:r>
      </m:oMath>
      <w:r w:rsidRPr="635E82E4">
        <w:rPr>
          <w:rFonts w:cs="Times"/>
        </w:rPr>
        <w:t xml:space="preserve"> for the average dimension of the CNC</w:t>
      </w:r>
      <w:r w:rsidRPr="000A75A9">
        <w:rPr>
          <w:rFonts w:cs="Times"/>
        </w:rPr>
        <w:t>. Th</w:t>
      </w:r>
      <w:r>
        <w:rPr>
          <w:rFonts w:cs="Times"/>
        </w:rPr>
        <w:t>is</w:t>
      </w:r>
      <w:r w:rsidRPr="000A75A9">
        <w:rPr>
          <w:rFonts w:cs="Times"/>
        </w:rPr>
        <w:t xml:space="preserve"> value is comparable to other biopolymers</w:t>
      </w:r>
      <w:r w:rsidR="008E0927">
        <w:rPr>
          <w:rFonts w:cs="Times"/>
        </w:rPr>
        <w:t>, n</w:t>
      </w:r>
      <w:r w:rsidRPr="000A75A9">
        <w:rPr>
          <w:rFonts w:cs="Times"/>
        </w:rPr>
        <w:t xml:space="preserve">otably collagen, </w:t>
      </w:r>
      <w:r>
        <w:rPr>
          <w:rFonts w:cs="Times"/>
        </w:rPr>
        <w:t>for which</w:t>
      </w:r>
      <w:r w:rsidRPr="000A75A9">
        <w:rPr>
          <w:rFonts w:cs="Times"/>
        </w:rPr>
        <w:t xml:space="preserve"> HRS experiments yielded </w:t>
      </w:r>
      <w:r>
        <w:rPr>
          <w:rFonts w:cs="Times"/>
        </w:rPr>
        <w:t xml:space="preserve">a </w:t>
      </w:r>
      <w:r w:rsidRPr="000A75A9">
        <w:rPr>
          <w:rFonts w:cs="Times"/>
        </w:rPr>
        <w:t xml:space="preserve">value of </w:t>
      </w:r>
      <m:oMath>
        <m:r>
          <w:rPr>
            <w:rFonts w:ascii="Cambria Math" w:hAnsi="Cambria Math" w:cs="Times"/>
          </w:rPr>
          <m:t>1.25×</m:t>
        </m:r>
        <m:sSup>
          <m:sSupPr>
            <m:ctrlPr>
              <w:rPr>
                <w:rFonts w:ascii="Cambria Math" w:hAnsi="Cambria Math" w:cs="Times"/>
                <w:i/>
              </w:rPr>
            </m:ctrlPr>
          </m:sSupPr>
          <m:e>
            <m:r>
              <w:rPr>
                <w:rFonts w:ascii="Cambria Math" w:hAnsi="Cambria Math" w:cs="Times"/>
              </w:rPr>
              <m:t>10</m:t>
            </m:r>
          </m:e>
          <m:sup>
            <m:r>
              <w:rPr>
                <w:rFonts w:ascii="Cambria Math" w:hAnsi="Cambria Math" w:cs="Times"/>
              </w:rPr>
              <m:t>-27</m:t>
            </m:r>
          </m:sup>
        </m:sSup>
      </m:oMath>
      <w:r w:rsidRPr="000A75A9">
        <w:rPr>
          <w:rFonts w:cs="Times"/>
        </w:rPr>
        <w:t>esu</w:t>
      </w:r>
      <w:r>
        <w:rPr>
          <w:rFonts w:cs="Times"/>
        </w:rPr>
        <w:t xml:space="preserve"> at 790</w:t>
      </w:r>
      <w:r w:rsidR="008E0927">
        <w:rPr>
          <w:rFonts w:cs="Times"/>
        </w:rPr>
        <w:t xml:space="preserve"> </w:t>
      </w:r>
      <w:r>
        <w:rPr>
          <w:rFonts w:cs="Times"/>
        </w:rPr>
        <w:t>nm excitation.</w:t>
      </w:r>
      <w:r w:rsidR="00F02488">
        <w:rPr>
          <w:rFonts w:cs="Times"/>
        </w:rPr>
        <w:fldChar w:fldCharType="begin" w:fldLock="1"/>
      </w:r>
      <w:r w:rsidR="009F56C9">
        <w:rPr>
          <w:rFonts w:cs="Times"/>
        </w:rPr>
        <w:instrText>ADDIN CSL_CITATION {"citationItems":[{"id":"ITEM-1","itemData":{"ISBN":"9781424440801","ISSN":"21622701","author":[{"dropping-particle":"","family":"Deniset-Besseau","given":"A.","non-dropping-particle":"","parse-names":false,"suffix":""},{"dropping-particle":"","family":"Duboisset","given":"J.","non-dropping-particle":"","parse-names":false,"suffix":""},{"dropping-particle":"","family":"Loison","given":"C.","non-dropping-particle":"","parse-names":false,"suffix":""},{"dropping-particle":"","family":"Hache","given":"F.","non-dropping-particle":"","parse-names":false,"suffix":""},{"dropping-particle":"","family":"Benichou","given":"E.","non-dropping-particle":"","parse-names":false,"suffix":""},{"dropping-particle":"","family":"Brevet","given":"P. F.","non-dropping-particle":"","parse-names":false,"suffix":""},{"dropping-particle":"","family":"Schanne-Klein","given":"M. C.","non-dropping-particle":"","parse-names":false,"suffix":""}],"container-title":"Optics InfoBase Conference Papers","id":"ITEM-1","issued":{"date-parts":[["2009"]]},"page":"13437-13445","title":"Second order hyperpolarizability of the collagen triple helix: Measurement and determination of its physical origin","type":"article-journal"},"uris":["http://www.mendeley.com/documents/?uuid=d78324e0-baba-4818-8e02-300458be7d8c"]}],"mendeley":{"formattedCitation":"&lt;sup&gt;25&lt;/sup&gt;","plainTextFormattedCitation":"25","previouslyFormattedCitation":"&lt;sup&gt;25&lt;/sup&gt;"},"properties":{"noteIndex":0},"schema":"https://github.com/citation-style-language/schema/raw/master/csl-citation.json"}</w:instrText>
      </w:r>
      <w:r w:rsidR="00F02488">
        <w:rPr>
          <w:rFonts w:cs="Times"/>
        </w:rPr>
        <w:fldChar w:fldCharType="separate"/>
      </w:r>
      <w:r w:rsidR="00DC2B5C" w:rsidRPr="00DC2B5C">
        <w:rPr>
          <w:rFonts w:cs="Times"/>
          <w:noProof/>
          <w:vertAlign w:val="superscript"/>
        </w:rPr>
        <w:t>25</w:t>
      </w:r>
      <w:r w:rsidR="00F02488">
        <w:rPr>
          <w:rFonts w:cs="Times"/>
        </w:rPr>
        <w:fldChar w:fldCharType="end"/>
      </w:r>
      <w:r>
        <w:rPr>
          <w:rFonts w:cs="Times"/>
        </w:rPr>
        <w:t xml:space="preserve"> When comparing to organic chromophores, these values are in the </w:t>
      </w:r>
      <w:r w:rsidRPr="000A75A9">
        <w:rPr>
          <w:rFonts w:cs="Times"/>
        </w:rPr>
        <w:t xml:space="preserve">same range </w:t>
      </w:r>
      <w:r>
        <w:rPr>
          <w:rFonts w:cs="Times"/>
        </w:rPr>
        <w:t>as</w:t>
      </w:r>
      <w:r w:rsidRPr="000A75A9">
        <w:rPr>
          <w:rFonts w:cs="Times"/>
        </w:rPr>
        <w:t xml:space="preserve"> some of the best organic chromophores candidates </w:t>
      </w:r>
      <w:r>
        <w:rPr>
          <w:rFonts w:cs="Times"/>
        </w:rPr>
        <w:t>known to date</w:t>
      </w:r>
      <w:r w:rsidRPr="000A75A9">
        <w:rPr>
          <w:rFonts w:cs="Times"/>
        </w:rPr>
        <w:t xml:space="preserve"> </w:t>
      </w:r>
      <w:r>
        <w:rPr>
          <w:rFonts w:cs="Times"/>
        </w:rPr>
        <w:t>aimed at the design</w:t>
      </w:r>
      <w:r w:rsidRPr="000A75A9">
        <w:rPr>
          <w:rFonts w:cs="Times"/>
        </w:rPr>
        <w:t xml:space="preserve"> of electro-optical modulators (EOM)</w:t>
      </w:r>
      <w:r>
        <w:rPr>
          <w:rFonts w:cs="Times"/>
        </w:rPr>
        <w:t>,</w:t>
      </w:r>
      <w:r w:rsidRPr="000A75A9">
        <w:rPr>
          <w:rFonts w:cs="Times"/>
        </w:rPr>
        <w:t xml:space="preserve"> as reviewed by Robinson </w:t>
      </w:r>
      <w:r w:rsidRPr="00C55EB1">
        <w:rPr>
          <w:rFonts w:cs="Times"/>
          <w:i/>
          <w:iCs/>
        </w:rPr>
        <w:t>et al.</w:t>
      </w:r>
      <w:r w:rsidRPr="000A75A9">
        <w:rPr>
          <w:rFonts w:cs="Times"/>
        </w:rPr>
        <w:t xml:space="preserve"> </w:t>
      </w:r>
      <w:r w:rsidR="00F02488" w:rsidRPr="000A75A9">
        <w:rPr>
          <w:rFonts w:cs="Times"/>
        </w:rPr>
        <w:fldChar w:fldCharType="begin" w:fldLock="1"/>
      </w:r>
      <w:r w:rsidR="003C532D">
        <w:rPr>
          <w:rFonts w:cs="Times"/>
        </w:rPr>
        <w:instrText>ADDIN CSL_CITATION {"citationItems":[{"id":"ITEM-1","itemData":{"DOI":"10.1002/adma.202104174","ISSN":"15214095","PMID":"34545643","abstract":"High performance organic electro-optic (OEO) materials enable ultrahigh bandwidth, small footprint, and extremely low drive voltage in silicon-organic hybrid and plasmonic-organic hybrid photonic devices. However, practical OEO materials under device-relevant conditions are generally limited to performance of ≈300 pm V−1 (10× the EO response of lithium niobate). By means of theory-guided design, a new series of OEO chromophores is demonstrated, based on strong bis(4-dialkylaminophenyl)phenylamino electron donating groups, capable of EO coefficients (r33) in excess of 1000 pm V−1. Density functional theory modeling and hyper-Rayleigh scattering measurements are performed and confirm the large improvement in hyperpolarizability due to the stronger donor. The EO performance of the exemplar chromophore in the series, BAY1, is evaluated neat and at various concentrations in polymer host and shows a nearly linear increase in r33 and poling efficiency (r33/Ep, Ep is poling field) with increasing chromophore concentration. 25 wt% BAY1/polymer composite shows a higher poling efficiency (3.9 ± 0.1 nm2 V−2) than state-of-the-art neat chromophores. Using a high-ε charge blocking layer with BAY1, a record-high r33 (1100 ± 100 pm V−1) and poling efficiency (17.8 ± 0.8 nm2 V−2) at 1310 nm are achieved. This is the first reported OEO material with electro-optic response larger than thin-film barium titanate.","author":[{"dropping-particle":"","family":"Xu","given":"Huajun","non-dropping-particle":"","parse-names":false,"suffix":""},{"dropping-particle":"","family":"Elder","given":"Delwin L.","non-dropping-particle":"","parse-names":false,"suffix":""},{"dropping-particle":"","family":"Johnson","given":"Lewis E.","non-dropping-particle":"","parse-names":false,"suffix":""},{"dropping-particle":"","family":"Coene","given":"Yovan","non-dropping-particle":"de","parse-names":false,"suffix":""},{"dropping-particle":"","family":"Hammond","given":"Scott R.","non-dropping-particle":"","parse-names":false,"suffix":""},{"dropping-particle":"","family":"Ghinst","given":"Wouter","non-dropping-particle":"Vander","parse-names":false,"suffix":""},{"dropping-particle":"","family":"Clays","given":"Koen","non-dropping-particle":"","parse-names":false,"suffix":""},{"dropping-particle":"","family":"Dalton","given":"Larry R.","non-dropping-particle":"","parse-names":false,"suffix":""},{"dropping-particle":"","family":"Robinson","given":"Bruce H.","non-dropping-particle":"","parse-names":false,"suffix":""}],"container-title":"Advanced Materials","id":"ITEM-1","issue":"45","issued":{"date-parts":[["2021"]]},"page":"1-9","title":"Electro-Optic Activity in Excess of 1000 pm V−1 Achieved via Theory-Guided Organic Chromophore Design","type":"article-journal","volume":"33"},"uris":["http://www.mendeley.com/documents/?uuid=2b1ab404-9547-486d-9af1-d76a4868a380"]}],"mendeley":{"formattedCitation":"&lt;sup&gt;11&lt;/sup&gt;","plainTextFormattedCitation":"11","previouslyFormattedCitation":"&lt;sup&gt;11&lt;/sup&gt;"},"properties":{"noteIndex":0},"schema":"https://github.com/citation-style-language/schema/raw/master/csl-citation.json"}</w:instrText>
      </w:r>
      <w:r w:rsidR="00F02488" w:rsidRPr="000A75A9">
        <w:rPr>
          <w:rFonts w:cs="Times"/>
        </w:rPr>
        <w:fldChar w:fldCharType="separate"/>
      </w:r>
      <w:r w:rsidR="00374347" w:rsidRPr="00374347">
        <w:rPr>
          <w:rFonts w:cs="Times"/>
          <w:noProof/>
          <w:vertAlign w:val="superscript"/>
        </w:rPr>
        <w:t>11</w:t>
      </w:r>
      <w:r w:rsidR="00F02488" w:rsidRPr="000A75A9">
        <w:rPr>
          <w:rFonts w:cs="Times"/>
        </w:rPr>
        <w:fldChar w:fldCharType="end"/>
      </w:r>
      <w:r w:rsidRPr="000A75A9">
        <w:rPr>
          <w:rFonts w:cs="Times"/>
        </w:rPr>
        <w:t xml:space="preserve"> </w:t>
      </w:r>
      <w:r>
        <w:rPr>
          <w:rFonts w:cs="Times"/>
        </w:rPr>
        <w:t>For CNCs however, t</w:t>
      </w:r>
      <w:r w:rsidRPr="000A75A9">
        <w:rPr>
          <w:rFonts w:cs="Times"/>
        </w:rPr>
        <w:t xml:space="preserve">he high hyperpolarizability </w:t>
      </w:r>
      <w:r>
        <w:rPr>
          <w:rFonts w:cs="Times"/>
        </w:rPr>
        <w:t>is intrinsically related</w:t>
      </w:r>
      <w:r w:rsidRPr="000A75A9">
        <w:rPr>
          <w:rFonts w:cs="Times"/>
        </w:rPr>
        <w:t xml:space="preserve"> to the </w:t>
      </w:r>
      <w:r>
        <w:rPr>
          <w:rFonts w:cs="Times"/>
        </w:rPr>
        <w:t>large dimensions</w:t>
      </w:r>
      <w:r w:rsidRPr="000A75A9">
        <w:rPr>
          <w:rFonts w:cs="Times"/>
        </w:rPr>
        <w:t xml:space="preserve"> of the CNCs. The</w:t>
      </w:r>
      <w:r>
        <w:rPr>
          <w:rFonts w:cs="Times"/>
        </w:rPr>
        <w:t>ir</w:t>
      </w:r>
      <w:r w:rsidRPr="000A75A9">
        <w:rPr>
          <w:rFonts w:cs="Times"/>
        </w:rPr>
        <w:t xml:space="preserve"> </w:t>
      </w:r>
      <w:r>
        <w:rPr>
          <w:rFonts w:cs="Times"/>
        </w:rPr>
        <w:t>periodic</w:t>
      </w:r>
      <w:r w:rsidRPr="000A75A9">
        <w:rPr>
          <w:rFonts w:cs="Times"/>
        </w:rPr>
        <w:t xml:space="preserve"> structure leads to </w:t>
      </w:r>
      <w:r>
        <w:rPr>
          <w:rFonts w:cs="Times"/>
        </w:rPr>
        <w:t>a coherent</w:t>
      </w:r>
      <w:r w:rsidRPr="000A75A9">
        <w:rPr>
          <w:rFonts w:cs="Times"/>
        </w:rPr>
        <w:t xml:space="preserve"> SONLO </w:t>
      </w:r>
      <w:r>
        <w:rPr>
          <w:rFonts w:cs="Times"/>
        </w:rPr>
        <w:t xml:space="preserve">response </w:t>
      </w:r>
      <w:r w:rsidRPr="000A75A9">
        <w:rPr>
          <w:rFonts w:cs="Times"/>
        </w:rPr>
        <w:t xml:space="preserve">which </w:t>
      </w:r>
      <w:r w:rsidRPr="000A75A9">
        <w:rPr>
          <w:rFonts w:cs="Times"/>
        </w:rPr>
        <w:lastRenderedPageBreak/>
        <w:t xml:space="preserve">scales quadratically with the </w:t>
      </w:r>
      <w:r>
        <w:rPr>
          <w:rFonts w:cs="Times"/>
        </w:rPr>
        <w:t>number</w:t>
      </w:r>
      <w:r w:rsidRPr="000A75A9">
        <w:rPr>
          <w:rFonts w:cs="Times"/>
        </w:rPr>
        <w:t xml:space="preserve"> of </w:t>
      </w:r>
      <w:r>
        <w:rPr>
          <w:rFonts w:cs="Times"/>
        </w:rPr>
        <w:t>unit cells within the CNC</w:t>
      </w:r>
      <w:r w:rsidRPr="000A75A9">
        <w:rPr>
          <w:rFonts w:cs="Times"/>
        </w:rPr>
        <w:t>.</w:t>
      </w:r>
      <w:r>
        <w:rPr>
          <w:rFonts w:cs="Times"/>
        </w:rPr>
        <w:t xml:space="preserve"> Rescaling the first hyperpolarizability to the response per unit cell yields a much smaller value of </w:t>
      </w:r>
      <w:r w:rsidR="00D7491D" w:rsidRPr="00D7491D">
        <w:rPr>
          <w:rFonts w:ascii="Cambria Math" w:eastAsiaTheme="minorEastAsia" w:hAnsi="Cambria Math"/>
        </w:rPr>
        <w:br/>
      </w:r>
      <m:oMath>
        <m:sSub>
          <m:sSubPr>
            <m:ctrlPr>
              <w:rPr>
                <w:rFonts w:ascii="Cambria Math" w:eastAsiaTheme="minorEastAsia" w:hAnsi="Cambria Math"/>
              </w:rPr>
            </m:ctrlPr>
          </m:sSubPr>
          <m:e>
            <m:r>
              <m:rPr>
                <m:sty m:val="p"/>
              </m:rPr>
              <w:rPr>
                <w:rFonts w:ascii="Cambria Math" w:eastAsiaTheme="minorEastAsia" w:hAnsi="Cambria Math"/>
              </w:rPr>
              <m:t>β</m:t>
            </m:r>
          </m:e>
          <m:sub>
            <m:r>
              <m:rPr>
                <m:sty m:val="p"/>
              </m:rPr>
              <w:rPr>
                <w:rFonts w:ascii="Cambria Math" w:eastAsiaTheme="minorEastAsia" w:hAnsi="Cambria Math"/>
              </w:rPr>
              <m:t>HRS,uc,0</m:t>
            </m:r>
          </m:sub>
        </m:sSub>
        <m:r>
          <w:rPr>
            <w:rFonts w:ascii="Cambria Math" w:hAnsi="Cambria Math"/>
          </w:rPr>
          <m:t>= 0.149± 0.008×</m:t>
        </m:r>
        <m:sSup>
          <m:sSupPr>
            <m:ctrlPr>
              <w:rPr>
                <w:rFonts w:ascii="Cambria Math" w:hAnsi="Cambria Math"/>
                <w:i/>
              </w:rPr>
            </m:ctrlPr>
          </m:sSupPr>
          <m:e>
            <m:r>
              <w:rPr>
                <w:rFonts w:ascii="Cambria Math" w:hAnsi="Cambria Math"/>
              </w:rPr>
              <m:t>10</m:t>
            </m:r>
          </m:e>
          <m:sup>
            <m:r>
              <w:rPr>
                <w:rFonts w:ascii="Cambria Math" w:hAnsi="Cambria Math"/>
              </w:rPr>
              <m:t>-30</m:t>
            </m:r>
          </m:sup>
        </m:sSup>
        <m:r>
          <w:rPr>
            <w:rFonts w:ascii="Cambria Math" w:hAnsi="Cambria Math"/>
          </w:rPr>
          <m:t xml:space="preserve"> </m:t>
        </m:r>
        <m:r>
          <m:rPr>
            <m:sty m:val="p"/>
          </m:rPr>
          <w:rPr>
            <w:rFonts w:ascii="Cambria Math" w:hAnsi="Cambria Math"/>
          </w:rPr>
          <m:t>esu</m:t>
        </m:r>
      </m:oMath>
      <w:r w:rsidR="0CB620DD">
        <w:rPr>
          <w:rFonts w:cs="Times"/>
        </w:rPr>
        <w:t>.</w:t>
      </w:r>
      <w:r w:rsidR="0CB620DD" w:rsidRPr="635E82E4">
        <w:rPr>
          <w:rFonts w:cs="Times"/>
        </w:rPr>
        <w:t xml:space="preserve"> </w:t>
      </w:r>
      <w:r>
        <w:rPr>
          <w:rFonts w:cs="Times"/>
        </w:rPr>
        <w:t>In ESI</w:t>
      </w:r>
      <w:r w:rsidR="2F98F605">
        <w:rPr>
          <w:rFonts w:cs="Times"/>
        </w:rPr>
        <w:t>.1</w:t>
      </w:r>
      <w:r w:rsidR="001844FE">
        <w:rPr>
          <w:rFonts w:cs="Times"/>
        </w:rPr>
        <w:t>6</w:t>
      </w:r>
      <w:r>
        <w:rPr>
          <w:rFonts w:cs="Times"/>
        </w:rPr>
        <w:t xml:space="preserve"> we calculated their corresponding second-order nonlinear susceptibility, yielding values around 1 pm/V. This response falls in line with values expected for inorganic crystals</w:t>
      </w:r>
      <w:r w:rsidR="1EF0E30E">
        <w:rPr>
          <w:rFonts w:cs="Times"/>
        </w:rPr>
        <w:t>,</w:t>
      </w:r>
      <w:r>
        <w:rPr>
          <w:rFonts w:cs="Times"/>
        </w:rPr>
        <w:t xml:space="preserve"> higher than the inorganic reference material KDP</w:t>
      </w:r>
      <w:r w:rsidR="1EF0E30E">
        <w:rPr>
          <w:rFonts w:cs="Times"/>
        </w:rPr>
        <w:t xml:space="preserve"> = </w:t>
      </w:r>
      <w:r w:rsidR="45E723F4">
        <w:rPr>
          <w:rFonts w:cs="Times"/>
        </w:rPr>
        <w:t>0.</w:t>
      </w:r>
      <w:r w:rsidR="005C568D">
        <w:rPr>
          <w:rFonts w:cs="Times"/>
        </w:rPr>
        <w:t>78</w:t>
      </w:r>
      <w:r w:rsidR="45E723F4">
        <w:rPr>
          <w:rFonts w:cs="Times"/>
        </w:rPr>
        <w:t xml:space="preserve"> pm/V</w:t>
      </w:r>
      <w:r>
        <w:rPr>
          <w:rFonts w:cs="Times"/>
        </w:rPr>
        <w:t>.</w:t>
      </w:r>
      <w:r w:rsidR="00F02488">
        <w:rPr>
          <w:rFonts w:cs="Times"/>
        </w:rPr>
        <w:fldChar w:fldCharType="begin" w:fldLock="1"/>
      </w:r>
      <w:r w:rsidR="00230CB5">
        <w:rPr>
          <w:rFonts w:cs="Times"/>
        </w:rPr>
        <w:instrText>ADDIN CSL_CITATION {"citationItems":[{"id":"ITEM-1","itemData":{"DOI":"10.1063/5.0137274","ISSN":"10897690","PMID":"36792490","abstract":"Using the CRYSTAL17 package at the coupled-perturbed Kohn-Sham (CPKS) level, periodic boundary conditions first-principles calculations are enacted to predict the second harmonic generation second-order nonlinear optical (NLO) susceptibility, χ(2), values of six historical NLO crystals. This selection allowed the comparison between state-of-the-art calculations and experiment. Several computational aspects are tackled to define conditions where the results are converged with respect to the range of lattice summations, to the number of k-points in the first Brillouin zone, to the order of the multipole expansions for evaluating the long-range part of the electrostatic interactions, as well as to the atomic basis set size. A valence triple zeta basis set supplemented with polarization functions has been selected. Then, χ(2) calculations have been performed using a range of exchange-correlation functionals (XCFs). Results show the large impact of the amount of Hartree-Fock (HF) exchange on the amplitude but also on the sign on the χ(2) tensor components. To a given extent, these amplitude effects are consistent with results on molecules, but the sign reversal effects and the non-monotonic behavior of the χ(2) tensor components as a function of the amount of HF exchange are scarcely found for molecules. Then, using the recommended range-separated hybrid XCFs, the CPKS scheme leads to good agreement with experimental data for potassium dihydrogenophosphate, urea, and χZXX(2) of LiNbO3. The agreement is more questionable for χZZZ(2) of LiNbO3 whereas it remains poor for ammonium dihydrogenophosphate and 2-methyl-4-nitroaniline, with large underestimations by about a factor of 3, opening a path to further fine-tuning of the ranges of inclusion of HF exchange.","author":[{"dropping-particle":"","family":"Mairesse","given":"François","non-dropping-particle":"","parse-names":false,"suffix":""},{"dropping-particle":"","family":"Maschio","given":"Lorenzo","non-dropping-particle":"","parse-names":false,"suffix":""},{"dropping-particle":"","family":"Champagne","given":"Benoît","non-dropping-particle":"","parse-names":false,"suffix":""}],"container-title":"Journal of Chemical Physics","id":"ITEM-1","issue":"6","issued":{"date-parts":[["2023"]]},"publisher":"AIP Publishing, LLC","title":"First-principles evaluation of the second harmonic generation response of reference organic and inorganic crystals","type":"article-journal","volume":"158"},"uris":["http://www.mendeley.com/documents/?uuid=f9de6174-f948-4bb4-85e1-5c1c64b8544a"]},{"id":"ITEM-2","itemData":{"author":[{"dropping-particle":"","family":"Boyd","given":"Robert W","non-dropping-particle":"","parse-names":false,"suffix":""}],"id":"ITEM-2","issued":{"date-parts":[["2003"]]},"publisher":"Academic press","title":"Nonlinear optics","type":"book"},"uris":["http://www.mendeley.com/documents/?uuid=a6ee3da9-e36f-4b60-9de7-f3a9f86093a3"]}],"mendeley":{"formattedCitation":"&lt;sup&gt;49,60&lt;/sup&gt;","plainTextFormattedCitation":"49,60","previouslyFormattedCitation":"&lt;sup&gt;49,60&lt;/sup&gt;"},"properties":{"noteIndex":0},"schema":"https://github.com/citation-style-language/schema/raw/master/csl-citation.json"}</w:instrText>
      </w:r>
      <w:r w:rsidR="00F02488">
        <w:rPr>
          <w:rFonts w:cs="Times"/>
        </w:rPr>
        <w:fldChar w:fldCharType="separate"/>
      </w:r>
      <w:r w:rsidR="00D91D8C" w:rsidRPr="00D91D8C">
        <w:rPr>
          <w:rFonts w:cs="Times"/>
          <w:noProof/>
          <w:vertAlign w:val="superscript"/>
        </w:rPr>
        <w:t>49,60</w:t>
      </w:r>
      <w:r w:rsidR="00F02488">
        <w:rPr>
          <w:rFonts w:cs="Times"/>
        </w:rPr>
        <w:fldChar w:fldCharType="end"/>
      </w:r>
    </w:p>
    <w:p w14:paraId="2AE4B108" w14:textId="1C0CEB04" w:rsidR="00F02488" w:rsidRPr="00C673B5" w:rsidRDefault="00F02488" w:rsidP="00C673B5">
      <w:pPr>
        <w:pStyle w:val="TAMainText"/>
        <w:rPr>
          <w:i/>
        </w:rPr>
      </w:pPr>
      <w:r>
        <w:rPr>
          <w:rFonts w:cs="Times"/>
        </w:rPr>
        <w:t xml:space="preserve">In order to gain insight into the tensorial nature of the SONLO response, we undertook depolarized HRS measurements, measuring a depolarization ratio of </w:t>
      </w:r>
      <w:r>
        <w:t>3.1 ± 0.7. Such high values are expected for compounds with a strong polar contribution, but due to the large number of tensor components associated with the C</w:t>
      </w:r>
      <w:r>
        <w:rPr>
          <w:vertAlign w:val="subscript"/>
        </w:rPr>
        <w:t>2</w:t>
      </w:r>
      <w:r>
        <w:t xml:space="preserve"> point group of CNCs it is impossible to determine their relative contributions based on the depolarization ratio</w:t>
      </w:r>
      <w:r w:rsidR="006149C0">
        <w:t xml:space="preserve"> alone</w:t>
      </w:r>
      <w:r>
        <w:t xml:space="preserve">. In order to benchmark the values obtained from HRS experiments and gain more insight into the relative magnitude of the different tensor elements </w:t>
      </w:r>
      <m:oMath>
        <m:sSub>
          <m:sSubPr>
            <m:ctrlPr>
              <w:rPr>
                <w:rFonts w:ascii="Cambria Math" w:hAnsi="Cambria Math"/>
                <w:i/>
              </w:rPr>
            </m:ctrlPr>
          </m:sSubPr>
          <m:e>
            <m:r>
              <w:rPr>
                <w:rFonts w:ascii="Cambria Math" w:hAnsi="Cambria Math"/>
              </w:rPr>
              <m:t>β</m:t>
            </m:r>
          </m:e>
          <m:sub>
            <m:r>
              <w:rPr>
                <w:rFonts w:ascii="Cambria Math" w:hAnsi="Cambria Math"/>
              </w:rPr>
              <m:t>ijk</m:t>
            </m:r>
          </m:sub>
        </m:sSub>
      </m:oMath>
      <w:r w:rsidRPr="00A12439">
        <w:t xml:space="preserve">, </w:t>
      </w:r>
      <w:r w:rsidR="00DE290D">
        <w:t>q</w:t>
      </w:r>
      <w:r w:rsidRPr="00A12439">
        <w:t xml:space="preserve">uantum </w:t>
      </w:r>
      <w:r w:rsidR="00A17035">
        <w:t>chemical</w:t>
      </w:r>
      <w:r>
        <w:t xml:space="preserve"> </w:t>
      </w:r>
      <w:r w:rsidR="00DE4FDB">
        <w:t xml:space="preserve">modeling </w:t>
      </w:r>
      <w:r>
        <w:t>was performed. We first considere</w:t>
      </w:r>
      <w:r w:rsidRPr="00A12439">
        <w:t>d an infinite</w:t>
      </w:r>
      <w:r>
        <w:t xml:space="preserve"> crystal whereby five different </w:t>
      </w:r>
      <w:r w:rsidRPr="00A12439">
        <w:t>XCFs were used to determine the first hyperpolarizability</w:t>
      </w:r>
      <w:r>
        <w:t xml:space="preserve"> molecular tensor </w:t>
      </w:r>
      <w:r w:rsidRPr="00A12439">
        <w:t>components, one being used considering a geometrically optimized structure of the crystal lattice. From this first set of data, it was found that the first hyperpolarizability tensor could be reduced to two independent dominant tensor components (</w:t>
      </w:r>
      <m:oMath>
        <m:sSub>
          <m:sSubPr>
            <m:ctrlPr>
              <w:rPr>
                <w:rFonts w:ascii="Cambria Math" w:hAnsi="Cambria Math"/>
              </w:rPr>
            </m:ctrlPr>
          </m:sSubPr>
          <m:e>
            <m:r>
              <w:rPr>
                <w:rFonts w:ascii="Cambria Math" w:hAnsi="Cambria Math"/>
              </w:rPr>
              <m:t>β</m:t>
            </m:r>
          </m:e>
          <m:sub>
            <m:r>
              <w:rPr>
                <w:rFonts w:ascii="Cambria Math" w:hAnsi="Cambria Math"/>
              </w:rPr>
              <m:t>zzz</m:t>
            </m:r>
          </m:sub>
        </m:sSub>
      </m:oMath>
      <w:r w:rsidRPr="00A12439">
        <w:t xml:space="preserve"> and </w:t>
      </w:r>
      <m:oMath>
        <m:sSub>
          <m:sSubPr>
            <m:ctrlPr>
              <w:rPr>
                <w:rFonts w:ascii="Cambria Math" w:hAnsi="Cambria Math"/>
                <w:i/>
                <w:iCs/>
              </w:rPr>
            </m:ctrlPr>
          </m:sSubPr>
          <m:e>
            <m:r>
              <w:rPr>
                <w:rFonts w:ascii="Cambria Math" w:hAnsi="Cambria Math"/>
              </w:rPr>
              <m:t>β</m:t>
            </m:r>
          </m:e>
          <m:sub>
            <m:r>
              <w:rPr>
                <w:rFonts w:ascii="Cambria Math" w:hAnsi="Cambria Math"/>
              </w:rPr>
              <m:t>zyy</m:t>
            </m:r>
          </m:sub>
        </m:sSub>
      </m:oMath>
      <w:r w:rsidRPr="00A12439">
        <w:t xml:space="preserve">). This reduction of tensor complexity </w:t>
      </w:r>
      <w:r w:rsidR="00197E3A">
        <w:t>allows</w:t>
      </w:r>
      <w:r w:rsidR="00197E3A" w:rsidRPr="00A12439">
        <w:t xml:space="preserve"> </w:t>
      </w:r>
      <w:r w:rsidR="00197E3A">
        <w:t xml:space="preserve">taking into </w:t>
      </w:r>
      <w:r w:rsidRPr="00A12439">
        <w:t xml:space="preserve">account the shape of the nanocrystals and their dielectric properties to obtain scaled tensor components via a simple electrostatic model. The scaled quantities resulted in a better match to the experimental data for both the DR and the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m:t>
            </m:r>
          </m:sub>
        </m:sSub>
      </m:oMath>
      <w:r w:rsidRPr="00A12439">
        <w:t xml:space="preserve">. </w:t>
      </w:r>
      <w:r w:rsidRPr="00A12439">
        <w:rPr>
          <w:rFonts w:eastAsiaTheme="minorEastAsia"/>
        </w:rPr>
        <w:t>This semi-quantitative agreement between the HRS measurements and the quantum chemistry simulations supports the choice of methods and the various physical interpretations, i.e. the HRS signal being primarily due to the bulk response of the crystals, while impacted by their size, shape, and dielectric properties.</w:t>
      </w:r>
      <w:r>
        <w:rPr>
          <w:rFonts w:eastAsiaTheme="minorEastAsia"/>
        </w:rPr>
        <w:t xml:space="preserve"> </w:t>
      </w:r>
    </w:p>
    <w:p w14:paraId="22684298" w14:textId="75DF933D" w:rsidR="00F02488" w:rsidRDefault="00F02488" w:rsidP="00F02488">
      <w:pPr>
        <w:pStyle w:val="TAMainText"/>
      </w:pPr>
      <w:r w:rsidRPr="00A12439">
        <w:lastRenderedPageBreak/>
        <w:t xml:space="preserve">Although the </w:t>
      </w:r>
      <m:oMath>
        <m:r>
          <m:rPr>
            <m:sty m:val="p"/>
          </m:rPr>
          <w:rPr>
            <w:rFonts w:ascii="Cambria Math" w:hAnsi="Cambria Math"/>
          </w:rPr>
          <m:t>D</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scaled</m:t>
            </m:r>
          </m:sub>
        </m:sSub>
      </m:oMath>
      <w:r w:rsidRPr="00A12439">
        <w:t xml:space="preserve"> values were consistently lower than the experimental ones, the results can be considered in good agreement with experiment. One of the XCF results involving the optimized structure fell within the range of the experimental uncertainty. i.e LC-BLYP20 which yielded a value </w:t>
      </w:r>
      <w:r w:rsidRPr="00F400F5">
        <w:t xml:space="preserve">of </w:t>
      </w:r>
      <m:oMath>
        <m:r>
          <m:rPr>
            <m:sty m:val="p"/>
          </m:rPr>
          <w:rPr>
            <w:rFonts w:ascii="Cambria Math" w:hAnsi="Cambria Math"/>
          </w:rPr>
          <m:t>D</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scaled</m:t>
            </m:r>
          </m:sub>
        </m:sSub>
        <m:r>
          <m:rPr>
            <m:sty m:val="p"/>
          </m:rPr>
          <w:rPr>
            <w:rFonts w:ascii="Cambria Math" w:hAnsi="Cambria Math"/>
          </w:rPr>
          <m:t>= 2.541±0.172</m:t>
        </m:r>
      </m:oMath>
      <w:r w:rsidRPr="00A12439">
        <w:t>.</w:t>
      </w:r>
      <w:r w:rsidRPr="00BE0E54">
        <w:t xml:space="preserve"> </w:t>
      </w:r>
    </w:p>
    <w:p w14:paraId="14CF8E06" w14:textId="70C34052" w:rsidR="00F02488" w:rsidRDefault="1D91C26A" w:rsidP="635E82E4">
      <w:pPr>
        <w:pStyle w:val="TAMainText"/>
        <w:rPr>
          <w:rFonts w:eastAsiaTheme="minorEastAsia"/>
        </w:rPr>
      </w:pPr>
      <w:r w:rsidRPr="00EB00BC">
        <w:t xml:space="preserve">For the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HRS,scaled</m:t>
            </m:r>
          </m:sub>
        </m:sSub>
      </m:oMath>
      <w:r w:rsidRPr="00EB00BC">
        <w:t xml:space="preserve"> the values were consistently higher than the experimental ones. Here, the diff</w:t>
      </w:r>
      <w:r w:rsidRPr="00A12439">
        <w:t xml:space="preserve">erences were more significant than </w:t>
      </w:r>
      <w:r w:rsidR="00197E3A">
        <w:t xml:space="preserve">for </w:t>
      </w:r>
      <w:r w:rsidRPr="00A12439">
        <w:t xml:space="preserve">the DR, with the values for all models being higher by a factor of 1.9 - 4.0. The best approximation came from </w:t>
      </w:r>
      <m:oMath>
        <m:r>
          <m:rPr>
            <m:sty m:val="p"/>
          </m:rPr>
          <w:rPr>
            <w:rFonts w:ascii="Cambria Math" w:hAnsi="Cambria Math"/>
          </w:rPr>
          <m:t>ω</m:t>
        </m:r>
      </m:oMath>
      <w:r w:rsidRPr="635E82E4">
        <w:rPr>
          <w:rFonts w:eastAsiaTheme="minorEastAsia"/>
        </w:rPr>
        <w:t xml:space="preserve">B97X with a value for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HRS,scaled</m:t>
            </m:r>
          </m:sub>
        </m:sSub>
        <m:r>
          <m:rPr>
            <m:sty m:val="p"/>
          </m:rPr>
          <w:rPr>
            <w:rFonts w:ascii="Cambria Math" w:hAnsi="Cambria Math"/>
          </w:rPr>
          <m:t>=0.364± 0.025×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-30</m:t>
            </m:r>
          </m:sup>
        </m:sSup>
        <m:r>
          <m:rPr>
            <m:sty m:val="p"/>
          </m:rPr>
          <w:rPr>
            <w:rFonts w:ascii="Cambria Math" w:hAnsi="Cambria Math"/>
          </w:rPr>
          <m:t xml:space="preserve"> esu</m:t>
        </m:r>
      </m:oMath>
      <w:r w:rsidRPr="635E82E4">
        <w:rPr>
          <w:rFonts w:eastAsiaTheme="minorEastAsia"/>
        </w:rPr>
        <w:t xml:space="preserve">. Nonetheless the experimental and </w:t>
      </w:r>
      <w:r w:rsidR="006729C7">
        <w:rPr>
          <w:rFonts w:eastAsiaTheme="minorEastAsia"/>
        </w:rPr>
        <w:t>molecular modeling</w:t>
      </w:r>
      <w:r w:rsidRPr="635E82E4">
        <w:rPr>
          <w:rFonts w:eastAsiaTheme="minorEastAsia"/>
        </w:rPr>
        <w:t xml:space="preserve"> results are of the same order of magnitude</w:t>
      </w:r>
      <w:r w:rsidR="00197E3A">
        <w:rPr>
          <w:rFonts w:eastAsiaTheme="minorEastAsia"/>
        </w:rPr>
        <w:t>, showing that the enacted approximations were</w:t>
      </w:r>
      <w:r w:rsidRPr="635E82E4">
        <w:rPr>
          <w:rFonts w:eastAsiaTheme="minorEastAsia"/>
        </w:rPr>
        <w:t xml:space="preserve"> reasonable. The remaining discrepancy between the </w:t>
      </w:r>
      <w:r w:rsidR="0F4B5AB9" w:rsidRPr="635E82E4">
        <w:rPr>
          <w:rFonts w:eastAsiaTheme="minorEastAsia"/>
        </w:rPr>
        <w:t>HRS</w:t>
      </w:r>
      <w:r w:rsidRPr="635E82E4">
        <w:rPr>
          <w:rFonts w:eastAsiaTheme="minorEastAsia"/>
        </w:rPr>
        <w:t xml:space="preserve"> measurement and the simulation results could have different origins, including the approximations of the electrostatic model, the approximations of the XCFs, the use of Lorentz factors when analyzing the HRS data, as well the two-state model approximation employed to get the internal reference values. </w:t>
      </w:r>
      <w:r w:rsidR="00C669C4">
        <w:rPr>
          <w:rFonts w:eastAsiaTheme="minorEastAsia"/>
        </w:rPr>
        <w:t xml:space="preserve">Moreover, the presence of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α</m:t>
            </m:r>
          </m:sub>
        </m:sSub>
      </m:oMath>
      <w:r w:rsidR="00C669C4" w:rsidRPr="00EB00BC">
        <w:t xml:space="preserve"> </w:t>
      </w:r>
      <w:r w:rsidR="00381C81">
        <w:t xml:space="preserve">phase, having no second-order NLO response owing to its symmetry, can also partly explain the smaller experimental value.  </w:t>
      </w:r>
    </w:p>
    <w:p w14:paraId="4AA434AF" w14:textId="276BABDA" w:rsidR="0016161D" w:rsidRDefault="00F02488" w:rsidP="0016161D">
      <w:pPr>
        <w:pStyle w:val="TAMainText"/>
        <w:rPr>
          <w:rFonts w:cs="Times"/>
        </w:rPr>
      </w:pPr>
      <w:r w:rsidRPr="00E56305">
        <w:rPr>
          <w:rFonts w:cs="Times"/>
        </w:rPr>
        <w:t>According to the simplified model for C</w:t>
      </w:r>
      <w:r w:rsidRPr="00593EB6">
        <w:rPr>
          <w:rFonts w:cs="Times"/>
          <w:vertAlign w:val="subscript"/>
        </w:rPr>
        <w:t>2v</w:t>
      </w:r>
      <w:r w:rsidRPr="00E56305">
        <w:rPr>
          <w:rFonts w:cs="Times"/>
        </w:rPr>
        <w:t xml:space="preserve">, the experimental measurement of the DR provides an elegant way to probe the contributions of the complex material to two independent components </w:t>
      </w:r>
      <w:proofErr w:type="spellStart"/>
      <w:r w:rsidRPr="00E56305">
        <w:rPr>
          <w:rFonts w:cs="Times"/>
        </w:rPr>
        <w:t>i.e</w:t>
      </w:r>
      <w:proofErr w:type="spellEnd"/>
      <w:r w:rsidRPr="00E56305">
        <w:rPr>
          <w:rFonts w:cs="Times"/>
        </w:rPr>
        <w:t xml:space="preserve">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zzz</m:t>
            </m:r>
          </m:sub>
        </m:sSub>
      </m:oMath>
      <w:r w:rsidRPr="00E56305">
        <w:rPr>
          <w:rFonts w:cs="Times"/>
        </w:rPr>
        <w:t xml:space="preserve"> and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zyy</m:t>
            </m:r>
          </m:sub>
        </m:sSub>
      </m:oMath>
      <w:r w:rsidRPr="00E56305">
        <w:rPr>
          <w:rFonts w:cs="Times"/>
        </w:rPr>
        <w:t xml:space="preserve">. Based on experimental results, we get two solutions for </w:t>
      </w:r>
      <m:oMath>
        <m:r>
          <w:rPr>
            <w:rFonts w:ascii="Cambria Math" w:hAnsi="Cambria Math" w:cs="Times"/>
          </w:rPr>
          <m:t>R=</m:t>
        </m:r>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zyy</m:t>
            </m:r>
          </m:sub>
        </m:sSub>
        <m:r>
          <m:rPr>
            <m:lit/>
          </m:rPr>
          <w:rPr>
            <w:rFonts w:ascii="Cambria Math" w:hAnsi="Cambria Math" w:cs="Times"/>
          </w:rPr>
          <m:t>/</m:t>
        </m:r>
        <m:sSub>
          <m:sSubPr>
            <m:ctrlPr>
              <w:rPr>
                <w:rFonts w:ascii="Cambria Math" w:hAnsi="Cambria Math" w:cs="Times"/>
                <w:i/>
              </w:rPr>
            </m:ctrlPr>
          </m:sSubPr>
          <m:e>
            <m:r>
              <m:rPr>
                <m:sty m:val="p"/>
              </m:rPr>
              <w:rPr>
                <w:rFonts w:ascii="Cambria Math" w:hAnsi="Cambria Math" w:cs="Times"/>
              </w:rPr>
              <m:t>β</m:t>
            </m:r>
            <m:ctrlPr>
              <w:rPr>
                <w:rFonts w:ascii="Cambria Math" w:hAnsi="Cambria Math" w:cs="Times"/>
              </w:rPr>
            </m:ctrlPr>
          </m:e>
          <m:sub>
            <m:r>
              <w:rPr>
                <w:rFonts w:ascii="Cambria Math" w:hAnsi="Cambria Math" w:cs="Times"/>
              </w:rPr>
              <m:t>zzz</m:t>
            </m:r>
          </m:sub>
        </m:sSub>
      </m:oMath>
      <w:r w:rsidRPr="00E56305">
        <w:rPr>
          <w:rFonts w:cs="Times"/>
        </w:rPr>
        <w:t xml:space="preserve"> from eqn</w:t>
      </w:r>
      <w:r w:rsidR="0043030A">
        <w:rPr>
          <w:rFonts w:cs="Times"/>
        </w:rPr>
        <w:t> </w:t>
      </w:r>
      <w:r w:rsidRPr="00E56305">
        <w:rPr>
          <w:rFonts w:cs="Times"/>
        </w:rPr>
        <w:t>(</w:t>
      </w:r>
      <w:r w:rsidR="00FB239D">
        <w:rPr>
          <w:rFonts w:cs="Times"/>
        </w:rPr>
        <w:t>8</w:t>
      </w:r>
      <w:r w:rsidRPr="00E56305">
        <w:rPr>
          <w:rFonts w:cs="Times"/>
        </w:rPr>
        <w:t xml:space="preserve">), but due to the polar nature of CNCs the value of -0.222 is retained. This value is also more in line with what is expected from the simulations. From the experimental measurements the dominance of the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zzz</m:t>
            </m:r>
          </m:sub>
        </m:sSub>
      </m:oMath>
      <w:r w:rsidRPr="00E56305">
        <w:rPr>
          <w:rFonts w:cs="Times"/>
        </w:rPr>
        <w:t xml:space="preserve"> is established, given a value of five times higher than the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zyy</m:t>
            </m:r>
          </m:sub>
        </m:sSub>
      </m:oMath>
      <w:r w:rsidR="004A5A7D">
        <w:rPr>
          <w:rFonts w:cs="Times"/>
        </w:rPr>
        <w:t xml:space="preserve"> </w:t>
      </w:r>
      <w:r w:rsidRPr="00E56305">
        <w:rPr>
          <w:rFonts w:cs="Times"/>
        </w:rPr>
        <w:t xml:space="preserve">component. </w:t>
      </w:r>
      <w:r w:rsidR="0016161D" w:rsidRPr="000C6E16">
        <w:rPr>
          <w:rFonts w:cs="Times"/>
        </w:rPr>
        <w:t xml:space="preserve">This is generally in line with a simplified approach we adopted in a previous publication, where we employed </w:t>
      </w:r>
      <w:r w:rsidR="00153269" w:rsidRPr="000C6E16">
        <w:rPr>
          <w:rFonts w:cs="Times"/>
        </w:rPr>
        <w:t>two</w:t>
      </w:r>
      <w:r w:rsidR="0016161D" w:rsidRPr="000C6E16">
        <w:rPr>
          <w:rFonts w:cs="Times"/>
        </w:rPr>
        <w:t xml:space="preserve">-photon microscopy and assumed a dominant </w:t>
      </w:r>
      <m:oMath>
        <m:sSub>
          <m:sSubPr>
            <m:ctrlPr>
              <w:rPr>
                <w:rFonts w:ascii="Cambria Math" w:hAnsi="Cambria Math" w:cs="Times"/>
                <w:i/>
              </w:rPr>
            </m:ctrlPr>
          </m:sSubPr>
          <m:e>
            <m:r>
              <w:rPr>
                <w:rFonts w:ascii="Cambria Math" w:hAnsi="Cambria Math" w:cs="Times"/>
              </w:rPr>
              <m:t>β</m:t>
            </m:r>
          </m:e>
          <m:sub>
            <m:r>
              <w:rPr>
                <w:rFonts w:ascii="Cambria Math" w:hAnsi="Cambria Math" w:cs="Times"/>
              </w:rPr>
              <m:t>zzz</m:t>
            </m:r>
          </m:sub>
        </m:sSub>
      </m:oMath>
      <w:r w:rsidR="0016161D" w:rsidRPr="000C6E16">
        <w:rPr>
          <w:rFonts w:cs="Times"/>
        </w:rPr>
        <w:t xml:space="preserve"> to derive local alignment </w:t>
      </w:r>
      <w:r w:rsidR="0016161D" w:rsidRPr="000C6E16">
        <w:rPr>
          <w:rFonts w:cs="Times"/>
        </w:rPr>
        <w:lastRenderedPageBreak/>
        <w:t>deviations of CNCs forming a cholesteric liquid crystal. In</w:t>
      </w:r>
      <w:r w:rsidR="0016161D" w:rsidRPr="00E56305">
        <w:rPr>
          <w:rFonts w:cs="Times"/>
        </w:rPr>
        <w:t xml:space="preserve"> future studies, additional contributions of the </w:t>
      </w:r>
      <m:oMath>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zyy</m:t>
            </m:r>
          </m:sub>
        </m:sSub>
      </m:oMath>
      <w:r w:rsidR="0016161D">
        <w:rPr>
          <w:rFonts w:cs="Times"/>
        </w:rPr>
        <w:t xml:space="preserve"> </w:t>
      </w:r>
      <w:r w:rsidR="0016161D" w:rsidRPr="00E56305">
        <w:rPr>
          <w:rFonts w:cs="Times"/>
        </w:rPr>
        <w:t>component should be taken into account as well to fine</w:t>
      </w:r>
      <w:r w:rsidR="0016161D">
        <w:rPr>
          <w:rFonts w:cs="Times"/>
        </w:rPr>
        <w:t xml:space="preserve"> </w:t>
      </w:r>
      <w:r w:rsidR="0016161D" w:rsidRPr="00E56305">
        <w:rPr>
          <w:rFonts w:cs="Times"/>
        </w:rPr>
        <w:t xml:space="preserve">tune the </w:t>
      </w:r>
      <w:r w:rsidR="0016161D" w:rsidRPr="008E1406">
        <w:rPr>
          <w:rFonts w:cs="Times"/>
        </w:rPr>
        <w:t>analysis.</w:t>
      </w:r>
      <w:r w:rsidR="004F435D" w:rsidRPr="008E1406">
        <w:rPr>
          <w:rFonts w:cs="Times"/>
        </w:rPr>
        <w:t xml:space="preserve"> In evaluating alignment in poled CNC phases or films, knowledge of the tensorial nature of </w:t>
      </w:r>
      <m:oMath>
        <m:r>
          <w:rPr>
            <w:rFonts w:ascii="Cambria Math" w:hAnsi="Cambria Math" w:cs="Times"/>
          </w:rPr>
          <m:t>β</m:t>
        </m:r>
      </m:oMath>
      <w:r w:rsidR="004F435D" w:rsidRPr="008E1406">
        <w:rPr>
          <w:rFonts w:cs="Times"/>
        </w:rPr>
        <w:t xml:space="preserve"> is also crucial.</w:t>
      </w:r>
    </w:p>
    <w:p w14:paraId="2F2CABAC" w14:textId="77777777" w:rsidR="00C553D0" w:rsidRDefault="00C553D0" w:rsidP="006C10E3">
      <w:pPr>
        <w:pStyle w:val="TAMainText"/>
        <w:spacing w:line="240" w:lineRule="auto"/>
        <w:ind w:firstLine="204"/>
        <w:rPr>
          <w:rFonts w:ascii="Palatino Linotype" w:hAnsi="Palatino Linotype"/>
          <w:b/>
          <w:bCs/>
        </w:rPr>
      </w:pPr>
    </w:p>
    <w:p w14:paraId="0BCEF562" w14:textId="4A966366" w:rsidR="006C10E3" w:rsidRDefault="006C10E3" w:rsidP="006C10E3">
      <w:pPr>
        <w:pStyle w:val="TAMainText"/>
        <w:spacing w:line="240" w:lineRule="auto"/>
        <w:ind w:firstLine="204"/>
        <w:rPr>
          <w:rFonts w:ascii="Palatino Linotype" w:hAnsi="Palatino Linotype"/>
          <w:b/>
          <w:bCs/>
        </w:rPr>
      </w:pPr>
      <w:r w:rsidRPr="00805CA8">
        <w:rPr>
          <w:rFonts w:ascii="Palatino Linotype" w:hAnsi="Palatino Linotype"/>
          <w:b/>
          <w:bCs/>
        </w:rPr>
        <w:t>Part V: Conclusion</w:t>
      </w:r>
    </w:p>
    <w:p w14:paraId="43169D82" w14:textId="77777777" w:rsidR="00C553D0" w:rsidRDefault="00C553D0" w:rsidP="006C10E3">
      <w:pPr>
        <w:pStyle w:val="TAMainText"/>
        <w:spacing w:line="240" w:lineRule="auto"/>
        <w:ind w:firstLine="204"/>
        <w:rPr>
          <w:rFonts w:ascii="Palatino Linotype" w:hAnsi="Palatino Linotype"/>
          <w:b/>
          <w:bCs/>
        </w:rPr>
      </w:pPr>
    </w:p>
    <w:p w14:paraId="1DA87863" w14:textId="0AFCC9B7" w:rsidR="006C10E3" w:rsidRPr="006360EE" w:rsidRDefault="006C10E3" w:rsidP="00E40402">
      <w:pPr>
        <w:pStyle w:val="TAMainText"/>
        <w:ind w:firstLine="204"/>
        <w:rPr>
          <w:rFonts w:cs="Times"/>
        </w:rPr>
      </w:pPr>
      <w:r w:rsidRPr="006360EE">
        <w:rPr>
          <w:rFonts w:cs="Times"/>
        </w:rPr>
        <w:t>We report findings for the</w:t>
      </w:r>
      <w:r w:rsidR="00EA05A2">
        <w:rPr>
          <w:rFonts w:cs="Times"/>
        </w:rPr>
        <w:t xml:space="preserve"> first</w:t>
      </w:r>
      <w:r w:rsidRPr="006360EE">
        <w:rPr>
          <w:rFonts w:cs="Times"/>
        </w:rPr>
        <w:t xml:space="preserve"> hyperpolarizability of CNCs though experimental HRS and quantum </w:t>
      </w:r>
      <w:r w:rsidR="00A17035">
        <w:rPr>
          <w:rFonts w:cs="Times"/>
        </w:rPr>
        <w:t>chemical</w:t>
      </w:r>
      <w:r w:rsidR="00EA05A2" w:rsidRPr="006360EE">
        <w:rPr>
          <w:rFonts w:cs="Times"/>
        </w:rPr>
        <w:t xml:space="preserve"> </w:t>
      </w:r>
      <w:r w:rsidR="006729C7">
        <w:rPr>
          <w:rFonts w:cs="Times"/>
        </w:rPr>
        <w:t>modeling</w:t>
      </w:r>
      <w:r w:rsidRPr="006360EE">
        <w:rPr>
          <w:rFonts w:cs="Times"/>
        </w:rPr>
        <w:t xml:space="preserve">. This combination proved especially helpful for establishing the relative contribution of the different tensor components of the nanocrystals. Quantum </w:t>
      </w:r>
      <w:r w:rsidR="00EA05A2">
        <w:rPr>
          <w:rFonts w:cs="Times"/>
        </w:rPr>
        <w:t>chemical</w:t>
      </w:r>
      <w:r w:rsidR="00EA05A2" w:rsidRPr="006360EE">
        <w:rPr>
          <w:rFonts w:cs="Times"/>
        </w:rPr>
        <w:t xml:space="preserve"> </w:t>
      </w:r>
      <w:r w:rsidR="006729C7">
        <w:rPr>
          <w:rFonts w:cs="Times"/>
        </w:rPr>
        <w:t>modeling</w:t>
      </w:r>
      <w:r w:rsidRPr="006360EE">
        <w:rPr>
          <w:rFonts w:cs="Times"/>
        </w:rPr>
        <w:t xml:space="preserve"> allowed to simplify the </w:t>
      </w:r>
      <m:oMath>
        <m:r>
          <m:rPr>
            <m:sty m:val="p"/>
          </m:rPr>
          <w:rPr>
            <w:rFonts w:ascii="Cambria Math" w:hAnsi="Cambria Math" w:cs="Times"/>
          </w:rPr>
          <m:t>β</m:t>
        </m:r>
      </m:oMath>
      <w:r w:rsidR="00C553D0">
        <w:rPr>
          <w:rFonts w:cs="Times"/>
        </w:rPr>
        <w:t xml:space="preserve"> </w:t>
      </w:r>
      <w:r w:rsidRPr="006360EE">
        <w:rPr>
          <w:rFonts w:cs="Times"/>
        </w:rPr>
        <w:t>tensor of the CNCs to two</w:t>
      </w:r>
      <w:r w:rsidR="00C553D0">
        <w:rPr>
          <w:rFonts w:cs="Times"/>
        </w:rPr>
        <w:t xml:space="preserve"> independent components</w:t>
      </w:r>
      <w:r w:rsidRPr="006360EE">
        <w:rPr>
          <w:rFonts w:cs="Times"/>
        </w:rPr>
        <w:t xml:space="preserve"> (</w:t>
      </w:r>
      <m:oMath>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zzz</m:t>
            </m:r>
          </m:sub>
        </m:sSub>
      </m:oMath>
      <w:r w:rsidR="00C553D0">
        <w:rPr>
          <w:rFonts w:cs="Times"/>
        </w:rPr>
        <w:t xml:space="preserve"> </w:t>
      </w:r>
      <w:r w:rsidRPr="006360EE">
        <w:rPr>
          <w:rFonts w:cs="Times"/>
        </w:rPr>
        <w:t xml:space="preserve">and </w:t>
      </w:r>
      <m:oMath>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zyy</m:t>
            </m:r>
          </m:sub>
        </m:sSub>
      </m:oMath>
      <w:r w:rsidRPr="006360EE">
        <w:rPr>
          <w:rFonts w:cs="Times"/>
        </w:rPr>
        <w:t>)</w:t>
      </w:r>
      <w:r w:rsidR="00E40402">
        <w:rPr>
          <w:rFonts w:cs="Times"/>
        </w:rPr>
        <w:t>. Then</w:t>
      </w:r>
      <w:r w:rsidR="00C553D0">
        <w:rPr>
          <w:rFonts w:cs="Times"/>
        </w:rPr>
        <w:t>, using</w:t>
      </w:r>
      <w:r w:rsidRPr="006360EE">
        <w:rPr>
          <w:rFonts w:cs="Times"/>
        </w:rPr>
        <w:t xml:space="preserve"> the experimental depolarization ratio</w:t>
      </w:r>
      <w:r w:rsidR="00C553D0">
        <w:rPr>
          <w:rFonts w:cs="Times"/>
        </w:rPr>
        <w:t xml:space="preserve">, the </w:t>
      </w:r>
      <m:oMath>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zzz</m:t>
            </m:r>
          </m:sub>
        </m:sSub>
      </m:oMath>
      <w:r w:rsidR="00E40402">
        <w:rPr>
          <w:rFonts w:cs="Times"/>
        </w:rPr>
        <w:t xml:space="preserve"> component was shown to be dominant, i.e. </w:t>
      </w:r>
      <w:r w:rsidRPr="006360EE">
        <w:rPr>
          <w:rFonts w:cs="Times"/>
        </w:rPr>
        <w:t xml:space="preserve">about five times </w:t>
      </w:r>
      <w:r w:rsidR="00E40402">
        <w:rPr>
          <w:rFonts w:cs="Times"/>
        </w:rPr>
        <w:t xml:space="preserve">larger than </w:t>
      </w:r>
      <w:r w:rsidRPr="006360EE">
        <w:rPr>
          <w:rFonts w:cs="Times"/>
        </w:rPr>
        <w:t xml:space="preserve">the </w:t>
      </w:r>
      <m:oMath>
        <m:sSub>
          <m:sSubPr>
            <m:ctrlPr>
              <w:rPr>
                <w:rFonts w:ascii="Cambria Math" w:hAnsi="Cambria Math" w:cs="Times"/>
                <w:i/>
              </w:rPr>
            </m:ctrlPr>
          </m:sSubPr>
          <m:e>
            <m:r>
              <m:rPr>
                <m:sty m:val="p"/>
              </m:rPr>
              <w:rPr>
                <w:rFonts w:ascii="Cambria Math" w:hAnsi="Cambria Math" w:cs="Times"/>
              </w:rPr>
              <m:t>β</m:t>
            </m:r>
          </m:e>
          <m:sub>
            <m:r>
              <w:rPr>
                <w:rFonts w:ascii="Cambria Math" w:hAnsi="Cambria Math" w:cs="Times"/>
              </w:rPr>
              <m:t>zyy</m:t>
            </m:r>
          </m:sub>
        </m:sSub>
      </m:oMath>
      <w:r w:rsidRPr="006360EE">
        <w:rPr>
          <w:rFonts w:cs="Times"/>
        </w:rPr>
        <w:t xml:space="preserve"> component. This presents an elegant </w:t>
      </w:r>
      <w:r w:rsidR="00EA05A2" w:rsidRPr="006360EE">
        <w:rPr>
          <w:rFonts w:cs="Times"/>
        </w:rPr>
        <w:t>simplification,</w:t>
      </w:r>
      <w:r w:rsidRPr="006360EE">
        <w:rPr>
          <w:rFonts w:cs="Times"/>
        </w:rPr>
        <w:t xml:space="preserve"> and these findings are expected to provide a better understanding of local alignment of CNCs in self-aligned cholesteric liquid crystals and films through SHG microscopy. The comparison of the experimental and theoretical values of the DR, notoriously difficult to simulate, provided an opportunity to benchmark the ability of the different models to predict the DR. The comparison highlighted the importance of adjusting the bulk response to account for the shape of the crystals. This scaling improved the match between the model and experimental data for the DR. The method used proposes an effective strategy to solving the cross correlated functions of finite sized nanoparticles. </w:t>
      </w:r>
    </w:p>
    <w:p w14:paraId="631F21E3" w14:textId="538D7DE0" w:rsidR="006C10E3" w:rsidRPr="0026708F" w:rsidRDefault="006C10E3" w:rsidP="0026708F">
      <w:pPr>
        <w:pStyle w:val="TAMainText"/>
        <w:ind w:firstLine="204"/>
        <w:rPr>
          <w:rFonts w:cs="Times"/>
          <w:highlight w:val="yellow"/>
        </w:rPr>
      </w:pPr>
      <w:r w:rsidRPr="006360EE">
        <w:rPr>
          <w:rFonts w:cs="Times"/>
        </w:rPr>
        <w:t>Also concerning the magnitude of the first hyperpolarizability of CNC rods</w:t>
      </w:r>
      <w:r w:rsidR="00717364">
        <w:rPr>
          <w:rFonts w:cs="Times"/>
        </w:rPr>
        <w:t>,</w:t>
      </w:r>
      <w:r w:rsidRPr="006360EE">
        <w:rPr>
          <w:rFonts w:cs="Times"/>
        </w:rPr>
        <w:t xml:space="preserve"> an excellent match between theory and experiment was found. On a per-rod basis, a large value for the first hyperpolarizability </w:t>
      </w:r>
      <w:r w:rsidR="00EA05A2" w:rsidRPr="006360EE">
        <w:rPr>
          <w:rFonts w:cs="Times"/>
        </w:rPr>
        <w:t>was found</w:t>
      </w:r>
      <w:r w:rsidRPr="006360EE">
        <w:rPr>
          <w:rFonts w:cs="Times"/>
        </w:rPr>
        <w:t xml:space="preserve"> on the order of high-performing organic </w:t>
      </w:r>
      <w:proofErr w:type="spellStart"/>
      <w:r w:rsidRPr="006360EE">
        <w:rPr>
          <w:rFonts w:cs="Times"/>
        </w:rPr>
        <w:t>harmonophores</w:t>
      </w:r>
      <w:proofErr w:type="spellEnd"/>
      <w:r w:rsidRPr="006360EE">
        <w:rPr>
          <w:rFonts w:cs="Times"/>
        </w:rPr>
        <w:t xml:space="preserve">. However, these high values are mainly due to the coherent build-up effected by the highly ordered crystalline </w:t>
      </w:r>
      <w:r w:rsidRPr="006360EE">
        <w:rPr>
          <w:rFonts w:cs="Times"/>
        </w:rPr>
        <w:lastRenderedPageBreak/>
        <w:t xml:space="preserve">structure of the nanoparticle. After scaling, the results reveal </w:t>
      </w:r>
      <w:r w:rsidR="00981654">
        <w:rPr>
          <w:rFonts w:cs="Times"/>
        </w:rPr>
        <w:t xml:space="preserve">the second-order NLO </w:t>
      </w:r>
      <w:r w:rsidRPr="006360EE">
        <w:rPr>
          <w:rFonts w:cs="Times"/>
        </w:rPr>
        <w:t>susceptibilities comparable to those of inorganic crystals such as KDP. CNCs represent an interesting intersection between organic chromophores and inorganic crystalline materials. They exhibit high thermal and mechanical stability associated with inorganic materials, and are expected to be optically stable as well since they do not absorb in the visible range. At the same time, techniques such as electric field poling and polymer encapsulation of CNCs, typically applied to organic chromophores, have already been successfully demonstrated, which could pave the way for their integration into commercial photonic circuits.</w:t>
      </w:r>
      <w:r w:rsidRPr="006360EE">
        <w:rPr>
          <w:rFonts w:cs="Times"/>
        </w:rPr>
        <w:fldChar w:fldCharType="begin" w:fldLock="1"/>
      </w:r>
      <w:r w:rsidR="00230CB5">
        <w:rPr>
          <w:rFonts w:cs="Times"/>
        </w:rPr>
        <w:instrText>ADDIN CSL_CITATION {"citationItems":[{"id":"ITEM-1","itemData":{"DOI":"10.1002/adom.202101659","ISSN":"21951071","abstract":"A new insight into the control of the helix axis direction and pitch of an aqueous suspension of cellulose nanocrystal-derived lyotropic liquid crystals by electric field strength and frequency is presented. At low frequency, liquid crystalline cellulose nanocrystals exhibit anomalous negative birefringence, with the helix axis lying parallel to the electric field, followed by a helix pitch decrease upon increasing the field strength. In contrast, they initially show a positive birefringence at high frequency, with the helix axis perpendicular to the electric field and increasing helix pitch with increasing field strength. When the electric field strength is further increased, the helix axis rotates orthogonally to align parallel to the electric field, producing negative birefringence. Such electric field-induced manipulation of liquid crystalline cellulose nanocrystal helix axis orientation and pitch can set the stage for various fascinating soft matter nanotechnology applications.","author":[{"dropping-particle":"","family":"Qu","given":"Dan","non-dropping-particle":"","parse-names":false,"suffix":""},{"dropping-particle":"","family":"Zussman","given":"Eyal","non-dropping-particle":"","parse-names":false,"suffix":""}],"container-title":"Advanced Optical Materials","id":"ITEM-1","issue":"5","issued":{"date-parts":[["2022"]]},"page":"1-8","title":"Electric Field-Driven Control of Cholesteric Cellulose Nanocrystal Orientation and Morphology","type":"article-journal","volume":"10"},"uris":["http://www.mendeley.com/documents/?uuid=9a85a800-c979-4947-b827-9daf21f93c67"]},{"id":"ITEM-2","itemData":{"DOI":"10.1002/adma.201701323","ISSN":"15214095","PMID":"28558169","abstract":"The fabrication of responsive photonic structures from cellulose nanocrystals (CNCs) that can operate in the entire visible spectrum is challenging due to the requirements of precise periodic modulation of the pitch size of the self-assembled multilayer structures at the length scale within the wavelength of the visible light. The surface charge density of CNCs is an important factor in controlling the pitch size of the chiral nematic structure of the dried solid CNC films. The assembly of poly(ethylene glycol) (PEG) together with CNCs into smaller chiral nematic domains results in solid films with uniform helical structure upon slow drying. Large, flexible, and flat photonic composite films with uniform structure colors from blue to red are prepared by changing the composition of CNCs and PEG. The CNC/PEG(80/20) composite film demonstrates a reversible and smooth structural color change between green and transparent in response to an increase and decrease of relative humidity between 50% and 100% owing to the reversible swelling and dehydration of the chiral nematic structure. The composite also shows excellent mechanical and thermal properties, complementing the multifunctional property profile.","author":[{"dropping-particle":"","family":"Yao","given":"Kun","non-dropping-particle":"","parse-names":false,"suffix":""},{"dropping-particle":"","family":"Meng","given":"Qijun","non-dropping-particle":"","parse-names":false,"suffix":""},{"dropping-particle":"","family":"Bulone","given":"Vincent","non-dropping-particle":"","parse-names":false,"suffix":""},{"dropping-particle":"","family":"Zhou","given":"Qi","non-dropping-particle":"","parse-names":false,"suffix":""}],"container-title":"Advanced Materials","id":"ITEM-2","issue":"28","issued":{"date-parts":[["2017"]]},"page":"1-8","title":"Flexible and Responsive Chiral Nematic Cellulose Nanocrystal/Poly(ethylene glycol) Composite Films with Uniform and Tunable Structural Color","type":"article-journal","volume":"29"},"uris":["http://www.mendeley.com/documents/?uuid=c6063c7c-e0f1-4b99-91b1-403aa3fd7f50"]}],"mendeley":{"formattedCitation":"&lt;sup&gt;16,61&lt;/sup&gt;","plainTextFormattedCitation":"16,61","previouslyFormattedCitation":"&lt;sup&gt;16,61&lt;/sup&gt;"},"properties":{"noteIndex":0},"schema":"https://github.com/citation-style-language/schema/raw/master/csl-citation.json"}</w:instrText>
      </w:r>
      <w:r w:rsidRPr="006360EE">
        <w:rPr>
          <w:rFonts w:cs="Times"/>
        </w:rPr>
        <w:fldChar w:fldCharType="separate"/>
      </w:r>
      <w:r w:rsidR="00D91D8C" w:rsidRPr="00D91D8C">
        <w:rPr>
          <w:rFonts w:cs="Times"/>
          <w:noProof/>
          <w:vertAlign w:val="superscript"/>
        </w:rPr>
        <w:t>16,61</w:t>
      </w:r>
      <w:r w:rsidRPr="006360EE">
        <w:rPr>
          <w:rFonts w:cs="Times"/>
        </w:rPr>
        <w:fldChar w:fldCharType="end"/>
      </w:r>
      <w:r w:rsidRPr="006360EE">
        <w:rPr>
          <w:rFonts w:cs="Times"/>
        </w:rPr>
        <w:t xml:space="preserve"> Recent experiments </w:t>
      </w:r>
      <w:r w:rsidR="00D81AA7">
        <w:rPr>
          <w:rFonts w:cs="Times"/>
        </w:rPr>
        <w:t>moreover</w:t>
      </w:r>
      <w:r w:rsidR="00D81AA7" w:rsidRPr="006360EE">
        <w:rPr>
          <w:rFonts w:cs="Times"/>
        </w:rPr>
        <w:t xml:space="preserve"> </w:t>
      </w:r>
      <w:r w:rsidRPr="006360EE">
        <w:rPr>
          <w:rFonts w:cs="Times"/>
        </w:rPr>
        <w:t>showed that dense liquid crystalline mesophases of CNCs can be poled directly.</w:t>
      </w:r>
      <w:r w:rsidR="003145F0">
        <w:rPr>
          <w:rFonts w:cs="Times"/>
        </w:rPr>
        <w:t xml:space="preserve"> </w:t>
      </w:r>
      <w:r w:rsidRPr="006360EE">
        <w:rPr>
          <w:rFonts w:cs="Times"/>
        </w:rPr>
        <w:t>We therefore anticipate further scientific exploration into the nonlinear optical effects of these materials.</w:t>
      </w:r>
    </w:p>
    <w:p w14:paraId="20161FCE" w14:textId="77777777" w:rsidR="006C10E3" w:rsidRDefault="006C10E3" w:rsidP="00F02488">
      <w:pPr>
        <w:pStyle w:val="TAMainText"/>
        <w:ind w:firstLine="204"/>
        <w:rPr>
          <w:rFonts w:cs="Times"/>
        </w:rPr>
      </w:pPr>
    </w:p>
    <w:p w14:paraId="5DC6586C" w14:textId="60662198" w:rsidR="00DB374F" w:rsidRPr="00064515" w:rsidRDefault="00DB374F" w:rsidP="00DB374F">
      <w:pPr>
        <w:pStyle w:val="TAMainText"/>
        <w:rPr>
          <w:b/>
          <w:bCs/>
        </w:rPr>
      </w:pPr>
      <w:r w:rsidRPr="00064515">
        <w:rPr>
          <w:b/>
          <w:bCs/>
        </w:rPr>
        <w:t xml:space="preserve">Part </w:t>
      </w:r>
      <w:r w:rsidR="002159CE">
        <w:rPr>
          <w:b/>
          <w:bCs/>
        </w:rPr>
        <w:t>V</w:t>
      </w:r>
      <w:r w:rsidR="00981654">
        <w:rPr>
          <w:b/>
          <w:bCs/>
        </w:rPr>
        <w:t>I</w:t>
      </w:r>
      <w:r w:rsidRPr="00064515">
        <w:rPr>
          <w:b/>
          <w:bCs/>
        </w:rPr>
        <w:t>: Materials and Method</w:t>
      </w:r>
    </w:p>
    <w:p w14:paraId="1D3B112F" w14:textId="77777777" w:rsidR="00DB374F" w:rsidRPr="00064515" w:rsidRDefault="00DB374F" w:rsidP="00DB374F">
      <w:pPr>
        <w:pStyle w:val="TAMainText"/>
        <w:rPr>
          <w:b/>
          <w:bCs/>
        </w:rPr>
      </w:pPr>
      <w:r w:rsidRPr="00064515">
        <w:rPr>
          <w:b/>
          <w:bCs/>
        </w:rPr>
        <w:t>Chemicals – Acid hydrolysis and concentration series</w:t>
      </w:r>
    </w:p>
    <w:p w14:paraId="7E0F0BC4" w14:textId="5261DAC2" w:rsidR="00DB374F" w:rsidRDefault="00DB374F" w:rsidP="00DB374F">
      <w:pPr>
        <w:pStyle w:val="TAMainText"/>
      </w:pPr>
      <w:r w:rsidRPr="005401E0">
        <w:t xml:space="preserve">Cotton wool was purchased from Hartmann AG (Germany). Sulfuric acid (95 %), </w:t>
      </w:r>
      <w:proofErr w:type="spellStart"/>
      <w:r w:rsidRPr="005401E0">
        <w:t>Dowex</w:t>
      </w:r>
      <w:proofErr w:type="spellEnd"/>
      <w:r w:rsidRPr="005401E0">
        <w:t xml:space="preserve"> Marathon H-form ion exchange resins were obtained from Fisher Chemicals. Spectra/Por type 3 (molecular weight cut-off = MWCO 3-5 </w:t>
      </w:r>
      <w:proofErr w:type="spellStart"/>
      <w:r w:rsidRPr="005401E0">
        <w:t>kDa</w:t>
      </w:r>
      <w:proofErr w:type="spellEnd"/>
      <w:r w:rsidRPr="005401E0">
        <w:t xml:space="preserve">) and type 4 (MWCO 16-18 </w:t>
      </w:r>
      <w:proofErr w:type="spellStart"/>
      <w:r w:rsidRPr="005401E0">
        <w:t>kDa</w:t>
      </w:r>
      <w:proofErr w:type="spellEnd"/>
      <w:r w:rsidRPr="005401E0">
        <w:t xml:space="preserve">) dialysis tubing membranes were obtained from </w:t>
      </w:r>
      <w:proofErr w:type="spellStart"/>
      <w:r w:rsidRPr="005401E0">
        <w:t>SpectrumLabs</w:t>
      </w:r>
      <w:proofErr w:type="spellEnd"/>
      <w:r w:rsidRPr="005401E0">
        <w:t xml:space="preserve">. Standard solutions for conductometric titration (0.01 M sodium hydroxide, 1413 µS/cm conductivity standard) were obtained from </w:t>
      </w:r>
      <w:proofErr w:type="spellStart"/>
      <w:r w:rsidRPr="005401E0">
        <w:t>ChemLab</w:t>
      </w:r>
      <w:proofErr w:type="spellEnd"/>
      <w:r w:rsidRPr="005401E0">
        <w:t xml:space="preserve"> NV. All products were used as received. The CNC were prepared according to a standard procedure for the hydrolysis of raw cellulose using 64 wt. % sulfuric acid.</w:t>
      </w:r>
      <w:r w:rsidRPr="005401E0">
        <w:fldChar w:fldCharType="begin" w:fldLock="1"/>
      </w:r>
      <w:r w:rsidR="009F56C9">
        <w:instrText>ADDIN CSL_CITATION {"citationItems":[{"id":"ITEM-1","itemData":{"DOI":"10.1039/C4NR01756K","ISSN":"2040-3364","abstract":"This review takes an in-depth look at the chemical modifications that have been carried out on nanocrystalline cellulose.","author":[{"dropping-particle":"","family":"Eyley","given":"Samuel","non-dropping-particle":"","parse-names":false,"suffix":""},{"dropping-particle":"","family":"Thielemans","given":"Wim","non-dropping-particle":"","parse-names":false,"suffix":""}],"container-title":"Nanoscale","id":"ITEM-1","issue":"14","issued":{"date-parts":[["2014"]]},"page":"7764-7779","title":"Surface modification of cellulose nanocrystals","type":"article-journal","volume":"6"},"uris":["http://www.mendeley.com/documents/?uuid=673db1f1-822d-409c-8b79-76f8a47ae3ab"]}],"mendeley":{"formattedCitation":"&lt;sup&gt;29&lt;/sup&gt;","plainTextFormattedCitation":"29","previouslyFormattedCitation":"&lt;sup&gt;29&lt;/sup&gt;"},"properties":{"noteIndex":0},"schema":"https://github.com/citation-style-language/schema/raw/master/csl-citation.json"}</w:instrText>
      </w:r>
      <w:r w:rsidRPr="005401E0">
        <w:fldChar w:fldCharType="separate"/>
      </w:r>
      <w:r w:rsidR="00DC2B5C" w:rsidRPr="00DC2B5C">
        <w:rPr>
          <w:noProof/>
          <w:vertAlign w:val="superscript"/>
        </w:rPr>
        <w:t>29</w:t>
      </w:r>
      <w:r w:rsidRPr="005401E0">
        <w:fldChar w:fldCharType="end"/>
      </w:r>
      <w:r w:rsidRPr="005401E0">
        <w:t xml:space="preserve"> Cotton wool was hydrolyzed at elevated temperature (45 °C, 45 min, cotton: acid ratio = 1:9), centrifuged at 8000 rpm for 20 min at 4 °C until the pH of the supernatant reached 1, and dialyzed against deionized water until neutrality of the effluent water. The suspension of the sulfated cotton CNCs was sonicated on a </w:t>
      </w:r>
      <w:r w:rsidRPr="005401E0">
        <w:lastRenderedPageBreak/>
        <w:t xml:space="preserve">Bandelin high-performance </w:t>
      </w:r>
      <w:proofErr w:type="spellStart"/>
      <w:r w:rsidRPr="005401E0">
        <w:t>sonifier</w:t>
      </w:r>
      <w:proofErr w:type="spellEnd"/>
      <w:r w:rsidRPr="005401E0">
        <w:t xml:space="preserve">, filtered through a glass pore filter (pore size 2) and treated with </w:t>
      </w:r>
      <w:proofErr w:type="spellStart"/>
      <w:r w:rsidRPr="005401E0">
        <w:t>Dowex</w:t>
      </w:r>
      <w:proofErr w:type="spellEnd"/>
      <w:r w:rsidRPr="005401E0">
        <w:t xml:space="preserve"> Marathon resin in an ion exchange column. An H-form resin was used or preparation of an acidic suspension. The suspension was then concentrated with osmotic compression in a 20 % PEG-2000 solution. </w:t>
      </w:r>
      <w:proofErr w:type="spellStart"/>
      <w:r w:rsidRPr="005401E0">
        <w:t>Thermo</w:t>
      </w:r>
      <w:proofErr w:type="spellEnd"/>
      <w:r w:rsidRPr="005401E0">
        <w:t xml:space="preserve"> gravimetric analysis was used to characterize the weight percentage of the CNC suspension.  A concentration series was made by redispersing with </w:t>
      </w:r>
      <w:proofErr w:type="spellStart"/>
      <w:r w:rsidRPr="005401E0">
        <w:t>MilliQ</w:t>
      </w:r>
      <w:proofErr w:type="spellEnd"/>
      <w:r w:rsidRPr="005401E0">
        <w:t xml:space="preserve"> water to different target wt. % concentrations.</w:t>
      </w:r>
      <w:r>
        <w:t xml:space="preserve"> </w:t>
      </w:r>
      <w:r w:rsidRPr="003F22AB">
        <w:t xml:space="preserve">The </w:t>
      </w:r>
      <w:r>
        <w:t>final</w:t>
      </w:r>
      <w:r w:rsidRPr="003F22AB">
        <w:t xml:space="preserve"> product</w:t>
      </w:r>
      <w:r>
        <w:t>s contains</w:t>
      </w:r>
      <w:r w:rsidRPr="003F22AB">
        <w:t xml:space="preserve"> sulfate groups grafted onto the surface of the cellulose nanocrystals</w:t>
      </w:r>
      <w:r>
        <w:t>.</w:t>
      </w:r>
    </w:p>
    <w:p w14:paraId="22435A49" w14:textId="77777777" w:rsidR="00DB374F" w:rsidRPr="005401E0" w:rsidRDefault="00DB374F" w:rsidP="00DB374F">
      <w:pPr>
        <w:rPr>
          <w:rFonts w:ascii="Palatino Linotype" w:hAnsi="Palatino Linotype"/>
          <w:b/>
          <w:bCs/>
        </w:rPr>
      </w:pPr>
      <w:r>
        <w:rPr>
          <w:rFonts w:ascii="Palatino Linotype" w:hAnsi="Palatino Linotype"/>
          <w:b/>
          <w:bCs/>
        </w:rPr>
        <w:t>CNC d</w:t>
      </w:r>
      <w:r w:rsidRPr="005401E0">
        <w:rPr>
          <w:rFonts w:ascii="Palatino Linotype" w:hAnsi="Palatino Linotype"/>
          <w:b/>
          <w:bCs/>
        </w:rPr>
        <w:t>imension</w:t>
      </w:r>
      <w:r>
        <w:rPr>
          <w:rFonts w:ascii="Palatino Linotype" w:hAnsi="Palatino Linotype"/>
          <w:b/>
          <w:bCs/>
        </w:rPr>
        <w:t>s</w:t>
      </w:r>
      <w:r w:rsidRPr="005401E0">
        <w:rPr>
          <w:rFonts w:ascii="Palatino Linotype" w:hAnsi="Palatino Linotype"/>
          <w:b/>
          <w:bCs/>
        </w:rPr>
        <w:t xml:space="preserve"> – AFM</w:t>
      </w:r>
    </w:p>
    <w:p w14:paraId="40F89FCB" w14:textId="58373BBD" w:rsidR="008320E0" w:rsidRDefault="00DB374F" w:rsidP="00DB374F">
      <w:pPr>
        <w:pStyle w:val="TAMainText"/>
      </w:pPr>
      <w:r w:rsidRPr="005401E0">
        <w:t>On a freshly by scotch-tape cleaved mica surface (</w:t>
      </w:r>
      <w:proofErr w:type="spellStart"/>
      <w:r w:rsidRPr="005401E0">
        <w:t>NanoAndMore</w:t>
      </w:r>
      <w:proofErr w:type="spellEnd"/>
      <w:r w:rsidRPr="005401E0">
        <w:t xml:space="preserve"> GMBH) 20 µL poly-L-lysine solution (Sigma Aldrich, 0.1% w/v in water) was deposited for 3 minutes, subsequently rinsed with deionized water and dried with compressed air. Following, 20 µL of a CNC dispersion (0.1 wt</w:t>
      </w:r>
      <w:r w:rsidR="004358BB">
        <w:t xml:space="preserve">. </w:t>
      </w:r>
      <w:r w:rsidRPr="005401E0">
        <w:t xml:space="preserve">%) was placed on the treated surface for 3 minutes, then rinsed with deionized water and dried with compressed air. The sample were left in a vacuum oven at 40°C overnight. A Multi-mode V AFM (Digital instruments </w:t>
      </w:r>
      <w:proofErr w:type="spellStart"/>
      <w:r w:rsidRPr="005401E0">
        <w:t>Nanoscope</w:t>
      </w:r>
      <w:proofErr w:type="spellEnd"/>
      <w:r w:rsidRPr="005401E0">
        <w:t xml:space="preserve"> </w:t>
      </w:r>
      <w:proofErr w:type="spellStart"/>
      <w:r w:rsidRPr="005401E0">
        <w:t>Veeco</w:t>
      </w:r>
      <w:proofErr w:type="spellEnd"/>
      <w:r w:rsidRPr="005401E0">
        <w:t>) was used in tapping mode and AFM probes from Budget Sensors (Tap300 Al-G, resonance frequency 300 kHz and force constant 40 N/M) were used to image the samples.</w:t>
      </w:r>
    </w:p>
    <w:p w14:paraId="0CEB7492" w14:textId="53FFD103" w:rsidR="00DB374F" w:rsidRPr="005401E0" w:rsidRDefault="003916F0" w:rsidP="00DB374F">
      <w:pPr>
        <w:pStyle w:val="TAMainText"/>
      </w:pPr>
      <w:r>
        <w:t>One thousand</w:t>
      </w:r>
      <w:r w:rsidRPr="005401E0">
        <w:t xml:space="preserve"> </w:t>
      </w:r>
      <w:r w:rsidR="00DB374F" w:rsidRPr="005401E0">
        <w:t xml:space="preserve">particles were measured using manually selected ROIs using </w:t>
      </w:r>
      <w:proofErr w:type="spellStart"/>
      <w:r w:rsidR="00DB374F" w:rsidRPr="005401E0">
        <w:t>imageJ</w:t>
      </w:r>
      <w:proofErr w:type="spellEnd"/>
      <w:r w:rsidR="00DB374F" w:rsidRPr="005401E0">
        <w:t xml:space="preserve">. The mean lengths were taken by elliptically fitting the rectangular ROIs and taking the long length of the ellipse. The width of the rods were taken by taking the mean average of the ROIs against the topography scale of the instrument.  Both the width and the lengths were plotted as a </w:t>
      </w:r>
      <w:r w:rsidR="00DB374F">
        <w:t>log-normal</w:t>
      </w:r>
      <w:r w:rsidR="00DB374F" w:rsidRPr="005401E0">
        <w:t xml:space="preserve"> distribution fit and the mean length of the rods was reported as 171 nm </w:t>
      </w:r>
      <w:r w:rsidR="00DB374F" w:rsidRPr="005401E0">
        <w:rPr>
          <w:rFonts w:cstheme="minorHAnsi"/>
        </w:rPr>
        <w:t>±</w:t>
      </w:r>
      <w:r w:rsidR="00DB374F" w:rsidRPr="005401E0">
        <w:t xml:space="preserve"> 62 nm and the width as 7.5 </w:t>
      </w:r>
      <w:r w:rsidR="00DB374F" w:rsidRPr="005401E0">
        <w:rPr>
          <w:rFonts w:cstheme="minorHAnsi"/>
        </w:rPr>
        <w:t>±</w:t>
      </w:r>
      <w:r w:rsidR="00DB374F" w:rsidRPr="005401E0">
        <w:t xml:space="preserve"> 2.6 nm with the error margin defined as the standard deviation of all analyzed rods.</w:t>
      </w:r>
      <w:r w:rsidR="008320E0">
        <w:t xml:space="preserve"> The AFM imaging and size distribution are shown in Fig. 4.</w:t>
      </w:r>
    </w:p>
    <w:p w14:paraId="3FE3B48B" w14:textId="3D027531" w:rsidR="00DB374F" w:rsidRDefault="00DB374F" w:rsidP="00DB374F">
      <w:pPr>
        <w:pStyle w:val="TAMainText"/>
      </w:pPr>
    </w:p>
    <w:p w14:paraId="24A77F01" w14:textId="079220F1" w:rsidR="006B43A8" w:rsidRDefault="006B43A8" w:rsidP="003916F0">
      <w:pPr>
        <w:pStyle w:val="TAMainText"/>
        <w:rPr>
          <w:b/>
          <w:bCs/>
        </w:rPr>
      </w:pPr>
      <w:r w:rsidRPr="006B43A8">
        <w:rPr>
          <w:b/>
          <w:bCs/>
          <w:noProof/>
        </w:rPr>
        <w:lastRenderedPageBreak/>
        <w:drawing>
          <wp:inline distT="0" distB="0" distL="0" distR="0" wp14:anchorId="0C066E7C" wp14:editId="749AE1BC">
            <wp:extent cx="5943600" cy="1656715"/>
            <wp:effectExtent l="0" t="0" r="0" b="635"/>
            <wp:docPr id="9" name="Picture 8" descr="A graph of a normal distribution&#10;&#10;Description automatically generated">
              <a:extLst xmlns:a="http://schemas.openxmlformats.org/drawingml/2006/main">
                <a:ext uri="{FF2B5EF4-FFF2-40B4-BE49-F238E27FC236}">
                  <a16:creationId xmlns:a16="http://schemas.microsoft.com/office/drawing/2014/main" id="{2DA95C4F-6030-DF22-A397-41C4816D7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normal distribution&#10;&#10;Description automatically generated">
                      <a:extLst>
                        <a:ext uri="{FF2B5EF4-FFF2-40B4-BE49-F238E27FC236}">
                          <a16:creationId xmlns:a16="http://schemas.microsoft.com/office/drawing/2014/main" id="{2DA95C4F-6030-DF22-A397-41C4816D770B}"/>
                        </a:ext>
                      </a:extLst>
                    </pic:cNvPr>
                    <pic:cNvPicPr>
                      <a:picLocks noChangeAspect="1"/>
                    </pic:cNvPicPr>
                  </pic:nvPicPr>
                  <pic:blipFill rotWithShape="1">
                    <a:blip r:embed="rId16"/>
                    <a:srcRect l="2250" t="3682" r="916" b="4199"/>
                    <a:stretch/>
                  </pic:blipFill>
                  <pic:spPr>
                    <a:xfrm>
                      <a:off x="0" y="0"/>
                      <a:ext cx="5943600" cy="1656715"/>
                    </a:xfrm>
                    <a:prstGeom prst="rect">
                      <a:avLst/>
                    </a:prstGeom>
                  </pic:spPr>
                </pic:pic>
              </a:graphicData>
            </a:graphic>
          </wp:inline>
        </w:drawing>
      </w:r>
    </w:p>
    <w:p w14:paraId="1D92187B" w14:textId="0FD7C892" w:rsidR="00DB374F" w:rsidRPr="004358BB" w:rsidRDefault="00DB374F" w:rsidP="003916F0">
      <w:pPr>
        <w:pStyle w:val="TAMainText"/>
      </w:pPr>
      <w:r w:rsidRPr="00B920BC">
        <w:rPr>
          <w:b/>
          <w:bCs/>
        </w:rPr>
        <w:t xml:space="preserve">Figure </w:t>
      </w:r>
      <w:r w:rsidR="007A656A">
        <w:rPr>
          <w:b/>
          <w:bCs/>
        </w:rPr>
        <w:t>4</w:t>
      </w:r>
      <w:r w:rsidRPr="00B920BC">
        <w:rPr>
          <w:b/>
          <w:bCs/>
        </w:rPr>
        <w:t>:</w:t>
      </w:r>
      <w:r>
        <w:rPr>
          <w:b/>
          <w:bCs/>
        </w:rPr>
        <w:t xml:space="preserve"> Size characterization of CNCs</w:t>
      </w:r>
      <w:r>
        <w:t xml:space="preserve"> </w:t>
      </w:r>
      <w:r w:rsidRPr="00B920BC">
        <w:rPr>
          <w:b/>
          <w:bCs/>
        </w:rPr>
        <w:t>(A)</w:t>
      </w:r>
      <w:r>
        <w:t xml:space="preserve"> AFM imaging of a dried 0.1 wt.% suspension with one thousand rods analyzed with ImageJ.</w:t>
      </w:r>
      <w:r w:rsidRPr="00032557">
        <w:rPr>
          <w:b/>
          <w:bCs/>
        </w:rPr>
        <w:t xml:space="preserve"> (B)</w:t>
      </w:r>
      <w:r>
        <w:t xml:space="preserve"> Length L</w:t>
      </w:r>
      <w:r w:rsidRPr="006B43A8">
        <w:rPr>
          <w:vertAlign w:val="subscript"/>
        </w:rPr>
        <w:t>3</w:t>
      </w:r>
      <w:r>
        <w:t xml:space="preserve"> distribution fitted to log normal. </w:t>
      </w:r>
      <w:r w:rsidRPr="00032557">
        <w:rPr>
          <w:b/>
          <w:bCs/>
        </w:rPr>
        <w:t>(C)</w:t>
      </w:r>
      <w:r>
        <w:t xml:space="preserve"> Width L</w:t>
      </w:r>
      <w:r w:rsidRPr="006B43A8">
        <w:rPr>
          <w:vertAlign w:val="subscript"/>
        </w:rPr>
        <w:t>1</w:t>
      </w:r>
      <w:r>
        <w:t>=</w:t>
      </w:r>
      <w:r w:rsidR="00D4322B">
        <w:t>L</w:t>
      </w:r>
      <w:r w:rsidR="00D4322B">
        <w:rPr>
          <w:vertAlign w:val="subscript"/>
        </w:rPr>
        <w:t>2</w:t>
      </w:r>
      <w:r w:rsidR="00D4322B">
        <w:t xml:space="preserve"> </w:t>
      </w:r>
      <w:r>
        <w:t>fitted to log normal.</w:t>
      </w:r>
    </w:p>
    <w:p w14:paraId="08C1F450" w14:textId="77777777" w:rsidR="00DB374F" w:rsidRDefault="00DB374F" w:rsidP="00DB374F">
      <w:pPr>
        <w:pStyle w:val="TAMainText"/>
      </w:pPr>
      <w:r>
        <w:t>The log normal distribution can be expressed as the following functions:</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DB374F" w:rsidRPr="005401E0" w14:paraId="2F3ADD2B" w14:textId="77777777">
        <w:trPr>
          <w:trHeight w:val="964"/>
        </w:trPr>
        <w:tc>
          <w:tcPr>
            <w:tcW w:w="8995" w:type="dxa"/>
            <w:vAlign w:val="center"/>
          </w:tcPr>
          <w:p w14:paraId="13C65B6F" w14:textId="77777777" w:rsidR="00DB374F" w:rsidRPr="005401E0" w:rsidRDefault="00DB374F">
            <w:pPr>
              <w:pStyle w:val="TAMainText"/>
              <w:jc w:val="center"/>
              <w:rPr>
                <w:rFonts w:eastAsiaTheme="minorEastAsia"/>
                <w:szCs w:val="24"/>
              </w:rPr>
            </w:pPr>
            <w:r w:rsidRPr="00AD0F0B">
              <w:rPr>
                <w:rFonts w:eastAsiaTheme="minorEastAsia"/>
              </w:rPr>
              <w:t xml:space="preserve">PDF1 = PDF2 = </w:t>
            </w:r>
            <m:oMath>
              <m:f>
                <m:fPr>
                  <m:ctrlPr>
                    <w:rPr>
                      <w:rFonts w:ascii="Cambria Math" w:eastAsiaTheme="minorEastAsia" w:hAnsi="Cambria Math"/>
                      <w:lang w:val="de-DE"/>
                    </w:rPr>
                  </m:ctrlPr>
                </m:fPr>
                <m:num>
                  <m:r>
                    <w:rPr>
                      <w:rFonts w:ascii="Cambria Math" w:eastAsiaTheme="minorEastAsia" w:hAnsi="Cambria Math"/>
                    </w:rPr>
                    <m:t>1</m:t>
                  </m:r>
                  <m:ctrlPr>
                    <w:rPr>
                      <w:rFonts w:ascii="Cambria Math" w:eastAsiaTheme="minorEastAsia" w:hAnsi="Cambria Math"/>
                      <w:i/>
                      <w:lang w:val="de-DE"/>
                    </w:rPr>
                  </m:ctrlPr>
                </m:num>
                <m:den>
                  <m:r>
                    <w:rPr>
                      <w:rFonts w:ascii="Cambria Math" w:eastAsiaTheme="minorEastAsia" w:hAnsi="Cambria Math"/>
                      <w:lang w:val="de-DE"/>
                    </w:rPr>
                    <m:t>x</m:t>
                  </m:r>
                  <m:r>
                    <m:rPr>
                      <m:sty m:val="p"/>
                    </m:rPr>
                    <w:rPr>
                      <w:rFonts w:ascii="Cambria Math" w:eastAsiaTheme="minorEastAsia" w:hAnsi="Cambria Math"/>
                      <w:lang w:val="de-DE"/>
                    </w:rPr>
                    <m:t>σ</m:t>
                  </m:r>
                  <m:rad>
                    <m:radPr>
                      <m:degHide m:val="1"/>
                      <m:ctrlPr>
                        <w:rPr>
                          <w:rFonts w:ascii="Cambria Math" w:eastAsiaTheme="minorEastAsia" w:hAnsi="Cambria Math"/>
                          <w:lang w:val="de-DE"/>
                        </w:rPr>
                      </m:ctrlPr>
                    </m:radPr>
                    <m:deg>
                      <m:ctrlPr>
                        <w:rPr>
                          <w:rFonts w:ascii="Cambria Math" w:eastAsiaTheme="minorEastAsia" w:hAnsi="Cambria Math"/>
                          <w:i/>
                          <w:lang w:val="de-DE"/>
                        </w:rPr>
                      </m:ctrlPr>
                    </m:deg>
                    <m:e>
                      <m:r>
                        <w:rPr>
                          <w:rFonts w:ascii="Cambria Math" w:eastAsiaTheme="minorEastAsia" w:hAnsi="Cambria Math"/>
                        </w:rPr>
                        <m:t>2</m:t>
                      </m:r>
                      <m:r>
                        <m:rPr>
                          <m:sty m:val="p"/>
                        </m:rPr>
                        <w:rPr>
                          <w:rFonts w:ascii="Cambria Math" w:eastAsiaTheme="minorEastAsia" w:hAnsi="Cambria Math"/>
                          <w:lang w:val="de-DE"/>
                        </w:rPr>
                        <m:t>π</m:t>
                      </m:r>
                    </m:e>
                  </m:rad>
                  <m:ctrlPr>
                    <w:rPr>
                      <w:rFonts w:ascii="Cambria Math" w:eastAsiaTheme="minorEastAsia" w:hAnsi="Cambria Math"/>
                      <w:i/>
                      <w:lang w:val="de-DE"/>
                    </w:rPr>
                  </m:ctrlPr>
                </m:den>
              </m:f>
              <m:r>
                <w:rPr>
                  <w:rFonts w:ascii="Cambria Math" w:eastAsiaTheme="minorEastAsia" w:hAnsi="Cambria Math"/>
                  <w:lang w:val="de-DE"/>
                </w:rPr>
                <m:t>exp</m:t>
              </m:r>
              <m:d>
                <m:dPr>
                  <m:ctrlPr>
                    <w:rPr>
                      <w:rFonts w:ascii="Cambria Math" w:eastAsiaTheme="minorEastAsia" w:hAnsi="Cambria Math"/>
                      <w:i/>
                      <w:lang w:val="de-DE"/>
                    </w:rPr>
                  </m:ctrlPr>
                </m:dPr>
                <m:e>
                  <m:r>
                    <w:rPr>
                      <w:rFonts w:ascii="Cambria Math" w:eastAsiaTheme="minorEastAsia" w:hAnsi="Cambria Math"/>
                    </w:rPr>
                    <m:t>-</m:t>
                  </m:r>
                  <m:f>
                    <m:fPr>
                      <m:ctrlPr>
                        <w:rPr>
                          <w:rFonts w:ascii="Cambria Math" w:eastAsiaTheme="minorEastAsia" w:hAnsi="Cambria Math"/>
                          <w:lang w:val="de-DE"/>
                        </w:rPr>
                      </m:ctrlPr>
                    </m:fPr>
                    <m:num>
                      <m:sSup>
                        <m:sSupPr>
                          <m:ctrlPr>
                            <w:rPr>
                              <w:rFonts w:ascii="Cambria Math" w:eastAsiaTheme="minorEastAsia" w:hAnsi="Cambria Math"/>
                              <w:i/>
                              <w:lang w:val="de-DE"/>
                            </w:rPr>
                          </m:ctrlPr>
                        </m:sSupPr>
                        <m:e>
                          <m:d>
                            <m:dPr>
                              <m:ctrlPr>
                                <w:rPr>
                                  <w:rFonts w:ascii="Cambria Math" w:eastAsiaTheme="minorEastAsia" w:hAnsi="Cambria Math"/>
                                  <w:i/>
                                  <w:lang w:val="de-DE"/>
                                </w:rPr>
                              </m:ctrlPr>
                            </m:dPr>
                            <m:e>
                              <m:r>
                                <w:rPr>
                                  <w:rFonts w:ascii="Cambria Math" w:eastAsiaTheme="minorEastAsia" w:hAnsi="Cambria Math"/>
                                  <w:lang w:val="de-DE"/>
                                </w:rPr>
                                <m:t>lnx</m:t>
                              </m:r>
                              <m:r>
                                <w:rPr>
                                  <w:rFonts w:ascii="Cambria Math" w:eastAsiaTheme="minorEastAsia" w:hAnsi="Cambria Math"/>
                                </w:rPr>
                                <m:t>-</m:t>
                              </m:r>
                              <m:r>
                                <m:rPr>
                                  <m:sty m:val="p"/>
                                </m:rPr>
                                <w:rPr>
                                  <w:rFonts w:ascii="Cambria Math" w:eastAsiaTheme="minorEastAsia" w:hAnsi="Cambria Math"/>
                                  <w:lang w:val="de-DE"/>
                                </w:rPr>
                                <m:t>μ</m:t>
                              </m:r>
                            </m:e>
                          </m:d>
                        </m:e>
                        <m:sup>
                          <m:r>
                            <w:rPr>
                              <w:rFonts w:ascii="Cambria Math" w:eastAsiaTheme="minorEastAsia" w:hAnsi="Cambria Math"/>
                            </w:rPr>
                            <m:t>2</m:t>
                          </m:r>
                        </m:sup>
                      </m:sSup>
                      <m:ctrlPr>
                        <w:rPr>
                          <w:rFonts w:ascii="Cambria Math" w:eastAsiaTheme="minorEastAsia" w:hAnsi="Cambria Math"/>
                          <w:i/>
                          <w:lang w:val="de-DE"/>
                        </w:rPr>
                      </m:ctrlPr>
                    </m:num>
                    <m:den>
                      <m:r>
                        <w:rPr>
                          <w:rFonts w:ascii="Cambria Math" w:eastAsiaTheme="minorEastAsia" w:hAnsi="Cambria Math"/>
                        </w:rPr>
                        <m:t>2</m:t>
                      </m:r>
                      <m:sSup>
                        <m:sSupPr>
                          <m:ctrlPr>
                            <w:rPr>
                              <w:rFonts w:ascii="Cambria Math" w:eastAsiaTheme="minorEastAsia" w:hAnsi="Cambria Math"/>
                              <w:i/>
                              <w:lang w:val="de-DE"/>
                            </w:rPr>
                          </m:ctrlPr>
                        </m:sSupPr>
                        <m:e>
                          <m:r>
                            <m:rPr>
                              <m:sty m:val="p"/>
                            </m:rPr>
                            <w:rPr>
                              <w:rFonts w:ascii="Cambria Math" w:eastAsiaTheme="minorEastAsia" w:hAnsi="Cambria Math"/>
                              <w:lang w:val="de-DE"/>
                            </w:rPr>
                            <m:t>σ</m:t>
                          </m:r>
                        </m:e>
                        <m:sup>
                          <m:r>
                            <w:rPr>
                              <w:rFonts w:ascii="Cambria Math" w:eastAsiaTheme="minorEastAsia" w:hAnsi="Cambria Math"/>
                            </w:rPr>
                            <m:t>2</m:t>
                          </m:r>
                        </m:sup>
                      </m:sSup>
                      <m:ctrlPr>
                        <w:rPr>
                          <w:rFonts w:ascii="Cambria Math" w:eastAsiaTheme="minorEastAsia" w:hAnsi="Cambria Math"/>
                          <w:i/>
                          <w:lang w:val="de-DE"/>
                        </w:rPr>
                      </m:ctrlPr>
                    </m:den>
                  </m:f>
                </m:e>
              </m:d>
            </m:oMath>
            <w:r w:rsidRPr="00AD0F0B">
              <w:rPr>
                <w:rFonts w:eastAsiaTheme="minorEastAsia"/>
              </w:rPr>
              <w:t xml:space="preserve"> with µ = 1.9</w:t>
            </w:r>
            <w:r>
              <w:rPr>
                <w:rFonts w:eastAsiaTheme="minorEastAsia"/>
              </w:rPr>
              <w:t xml:space="preserve">60 and </w:t>
            </w:r>
            <m:oMath>
              <m:r>
                <m:rPr>
                  <m:sty m:val="p"/>
                </m:rPr>
                <w:rPr>
                  <w:rFonts w:ascii="Cambria Math" w:eastAsiaTheme="minorEastAsia" w:hAnsi="Cambria Math"/>
                </w:rPr>
                <m:t>σ</m:t>
              </m:r>
            </m:oMath>
            <w:r>
              <w:rPr>
                <w:rFonts w:eastAsiaTheme="minorEastAsia"/>
              </w:rPr>
              <w:t xml:space="preserve"> = 0.336</w:t>
            </w:r>
          </w:p>
        </w:tc>
        <w:tc>
          <w:tcPr>
            <w:tcW w:w="643" w:type="dxa"/>
            <w:vAlign w:val="center"/>
          </w:tcPr>
          <w:p w14:paraId="3BAE77E8" w14:textId="751F2732" w:rsidR="00DB374F" w:rsidRPr="005401E0" w:rsidRDefault="00000000">
            <w:pPr>
              <w:pStyle w:val="TAMainText"/>
              <w:rPr>
                <w:rFonts w:eastAsiaTheme="minorEastAsia"/>
              </w:rPr>
            </w:pPr>
            <m:oMathPara>
              <m:oMath>
                <m:d>
                  <m:dPr>
                    <m:ctrlPr>
                      <w:rPr>
                        <w:rFonts w:ascii="Cambria Math" w:eastAsiaTheme="minorEastAsia" w:hAnsi="Cambria Math"/>
                        <w:i/>
                      </w:rPr>
                    </m:ctrlPr>
                  </m:dPr>
                  <m:e>
                    <m:r>
                      <w:rPr>
                        <w:rFonts w:ascii="Cambria Math" w:eastAsiaTheme="minorEastAsia" w:hAnsi="Cambria Math"/>
                      </w:rPr>
                      <m:t>14</m:t>
                    </m:r>
                  </m:e>
                </m:d>
              </m:oMath>
            </m:oMathPara>
          </w:p>
        </w:tc>
      </w:tr>
      <w:tr w:rsidR="00DB374F" w:rsidRPr="005401E0" w14:paraId="56999C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8995" w:type="dxa"/>
            <w:tcBorders>
              <w:top w:val="nil"/>
              <w:left w:val="nil"/>
              <w:bottom w:val="nil"/>
              <w:right w:val="nil"/>
            </w:tcBorders>
            <w:vAlign w:val="center"/>
          </w:tcPr>
          <w:p w14:paraId="004384F4" w14:textId="77777777" w:rsidR="00DB374F" w:rsidRPr="005401E0" w:rsidRDefault="00DB374F">
            <w:pPr>
              <w:pStyle w:val="TAMainText"/>
              <w:jc w:val="center"/>
              <w:rPr>
                <w:rFonts w:eastAsiaTheme="minorEastAsia"/>
                <w:szCs w:val="24"/>
              </w:rPr>
            </w:pPr>
            <w:r>
              <w:rPr>
                <w:rFonts w:eastAsiaTheme="minorEastAsia"/>
              </w:rPr>
              <w:t xml:space="preserve">PDF3 = </w:t>
            </w:r>
            <m:oMath>
              <m:f>
                <m:fPr>
                  <m:ctrlPr>
                    <w:rPr>
                      <w:rFonts w:ascii="Cambria Math" w:eastAsiaTheme="minorEastAsia" w:hAnsi="Cambria Math"/>
                      <w:lang w:val="de-DE"/>
                    </w:rPr>
                  </m:ctrlPr>
                </m:fPr>
                <m:num>
                  <m:r>
                    <w:rPr>
                      <w:rFonts w:ascii="Cambria Math" w:eastAsiaTheme="minorEastAsia" w:hAnsi="Cambria Math"/>
                    </w:rPr>
                    <m:t>1</m:t>
                  </m:r>
                  <m:ctrlPr>
                    <w:rPr>
                      <w:rFonts w:ascii="Cambria Math" w:eastAsiaTheme="minorEastAsia" w:hAnsi="Cambria Math"/>
                      <w:i/>
                      <w:lang w:val="de-DE"/>
                    </w:rPr>
                  </m:ctrlPr>
                </m:num>
                <m:den>
                  <m:r>
                    <w:rPr>
                      <w:rFonts w:ascii="Cambria Math" w:eastAsiaTheme="minorEastAsia" w:hAnsi="Cambria Math"/>
                      <w:lang w:val="de-DE"/>
                    </w:rPr>
                    <m:t>x</m:t>
                  </m:r>
                  <m:r>
                    <m:rPr>
                      <m:sty m:val="p"/>
                    </m:rPr>
                    <w:rPr>
                      <w:rFonts w:ascii="Cambria Math" w:eastAsiaTheme="minorEastAsia" w:hAnsi="Cambria Math"/>
                      <w:lang w:val="de-DE"/>
                    </w:rPr>
                    <m:t>σ</m:t>
                  </m:r>
                  <m:rad>
                    <m:radPr>
                      <m:degHide m:val="1"/>
                      <m:ctrlPr>
                        <w:rPr>
                          <w:rFonts w:ascii="Cambria Math" w:eastAsiaTheme="minorEastAsia" w:hAnsi="Cambria Math"/>
                          <w:lang w:val="de-DE"/>
                        </w:rPr>
                      </m:ctrlPr>
                    </m:radPr>
                    <m:deg>
                      <m:ctrlPr>
                        <w:rPr>
                          <w:rFonts w:ascii="Cambria Math" w:eastAsiaTheme="minorEastAsia" w:hAnsi="Cambria Math"/>
                          <w:i/>
                          <w:lang w:val="de-DE"/>
                        </w:rPr>
                      </m:ctrlPr>
                    </m:deg>
                    <m:e>
                      <m:r>
                        <w:rPr>
                          <w:rFonts w:ascii="Cambria Math" w:eastAsiaTheme="minorEastAsia" w:hAnsi="Cambria Math"/>
                        </w:rPr>
                        <m:t>2</m:t>
                      </m:r>
                      <m:r>
                        <m:rPr>
                          <m:sty m:val="p"/>
                        </m:rPr>
                        <w:rPr>
                          <w:rFonts w:ascii="Cambria Math" w:eastAsiaTheme="minorEastAsia" w:hAnsi="Cambria Math"/>
                          <w:lang w:val="de-DE"/>
                        </w:rPr>
                        <m:t>π</m:t>
                      </m:r>
                    </m:e>
                  </m:rad>
                  <m:ctrlPr>
                    <w:rPr>
                      <w:rFonts w:ascii="Cambria Math" w:eastAsiaTheme="minorEastAsia" w:hAnsi="Cambria Math"/>
                      <w:i/>
                      <w:lang w:val="de-DE"/>
                    </w:rPr>
                  </m:ctrlPr>
                </m:den>
              </m:f>
              <m:r>
                <w:rPr>
                  <w:rFonts w:ascii="Cambria Math" w:eastAsiaTheme="minorEastAsia" w:hAnsi="Cambria Math"/>
                  <w:lang w:val="de-DE"/>
                </w:rPr>
                <m:t>exp</m:t>
              </m:r>
              <m:d>
                <m:dPr>
                  <m:ctrlPr>
                    <w:rPr>
                      <w:rFonts w:ascii="Cambria Math" w:eastAsiaTheme="minorEastAsia" w:hAnsi="Cambria Math"/>
                      <w:i/>
                      <w:lang w:val="de-DE"/>
                    </w:rPr>
                  </m:ctrlPr>
                </m:dPr>
                <m:e>
                  <m:r>
                    <w:rPr>
                      <w:rFonts w:ascii="Cambria Math" w:eastAsiaTheme="minorEastAsia" w:hAnsi="Cambria Math"/>
                    </w:rPr>
                    <m:t>-</m:t>
                  </m:r>
                  <m:f>
                    <m:fPr>
                      <m:ctrlPr>
                        <w:rPr>
                          <w:rFonts w:ascii="Cambria Math" w:eastAsiaTheme="minorEastAsia" w:hAnsi="Cambria Math"/>
                          <w:lang w:val="de-DE"/>
                        </w:rPr>
                      </m:ctrlPr>
                    </m:fPr>
                    <m:num>
                      <m:sSup>
                        <m:sSupPr>
                          <m:ctrlPr>
                            <w:rPr>
                              <w:rFonts w:ascii="Cambria Math" w:eastAsiaTheme="minorEastAsia" w:hAnsi="Cambria Math"/>
                              <w:i/>
                              <w:lang w:val="de-DE"/>
                            </w:rPr>
                          </m:ctrlPr>
                        </m:sSupPr>
                        <m:e>
                          <m:d>
                            <m:dPr>
                              <m:ctrlPr>
                                <w:rPr>
                                  <w:rFonts w:ascii="Cambria Math" w:eastAsiaTheme="minorEastAsia" w:hAnsi="Cambria Math"/>
                                  <w:i/>
                                  <w:lang w:val="de-DE"/>
                                </w:rPr>
                              </m:ctrlPr>
                            </m:dPr>
                            <m:e>
                              <m:r>
                                <w:rPr>
                                  <w:rFonts w:ascii="Cambria Math" w:eastAsiaTheme="minorEastAsia" w:hAnsi="Cambria Math"/>
                                  <w:lang w:val="de-DE"/>
                                </w:rPr>
                                <m:t>lnx</m:t>
                              </m:r>
                              <m:r>
                                <w:rPr>
                                  <w:rFonts w:ascii="Cambria Math" w:eastAsiaTheme="minorEastAsia" w:hAnsi="Cambria Math"/>
                                </w:rPr>
                                <m:t>-</m:t>
                              </m:r>
                              <m:r>
                                <m:rPr>
                                  <m:sty m:val="p"/>
                                </m:rPr>
                                <w:rPr>
                                  <w:rFonts w:ascii="Cambria Math" w:eastAsiaTheme="minorEastAsia" w:hAnsi="Cambria Math"/>
                                  <w:lang w:val="de-DE"/>
                                </w:rPr>
                                <m:t>μ</m:t>
                              </m:r>
                            </m:e>
                          </m:d>
                        </m:e>
                        <m:sup>
                          <m:r>
                            <w:rPr>
                              <w:rFonts w:ascii="Cambria Math" w:eastAsiaTheme="minorEastAsia" w:hAnsi="Cambria Math"/>
                            </w:rPr>
                            <m:t>2</m:t>
                          </m:r>
                        </m:sup>
                      </m:sSup>
                      <m:ctrlPr>
                        <w:rPr>
                          <w:rFonts w:ascii="Cambria Math" w:eastAsiaTheme="minorEastAsia" w:hAnsi="Cambria Math"/>
                          <w:i/>
                          <w:lang w:val="de-DE"/>
                        </w:rPr>
                      </m:ctrlPr>
                    </m:num>
                    <m:den>
                      <m:r>
                        <w:rPr>
                          <w:rFonts w:ascii="Cambria Math" w:eastAsiaTheme="minorEastAsia" w:hAnsi="Cambria Math"/>
                        </w:rPr>
                        <m:t>2</m:t>
                      </m:r>
                      <m:sSup>
                        <m:sSupPr>
                          <m:ctrlPr>
                            <w:rPr>
                              <w:rFonts w:ascii="Cambria Math" w:eastAsiaTheme="minorEastAsia" w:hAnsi="Cambria Math"/>
                              <w:i/>
                              <w:lang w:val="de-DE"/>
                            </w:rPr>
                          </m:ctrlPr>
                        </m:sSupPr>
                        <m:e>
                          <m:r>
                            <m:rPr>
                              <m:sty m:val="p"/>
                            </m:rPr>
                            <w:rPr>
                              <w:rFonts w:ascii="Cambria Math" w:eastAsiaTheme="minorEastAsia" w:hAnsi="Cambria Math"/>
                              <w:lang w:val="de-DE"/>
                            </w:rPr>
                            <m:t>σ</m:t>
                          </m:r>
                        </m:e>
                        <m:sup>
                          <m:r>
                            <w:rPr>
                              <w:rFonts w:ascii="Cambria Math" w:eastAsiaTheme="minorEastAsia" w:hAnsi="Cambria Math"/>
                            </w:rPr>
                            <m:t>2</m:t>
                          </m:r>
                        </m:sup>
                      </m:sSup>
                      <m:ctrlPr>
                        <w:rPr>
                          <w:rFonts w:ascii="Cambria Math" w:eastAsiaTheme="minorEastAsia" w:hAnsi="Cambria Math"/>
                          <w:i/>
                          <w:lang w:val="de-DE"/>
                        </w:rPr>
                      </m:ctrlPr>
                    </m:den>
                  </m:f>
                </m:e>
              </m:d>
            </m:oMath>
            <w:r w:rsidRPr="00AD0F0B">
              <w:rPr>
                <w:rFonts w:eastAsiaTheme="minorEastAsia"/>
              </w:rPr>
              <w:t xml:space="preserve"> with µ = 5.07</w:t>
            </w:r>
            <w:r>
              <w:rPr>
                <w:rFonts w:eastAsiaTheme="minorEastAsia"/>
              </w:rPr>
              <w:t xml:space="preserve">6 and </w:t>
            </w:r>
            <m:oMath>
              <m:r>
                <m:rPr>
                  <m:sty m:val="p"/>
                </m:rPr>
                <w:rPr>
                  <w:rFonts w:ascii="Cambria Math" w:eastAsiaTheme="minorEastAsia" w:hAnsi="Cambria Math"/>
                </w:rPr>
                <m:t>σ</m:t>
              </m:r>
            </m:oMath>
            <w:r>
              <w:rPr>
                <w:rFonts w:eastAsiaTheme="minorEastAsia"/>
              </w:rPr>
              <w:t xml:space="preserve"> = 0.357</w:t>
            </w:r>
          </w:p>
        </w:tc>
        <w:tc>
          <w:tcPr>
            <w:tcW w:w="643" w:type="dxa"/>
            <w:tcBorders>
              <w:top w:val="nil"/>
              <w:left w:val="nil"/>
              <w:bottom w:val="nil"/>
              <w:right w:val="nil"/>
            </w:tcBorders>
            <w:vAlign w:val="center"/>
          </w:tcPr>
          <w:p w14:paraId="39503F4F" w14:textId="3C88D576" w:rsidR="00DB374F" w:rsidRPr="005401E0" w:rsidRDefault="00000000">
            <w:pPr>
              <w:pStyle w:val="TAMainText"/>
              <w:rPr>
                <w:rFonts w:eastAsiaTheme="minorEastAsia"/>
              </w:rPr>
            </w:pPr>
            <m:oMathPara>
              <m:oMath>
                <m:d>
                  <m:dPr>
                    <m:ctrlPr>
                      <w:rPr>
                        <w:rFonts w:ascii="Cambria Math" w:eastAsiaTheme="minorEastAsia" w:hAnsi="Cambria Math"/>
                        <w:i/>
                      </w:rPr>
                    </m:ctrlPr>
                  </m:dPr>
                  <m:e>
                    <m:r>
                      <w:rPr>
                        <w:rFonts w:ascii="Cambria Math" w:eastAsiaTheme="minorEastAsia" w:hAnsi="Cambria Math"/>
                      </w:rPr>
                      <m:t>15</m:t>
                    </m:r>
                  </m:e>
                </m:d>
              </m:oMath>
            </m:oMathPara>
          </w:p>
        </w:tc>
      </w:tr>
    </w:tbl>
    <w:p w14:paraId="5E088651" w14:textId="34C40044" w:rsidR="00DB374F" w:rsidRDefault="00DB374F" w:rsidP="00DB374F">
      <w:pPr>
        <w:pStyle w:val="TAMainText"/>
      </w:pPr>
      <w:r>
        <w:t xml:space="preserve">PDF1 and PDF2 are equivalent and correspond to the probability density functions of </w:t>
      </w:r>
      <w:r w:rsidR="001A1747">
        <w:t>L</w:t>
      </w:r>
      <w:r w:rsidR="001A1747" w:rsidRPr="006B43A8">
        <w:rPr>
          <w:vertAlign w:val="subscript"/>
        </w:rPr>
        <w:t>1</w:t>
      </w:r>
      <w:r>
        <w:t xml:space="preserve"> and </w:t>
      </w:r>
      <w:r w:rsidR="001A1747">
        <w:t>L</w:t>
      </w:r>
      <w:r w:rsidR="001A1747">
        <w:rPr>
          <w:vertAlign w:val="subscript"/>
        </w:rPr>
        <w:t>2</w:t>
      </w:r>
      <w:r>
        <w:t xml:space="preserve"> while PDF3 corresponds to the probability density function of</w:t>
      </w:r>
      <w:r w:rsidR="001A1747" w:rsidRPr="001A1747">
        <w:t xml:space="preserve"> </w:t>
      </w:r>
      <w:r w:rsidR="001A1747">
        <w:t>L</w:t>
      </w:r>
      <w:r w:rsidR="001A1747" w:rsidRPr="006B43A8">
        <w:rPr>
          <w:vertAlign w:val="subscript"/>
        </w:rPr>
        <w:t>3</w:t>
      </w:r>
      <w:r>
        <w:t>.</w:t>
      </w:r>
    </w:p>
    <w:p w14:paraId="0815BED3" w14:textId="77777777" w:rsidR="00DB374F" w:rsidRPr="005401E0" w:rsidRDefault="00DB374F" w:rsidP="00DB374F">
      <w:pPr>
        <w:pStyle w:val="TAMainText"/>
      </w:pPr>
    </w:p>
    <w:p w14:paraId="45465F9F" w14:textId="77777777" w:rsidR="00DB374F" w:rsidRPr="00064515" w:rsidRDefault="00DB374F" w:rsidP="00DB374F">
      <w:pPr>
        <w:pStyle w:val="TAMainText"/>
        <w:rPr>
          <w:b/>
          <w:bCs/>
        </w:rPr>
      </w:pPr>
      <w:r w:rsidRPr="00064515">
        <w:rPr>
          <w:b/>
          <w:bCs/>
        </w:rPr>
        <w:t>Optical setup</w:t>
      </w:r>
    </w:p>
    <w:p w14:paraId="37CF2EBA" w14:textId="5FB351D6" w:rsidR="00DB374F" w:rsidRPr="005401E0" w:rsidRDefault="00DB374F" w:rsidP="00DB374F">
      <w:pPr>
        <w:pStyle w:val="TAMainText"/>
      </w:pPr>
      <w:r w:rsidRPr="005401E0">
        <w:t xml:space="preserve">The optical setup was configured for 90° HRS experiments and a schematic is provided in </w:t>
      </w:r>
      <w:r w:rsidR="004358BB">
        <w:t>Fig.</w:t>
      </w:r>
      <w:r w:rsidR="00E154D4">
        <w:t> </w:t>
      </w:r>
      <w:r w:rsidR="00592141">
        <w:t>5.</w:t>
      </w:r>
      <w:r w:rsidRPr="005401E0">
        <w:t xml:space="preserve"> Linearly polarized femtosecond pulses were generated from a PHAROS PH1-SP-1mJ laser operating at </w:t>
      </w:r>
      <w:r w:rsidRPr="005401E0">
        <w:rPr>
          <w:rFonts w:cstheme="minorHAnsi"/>
        </w:rPr>
        <w:t>λ</w:t>
      </w:r>
      <w:r w:rsidRPr="005401E0">
        <w:t xml:space="preserve">= 1030 nm ± 10 nm, </w:t>
      </w:r>
      <w:r>
        <w:t>5</w:t>
      </w:r>
      <w:r w:rsidRPr="005401E0">
        <w:t xml:space="preserve">00 kHz repetition rate and </w:t>
      </w:r>
      <w:r>
        <w:t>220</w:t>
      </w:r>
      <w:r w:rsidRPr="005401E0">
        <w:t xml:space="preserve"> fs pulses. The laser's output power was initially configured at 0.9 Watts but underwent additional attenuation through the rotation of a half-wave retardation plate (HWP) positioned before a fixed Glann-Taylor prism polarizer. The resulting power reaching the sample in the HRS experiment was </w:t>
      </w:r>
      <w:r>
        <w:t>42.6</w:t>
      </w:r>
      <w:r w:rsidRPr="005401E0">
        <w:t xml:space="preserve"> </w:t>
      </w:r>
      <w:proofErr w:type="spellStart"/>
      <w:r w:rsidRPr="005401E0">
        <w:t>mW</w:t>
      </w:r>
      <w:proofErr w:type="spellEnd"/>
      <w:r w:rsidRPr="005401E0">
        <w:t xml:space="preserve">. To remove high-angle components and spatial irregularities from the gaussian intensity distribution, </w:t>
      </w:r>
      <w:r w:rsidRPr="005401E0">
        <w:lastRenderedPageBreak/>
        <w:t xml:space="preserve">the beam is guided through a pinhole via an input lens, followed by realignment into parallel rays through a collimating lens. The polarization state of the incident beam is controlled by a half wave plate before being focused onto the sample. The focusing lens used had a focal length of 10 cm and was focused </w:t>
      </w:r>
      <w:r>
        <w:t>at the edge of</w:t>
      </w:r>
      <w:r w:rsidRPr="005401E0">
        <w:t xml:space="preserve"> a 10 mm optical length silica quartz cuvette containing the liquid sample. The polarization state of the scattered light is then measured through a series of acquisitions, in which an analyzer is rotated to permit either vertically or horizontally polarized light in between acquisitions. The </w:t>
      </w:r>
      <w:r>
        <w:t xml:space="preserve">scattered </w:t>
      </w:r>
      <w:r w:rsidRPr="0049281F">
        <w:t>hyper-Rayleigh</w:t>
      </w:r>
      <w:r w:rsidRPr="005401E0">
        <w:t xml:space="preserve"> light is obtained by </w:t>
      </w:r>
      <w:r>
        <w:t xml:space="preserve">a </w:t>
      </w:r>
      <w:r w:rsidRPr="005401E0">
        <w:t xml:space="preserve">collection lens </w:t>
      </w:r>
      <w:r w:rsidRPr="0026338C">
        <w:t>(f = 50.00 mm, PAC13AR.15, Newport)</w:t>
      </w:r>
      <w:r>
        <w:t xml:space="preserve"> </w:t>
      </w:r>
      <w:r w:rsidRPr="005401E0">
        <w:t xml:space="preserve">and refocused by direct coupling through the manual slit of a Kymera 328i spectrograph. </w:t>
      </w:r>
      <w:r>
        <w:t xml:space="preserve">The numerical aperture of our collection lens corresponds to 0.165 in water. </w:t>
      </w:r>
      <w:r w:rsidRPr="005401E0">
        <w:t>The grating of 600 l/mm provided a resolution of 0.47 nm and bandpass of 64.45 nm.</w:t>
      </w:r>
    </w:p>
    <w:p w14:paraId="224078DA" w14:textId="77777777" w:rsidR="00DB374F" w:rsidRPr="005401E0" w:rsidRDefault="00DB374F" w:rsidP="00DB374F">
      <w:pPr>
        <w:pStyle w:val="TAMainText"/>
      </w:pPr>
      <w:r w:rsidRPr="005401E0">
        <w:t>To enhance signal-to-noise (S/N) of the low-intensity HRS , the laser sends out a trigger signal that synchronizes the gating of the intensified charge-coupled device (ICCD) with the precise timing of the optical pulses. The ICCD's built-in nanosecond electronic gating enables it to match these rapid optical processes, preventing measurement of blank signals between pulses. Since Rayleigh scattering is an instantaneous process, the electronic shutter of the collection camera opens simultaneously with this event.</w:t>
      </w:r>
      <w:r>
        <w:t xml:space="preserve"> In a way, ultrafast spectroscopy can be compared to old fashioned strobe photography whereby rapid cyclic processes are frozen in time through precisely timed sequences of frames.</w:t>
      </w:r>
    </w:p>
    <w:p w14:paraId="1E691086" w14:textId="77777777" w:rsidR="00DB374F" w:rsidRDefault="00DB374F" w:rsidP="00DB374F">
      <w:pPr>
        <w:pStyle w:val="TAMainText"/>
      </w:pPr>
      <w:r w:rsidRPr="005401E0">
        <w:rPr>
          <w:noProof/>
        </w:rPr>
        <w:lastRenderedPageBreak/>
        <w:drawing>
          <wp:inline distT="0" distB="0" distL="0" distR="0" wp14:anchorId="4CB89A57" wp14:editId="6105CC3A">
            <wp:extent cx="5533901" cy="3262879"/>
            <wp:effectExtent l="0" t="0" r="0" b="0"/>
            <wp:docPr id="53" name="Afbeelding 53" descr="A diagram of a computer&#10;&#10;Description automatically generated">
              <a:extLst xmlns:a="http://schemas.openxmlformats.org/drawingml/2006/main">
                <a:ext uri="{FF2B5EF4-FFF2-40B4-BE49-F238E27FC236}">
                  <a16:creationId xmlns:a16="http://schemas.microsoft.com/office/drawing/2014/main" id="{C56E6A33-4C9A-EB01-79A6-72AB55209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 diagram of a computer&#10;&#10;Description automatically generated">
                      <a:extLst>
                        <a:ext uri="{FF2B5EF4-FFF2-40B4-BE49-F238E27FC236}">
                          <a16:creationId xmlns:a16="http://schemas.microsoft.com/office/drawing/2014/main" id="{C56E6A33-4C9A-EB01-79A6-72AB55209B92}"/>
                        </a:ext>
                      </a:extLst>
                    </pic:cNvPr>
                    <pic:cNvPicPr>
                      <a:picLocks noChangeAspect="1"/>
                    </pic:cNvPicPr>
                  </pic:nvPicPr>
                  <pic:blipFill>
                    <a:blip r:embed="rId17"/>
                    <a:stretch>
                      <a:fillRect/>
                    </a:stretch>
                  </pic:blipFill>
                  <pic:spPr>
                    <a:xfrm>
                      <a:off x="0" y="0"/>
                      <a:ext cx="5536945" cy="3264674"/>
                    </a:xfrm>
                    <a:prstGeom prst="rect">
                      <a:avLst/>
                    </a:prstGeom>
                  </pic:spPr>
                </pic:pic>
              </a:graphicData>
            </a:graphic>
          </wp:inline>
        </w:drawing>
      </w:r>
    </w:p>
    <w:p w14:paraId="3FABA98A" w14:textId="0D836975" w:rsidR="00DB374F" w:rsidRPr="00064515" w:rsidRDefault="00DB374F" w:rsidP="00DB374F">
      <w:pPr>
        <w:pStyle w:val="VAFigureCaption"/>
        <w:rPr>
          <w:i/>
          <w:iCs/>
        </w:rPr>
      </w:pPr>
      <w:r w:rsidRPr="00B63D29">
        <w:rPr>
          <w:b/>
          <w:bCs/>
          <w:i/>
          <w:iCs/>
        </w:rPr>
        <w:t xml:space="preserve">Figure </w:t>
      </w:r>
      <w:r w:rsidR="007A656A">
        <w:rPr>
          <w:b/>
          <w:bCs/>
          <w:i/>
          <w:iCs/>
        </w:rPr>
        <w:t>5</w:t>
      </w:r>
      <w:r>
        <w:rPr>
          <w:b/>
          <w:bCs/>
          <w:i/>
          <w:iCs/>
        </w:rPr>
        <w:t>.</w:t>
      </w:r>
      <w:r w:rsidRPr="00B63D29">
        <w:rPr>
          <w:b/>
          <w:bCs/>
          <w:i/>
          <w:iCs/>
        </w:rPr>
        <w:t xml:space="preserve"> Schematic overview of the spectral 90° HRS setup. </w:t>
      </w:r>
      <w:r w:rsidRPr="00064515">
        <w:rPr>
          <w:i/>
          <w:iCs/>
        </w:rPr>
        <w:t xml:space="preserve">The laser pulses are delivered at a 600 kHz repetition rate at an excitation wavelength of 1030 nm. Through a series of optical components in the attenuator the final power delivered to the sample was 42.6 </w:t>
      </w:r>
      <w:proofErr w:type="spellStart"/>
      <w:r w:rsidRPr="00064515">
        <w:rPr>
          <w:i/>
          <w:iCs/>
        </w:rPr>
        <w:t>mW</w:t>
      </w:r>
      <w:proofErr w:type="spellEnd"/>
      <w:r w:rsidRPr="00064515">
        <w:rPr>
          <w:i/>
          <w:iCs/>
        </w:rPr>
        <w:t xml:space="preserve"> for the HRS experiments. The </w:t>
      </w:r>
      <w:r w:rsidRPr="00064515">
        <w:rPr>
          <w:rFonts w:cstheme="minorHAnsi"/>
          <w:i/>
          <w:iCs/>
        </w:rPr>
        <w:t>incoming polarization of the beam is in the Z-direction. The HRS intensity is measured in the X and Z directions successively by rotating the analyzer. An example of the measured spectra is provided, denoted as &lt;ZZZ&gt; and &lt;XZZ&gt;.</w:t>
      </w:r>
    </w:p>
    <w:p w14:paraId="3793EA33" w14:textId="77777777" w:rsidR="00DB374F" w:rsidRPr="00064515" w:rsidRDefault="00DB374F" w:rsidP="00DB374F">
      <w:pPr>
        <w:pStyle w:val="TAMainText"/>
        <w:rPr>
          <w:b/>
          <w:bCs/>
        </w:rPr>
      </w:pPr>
      <w:r w:rsidRPr="00064515">
        <w:rPr>
          <w:b/>
          <w:bCs/>
        </w:rPr>
        <w:t>Data Acquisition and Analysis</w:t>
      </w:r>
    </w:p>
    <w:p w14:paraId="408C82EA" w14:textId="141E530B" w:rsidR="00DB374F" w:rsidRDefault="00DB374F" w:rsidP="00A80053">
      <w:pPr>
        <w:pStyle w:val="TAMainText"/>
      </w:pPr>
      <w:r>
        <w:t xml:space="preserve">CNC suspension of varying concentration </w:t>
      </w:r>
      <w:r w:rsidR="004332A3">
        <w:t>was</w:t>
      </w:r>
      <w:r>
        <w:t xml:space="preserve"> transferred to 10 mm path length quartz cuvettes. Samples were vortexed and sonicated to break agglomerates before each measurement and concentrations were kept low to avoid self-assembly. Over successive measurement days, several concentration series were prepared. The lowest concentration series ranged from 0 to 0.1 wt.% with increments of 0.02 wt% between samples. This was followed by an intermediate series ranging from 0 to 1 wt. % with increments of 0.2 wt. %. And finally a high concentration series </w:t>
      </w:r>
      <w:r>
        <w:lastRenderedPageBreak/>
        <w:t>between 1 wt.% and 2 wt.% with increments of 0.2 wt.%. A blank at 0 wt.% was always prepared and measured. We observed a clear linear correlation in the total detected HRS signal across all concentrations, suggesting the absence of concentration-dependent agglomerate formation or chiral nematic alignment.</w:t>
      </w:r>
    </w:p>
    <w:p w14:paraId="0066CCF7" w14:textId="77777777" w:rsidR="00DB374F" w:rsidRPr="005401E0" w:rsidRDefault="00DB374F" w:rsidP="00DB374F">
      <w:pPr>
        <w:pStyle w:val="TAMainText"/>
        <w:rPr>
          <w:color w:val="7030A0"/>
        </w:rPr>
      </w:pPr>
      <w:r w:rsidRPr="005401E0">
        <w:rPr>
          <w:color w:val="000000" w:themeColor="text1"/>
        </w:rPr>
        <w:t xml:space="preserve">The data </w:t>
      </w:r>
      <w:r>
        <w:rPr>
          <w:color w:val="000000" w:themeColor="text1"/>
        </w:rPr>
        <w:t>acquired was fitted to the gaussian function expressed below:</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681"/>
      </w:tblGrid>
      <w:tr w:rsidR="00DB374F" w:rsidRPr="005401E0" w14:paraId="092CC53A" w14:textId="77777777">
        <w:trPr>
          <w:trHeight w:val="850"/>
        </w:trPr>
        <w:tc>
          <w:tcPr>
            <w:tcW w:w="8960" w:type="dxa"/>
            <w:vAlign w:val="center"/>
          </w:tcPr>
          <w:p w14:paraId="02D1D456" w14:textId="77777777" w:rsidR="00DB374F" w:rsidRPr="00CF2135" w:rsidRDefault="00DB374F">
            <w:pPr>
              <w:pStyle w:val="TAMainText"/>
            </w:pPr>
            <m:oMathPara>
              <m:oMath>
                <m:r>
                  <w:rPr>
                    <w:rFonts w:ascii="Cambria Math" w:eastAsiaTheme="minorEastAsia" w:hAnsi="Cambria Math"/>
                  </w:rPr>
                  <m:t>y=mx+b+</m:t>
                </m:r>
                <m:f>
                  <m:fPr>
                    <m:ctrlPr>
                      <w:rPr>
                        <w:rFonts w:ascii="Cambria Math" w:eastAsiaTheme="minorEastAsia" w:hAnsi="Cambria Math"/>
                      </w:rPr>
                    </m:ctrlPr>
                  </m:fPr>
                  <m:num>
                    <m:r>
                      <w:rPr>
                        <w:rFonts w:ascii="Cambria Math" w:eastAsiaTheme="minorEastAsia" w:hAnsi="Cambria Math"/>
                      </w:rPr>
                      <m:t>A</m:t>
                    </m:r>
                    <m:ctrlPr>
                      <w:rPr>
                        <w:rFonts w:ascii="Cambria Math" w:eastAsiaTheme="minorEastAsia" w:hAnsi="Cambria Math"/>
                        <w:i/>
                      </w:rPr>
                    </m:ctrlPr>
                  </m:num>
                  <m:den>
                    <m:r>
                      <w:rPr>
                        <w:rFonts w:ascii="Cambria Math" w:eastAsiaTheme="minorEastAsia" w:hAnsi="Cambria Math"/>
                      </w:rPr>
                      <m:t>w</m:t>
                    </m:r>
                    <m:rad>
                      <m:radPr>
                        <m:degHide m:val="1"/>
                        <m:ctrlPr>
                          <w:rPr>
                            <w:rFonts w:ascii="Cambria Math" w:eastAsiaTheme="minorEastAsia" w:hAnsi="Cambria Math"/>
                          </w:rPr>
                        </m:ctrlPr>
                      </m:radPr>
                      <m:deg/>
                      <m:e>
                        <m:r>
                          <m:rPr>
                            <m:sty m:val="p"/>
                          </m:rPr>
                          <w:rPr>
                            <w:rFonts w:ascii="Cambria Math" w:eastAsiaTheme="minorEastAsia" w:hAnsi="Cambria Math"/>
                          </w:rPr>
                          <m:t>π</m:t>
                        </m:r>
                        <m:r>
                          <m:rPr>
                            <m:lit/>
                          </m:rPr>
                          <w:rPr>
                            <w:rFonts w:ascii="Cambria Math" w:eastAsiaTheme="minorEastAsia" w:hAnsi="Cambria Math"/>
                          </w:rPr>
                          <m:t>/</m:t>
                        </m:r>
                        <m:r>
                          <w:rPr>
                            <w:rFonts w:ascii="Cambria Math" w:eastAsiaTheme="minorEastAsia" w:hAnsi="Cambria Math"/>
                          </w:rPr>
                          <m:t>2</m:t>
                        </m:r>
                      </m:e>
                    </m:rad>
                    <m:ctrlPr>
                      <w:rPr>
                        <w:rFonts w:ascii="Cambria Math" w:eastAsiaTheme="minorEastAsia" w:hAnsi="Cambria Math"/>
                        <w:i/>
                      </w:rPr>
                    </m:ctrlPr>
                  </m:den>
                </m:f>
                <m:r>
                  <w:rPr>
                    <w:rFonts w:ascii="Cambria Math" w:eastAsiaTheme="minorEastAsia" w:hAnsi="Cambria Math"/>
                  </w:rPr>
                  <m:t>exp</m:t>
                </m:r>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rPr>
                                </m:ctrlPr>
                              </m:fPr>
                              <m:num>
                                <m:r>
                                  <w:rPr>
                                    <w:rFonts w:ascii="Cambria Math" w:eastAsiaTheme="minorEastAsia" w:hAnsi="Cambria Math"/>
                                  </w:rPr>
                                  <m:t>x-</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m:t>
                                    </m:r>
                                  </m:sub>
                                </m:sSub>
                                <m:ctrlPr>
                                  <w:rPr>
                                    <w:rFonts w:ascii="Cambria Math" w:eastAsiaTheme="minorEastAsia" w:hAnsi="Cambria Math"/>
                                    <w:i/>
                                  </w:rPr>
                                </m:ctrlPr>
                              </m:num>
                              <m:den>
                                <m:r>
                                  <w:rPr>
                                    <w:rFonts w:ascii="Cambria Math" w:eastAsiaTheme="minorEastAsia" w:hAnsi="Cambria Math"/>
                                  </w:rPr>
                                  <m:t>w</m:t>
                                </m:r>
                                <m:ctrlPr>
                                  <w:rPr>
                                    <w:rFonts w:ascii="Cambria Math" w:eastAsiaTheme="minorEastAsia" w:hAnsi="Cambria Math"/>
                                    <w:i/>
                                  </w:rPr>
                                </m:ctrlPr>
                              </m:den>
                            </m:f>
                          </m:e>
                        </m:d>
                      </m:e>
                      <m:sup>
                        <m:r>
                          <w:rPr>
                            <w:rFonts w:ascii="Cambria Math" w:eastAsiaTheme="minorEastAsia" w:hAnsi="Cambria Math"/>
                          </w:rPr>
                          <m:t>2</m:t>
                        </m:r>
                      </m:sup>
                    </m:sSup>
                  </m:e>
                </m:d>
              </m:oMath>
            </m:oMathPara>
          </w:p>
        </w:tc>
        <w:tc>
          <w:tcPr>
            <w:tcW w:w="678" w:type="dxa"/>
            <w:vAlign w:val="center"/>
          </w:tcPr>
          <w:p w14:paraId="46CB87FD" w14:textId="742A45F7" w:rsidR="00DB374F" w:rsidRPr="005401E0" w:rsidRDefault="00000000">
            <w:pPr>
              <w:pStyle w:val="TAMainText"/>
              <w:rPr>
                <w:rFonts w:eastAsiaTheme="minorEastAsia"/>
              </w:rPr>
            </w:pPr>
            <m:oMathPara>
              <m:oMath>
                <m:d>
                  <m:dPr>
                    <m:ctrlPr>
                      <w:rPr>
                        <w:rFonts w:ascii="Cambria Math" w:eastAsiaTheme="minorEastAsia" w:hAnsi="Cambria Math"/>
                        <w:i/>
                      </w:rPr>
                    </m:ctrlPr>
                  </m:dPr>
                  <m:e>
                    <m:r>
                      <w:rPr>
                        <w:rFonts w:ascii="Cambria Math" w:eastAsiaTheme="minorEastAsia" w:hAnsi="Cambria Math"/>
                      </w:rPr>
                      <m:t>16</m:t>
                    </m:r>
                  </m:e>
                </m:d>
              </m:oMath>
            </m:oMathPara>
          </w:p>
        </w:tc>
      </w:tr>
    </w:tbl>
    <w:p w14:paraId="67375C31" w14:textId="664306DE" w:rsidR="00DB374F" w:rsidRPr="00E56305" w:rsidRDefault="00DB374F" w:rsidP="00F02488">
      <w:pPr>
        <w:pStyle w:val="TAMainText"/>
        <w:ind w:firstLine="204"/>
        <w:rPr>
          <w:rFonts w:cs="Times"/>
        </w:rPr>
      </w:pPr>
      <w:r>
        <w:rPr>
          <w:color w:val="000000" w:themeColor="text1"/>
        </w:rPr>
        <w:t>The HRS signal registered corresponds to parameter A – the area under the gaussian.</w:t>
      </w:r>
      <w:r w:rsidR="00971E9C">
        <w:rPr>
          <w:color w:val="000000" w:themeColor="text1"/>
        </w:rPr>
        <w:fldChar w:fldCharType="begin" w:fldLock="1"/>
      </w:r>
      <w:r w:rsidR="00230CB5">
        <w:rPr>
          <w:color w:val="000000" w:themeColor="text1"/>
        </w:rPr>
        <w:instrText>ADDIN CSL_CITATION {"citationItems":[{"id":"ITEM-1","itemData":{"DOI":"10.1021/acs.jpcc.7b00625","ISSN":"19327455","abstract":"The molecular first hyperpolarizability (β) of bacteriorhodopsin was measured over a broad spectral range (800-1300 nm) by means of a spectral hyper-Rayleigh scattering setup. We observed that two-photon fluorescence introduced a systematic error toward overestimating the β value. Spectrally resolved hyper-Rayleigh scattering allowed us to quantify and correct for this effect, resulting in a drop to about one-half of the β value reported in the literature. Moreover, we determined the dispersion of β over the wavelength range between 800 and 1300 nm. Applications such as second harmonic generation (SHG) imaging rely on accurate molecular first hyperpolarizability values, along with information about resonance effects and wavelength-dependent photodamage. With new and more accurate measurement setups, it will be possible to gain more insight into the nonlinear optical response of bacteriorhodopsin.","author":[{"dropping-particle":"","family":"Coene","given":"Yovan","non-dropping-particle":"De","parse-names":false,"suffix":""},{"dropping-particle":"","family":"Cleuvenbergen","given":"Stijn","non-dropping-particle":"Van","parse-names":false,"suffix":""},{"dropping-particle":"","family":"Steerteghem","given":"Nick","non-dropping-particle":"Van","parse-names":false,"suffix":""},{"dropping-particle":"","family":"Baekelandt","given":"Veerle","non-dropping-particle":"","parse-names":false,"suffix":""},{"dropping-particle":"","family":"Verbiest","given":"Thierry","non-dropping-particle":"","parse-names":false,"suffix":""},{"dropping-particle":"","family":"Bartic","given":"Carmen","non-dropping-particle":"","parse-names":false,"suffix":""},{"dropping-particle":"","family":"Clays","given":"Koen","non-dropping-particle":"","parse-names":false,"suffix":""}],"container-title":"Journal of Physical Chemistry C","id":"ITEM-1","issue":"12","issued":{"date-parts":[["2017"]]},"page":"6909-6915","title":"Fluorescence-Free Spectral Dispersion of the Molecular First Hyperpolarizability of Bacteriorhodopsin","type":"article-journal","volume":"121"},"uris":["http://www.mendeley.com/documents/?uuid=703a3f6b-6545-4ae6-8035-69b472ef706c"]}],"mendeley":{"formattedCitation":"&lt;sup&gt;62&lt;/sup&gt;","plainTextFormattedCitation":"62","previouslyFormattedCitation":"&lt;sup&gt;62&lt;/sup&gt;"},"properties":{"noteIndex":0},"schema":"https://github.com/citation-style-language/schema/raw/master/csl-citation.json"}</w:instrText>
      </w:r>
      <w:r w:rsidR="00971E9C">
        <w:rPr>
          <w:color w:val="000000" w:themeColor="text1"/>
        </w:rPr>
        <w:fldChar w:fldCharType="separate"/>
      </w:r>
      <w:r w:rsidR="00D91D8C" w:rsidRPr="00D91D8C">
        <w:rPr>
          <w:noProof/>
          <w:color w:val="000000" w:themeColor="text1"/>
          <w:vertAlign w:val="superscript"/>
        </w:rPr>
        <w:t>62</w:t>
      </w:r>
      <w:r w:rsidR="00971E9C">
        <w:rPr>
          <w:color w:val="000000" w:themeColor="text1"/>
        </w:rPr>
        <w:fldChar w:fldCharType="end"/>
      </w:r>
      <w:r>
        <w:rPr>
          <w:color w:val="000000" w:themeColor="text1"/>
        </w:rPr>
        <w:t xml:space="preserve"> Each sample was acquired five times consecutively and fitted independently with the reported error being the standard deviations of A. As different concentrations were acquired with different exposure times, all of the values and errors were linearly normalized to one-second exposure. Notably, the solvent measurement was usually much longer than the high solute concentration samples due to the lower HRS signal.</w:t>
      </w:r>
    </w:p>
    <w:p w14:paraId="2B6AC49B" w14:textId="30A7E524" w:rsidR="00DD6DBB" w:rsidRDefault="00113AD4" w:rsidP="00F02488">
      <w:pPr>
        <w:pStyle w:val="TESupportingInformation"/>
        <w:spacing w:after="240"/>
        <w:ind w:firstLine="0"/>
        <w:jc w:val="left"/>
      </w:pPr>
      <w:r>
        <w:t>A</w:t>
      </w:r>
      <w:r w:rsidR="00C10EE0">
        <w:t>SSOCIATED CONTENT</w:t>
      </w:r>
    </w:p>
    <w:p w14:paraId="3A053F02" w14:textId="7A559004" w:rsidR="00C10EE0" w:rsidRPr="00F83E7B" w:rsidRDefault="00415CCA" w:rsidP="00F83E7B">
      <w:pPr>
        <w:pStyle w:val="TESupportingInformation"/>
        <w:jc w:val="left"/>
      </w:pPr>
      <w:r>
        <w:t>See supplementary information for additional information</w:t>
      </w:r>
      <w:r w:rsidR="009F07C0">
        <w:t xml:space="preserve"> referenced accordingly in the manuscript</w:t>
      </w:r>
      <w:r w:rsidR="003D7BC8">
        <w:t>.</w:t>
      </w:r>
    </w:p>
    <w:p w14:paraId="764EFB40" w14:textId="77777777" w:rsidR="00DD6DBB" w:rsidRDefault="00DD6DBB" w:rsidP="00DD6DBB">
      <w:pPr>
        <w:pStyle w:val="FACorrespondingAuthorFootnote"/>
        <w:spacing w:after="0"/>
        <w:jc w:val="left"/>
      </w:pPr>
      <w:r>
        <w:t>AUTHOR INFORMATION</w:t>
      </w:r>
    </w:p>
    <w:p w14:paraId="4F09CA0C" w14:textId="77777777" w:rsidR="00DD6DBB" w:rsidRPr="00DD6DBB" w:rsidRDefault="00DD6DBB" w:rsidP="00E31202">
      <w:pPr>
        <w:pStyle w:val="FAAuthorInfoSubtitle"/>
      </w:pPr>
      <w:r w:rsidRPr="00DD6DBB">
        <w:t>Corresponding Author</w:t>
      </w:r>
    </w:p>
    <w:p w14:paraId="47C01AB0" w14:textId="03D4FDA5" w:rsidR="00943403" w:rsidRDefault="00943403" w:rsidP="00E31202">
      <w:pPr>
        <w:pStyle w:val="FAAuthorInfoSubtitle"/>
        <w:rPr>
          <w:b/>
        </w:rPr>
      </w:pPr>
      <w:r>
        <w:t xml:space="preserve">For experimental: </w:t>
      </w:r>
      <w:hyperlink r:id="rId18" w:history="1">
        <w:r w:rsidR="00770A43" w:rsidRPr="00D4419E">
          <w:rPr>
            <w:rStyle w:val="Hyperlink"/>
          </w:rPr>
          <w:t>*stijn.vancleuvenbergen@kuleuven.be</w:t>
        </w:r>
      </w:hyperlink>
    </w:p>
    <w:p w14:paraId="5D2D95D1" w14:textId="676E5EA4" w:rsidR="00943403" w:rsidRDefault="00943403" w:rsidP="00E31202">
      <w:pPr>
        <w:pStyle w:val="FAAuthorInfoSubtitle"/>
        <w:rPr>
          <w:b/>
        </w:rPr>
      </w:pPr>
      <w:r>
        <w:t xml:space="preserve">For </w:t>
      </w:r>
      <w:r w:rsidR="00A17035" w:rsidRPr="007374C4">
        <w:rPr>
          <w:bCs w:val="0"/>
        </w:rPr>
        <w:t>quantum chemical</w:t>
      </w:r>
      <w:r w:rsidR="00A17035">
        <w:rPr>
          <w:b/>
        </w:rPr>
        <w:t xml:space="preserve"> </w:t>
      </w:r>
      <w:r>
        <w:t xml:space="preserve">modeling: </w:t>
      </w:r>
      <w:hyperlink r:id="rId19" w:history="1">
        <w:r w:rsidRPr="00337254">
          <w:rPr>
            <w:rStyle w:val="Hyperlink"/>
          </w:rPr>
          <w:t>*benoit.champagne@unamur.be</w:t>
        </w:r>
      </w:hyperlink>
    </w:p>
    <w:p w14:paraId="05445109" w14:textId="77777777" w:rsidR="00DF593D" w:rsidRDefault="00DF593D" w:rsidP="00E31202">
      <w:pPr>
        <w:pStyle w:val="FAAuthorInfoSubtitle"/>
      </w:pPr>
    </w:p>
    <w:p w14:paraId="7D22EF47" w14:textId="77777777" w:rsidR="008D3262" w:rsidRDefault="008D3262" w:rsidP="00E31202">
      <w:pPr>
        <w:pStyle w:val="FAAuthorInfoSubtitle"/>
      </w:pPr>
    </w:p>
    <w:p w14:paraId="401CB151" w14:textId="614A5EC7" w:rsidR="00C10EE0" w:rsidRPr="00DD6DBB" w:rsidRDefault="00D12397" w:rsidP="00E31202">
      <w:pPr>
        <w:pStyle w:val="FAAuthorInfoSubtitle"/>
      </w:pPr>
      <w:bookmarkStart w:id="3" w:name="_Hlk177461331"/>
      <w:r>
        <w:lastRenderedPageBreak/>
        <w:t>AUTHOR CONTRIBUTIONS</w:t>
      </w:r>
    </w:p>
    <w:p w14:paraId="66C30AB2" w14:textId="1F558819" w:rsidR="00D12397" w:rsidRDefault="00041A00" w:rsidP="00E31202">
      <w:pPr>
        <w:pStyle w:val="FAAuthorInfoSubtitle"/>
      </w:pPr>
      <w:r w:rsidRPr="00041A00">
        <w:t>T.L and F.M contributed equally to this work. T.L, A.</w:t>
      </w:r>
      <w:r w:rsidR="000C7A27">
        <w:t>R.</w:t>
      </w:r>
      <w:r w:rsidRPr="00041A00">
        <w:t>D and S.V.C carried out the HRS experimental conceptualization, design and methodology. T.L and A.</w:t>
      </w:r>
      <w:r w:rsidR="000C7A27">
        <w:t>R.</w:t>
      </w:r>
      <w:r w:rsidRPr="00041A00">
        <w:t xml:space="preserve">D carried out the data acquisition. T.L carried out the HRS data curation and </w:t>
      </w:r>
      <w:bookmarkEnd w:id="3"/>
      <w:r w:rsidRPr="00041A00">
        <w:t xml:space="preserve">analysis. T.L carried out the chemical synthesis and characterization of the CNC. </w:t>
      </w:r>
      <w:proofErr w:type="spellStart"/>
      <w:r w:rsidRPr="00041A00">
        <w:t>Y.d.C</w:t>
      </w:r>
      <w:proofErr w:type="spellEnd"/>
      <w:r w:rsidRPr="00041A00">
        <w:t>, W.T and S.V.C carried out experimental supervision and guidance. F.M. performed the quantum chemical calculations. B.C. carried out computational chemistry supervision and guidance.  S.V.C, W.T and B.C acquired funding. T.L, F.M, B.C and S.V.C contributed equally to the writing of the original draft. All authors have contributed equally to the reviewing and editing. All authors have given approval to the final version of the manuscript.</w:t>
      </w:r>
    </w:p>
    <w:p w14:paraId="3B93F3E5" w14:textId="6DF921CA" w:rsidR="00C10EE0" w:rsidRPr="00DD6DBB" w:rsidRDefault="00D12397" w:rsidP="00E31202">
      <w:pPr>
        <w:pStyle w:val="FAAuthorInfoSubtitle"/>
      </w:pPr>
      <w:r>
        <w:t>FUNDING SOURCES AND ACKNOWLEDGEMENTS</w:t>
      </w:r>
    </w:p>
    <w:p w14:paraId="502D292C" w14:textId="6C74686E" w:rsidR="00502368" w:rsidRDefault="00360EC7" w:rsidP="00926FBB">
      <w:pPr>
        <w:pStyle w:val="TAMainText"/>
        <w:rPr>
          <w:color w:val="000000" w:themeColor="text1"/>
        </w:rPr>
      </w:pPr>
      <w:r w:rsidRPr="00360EC7">
        <w:t>TL</w:t>
      </w:r>
      <w:r w:rsidR="00387652">
        <w:t>, SVC, and WT</w:t>
      </w:r>
      <w:r w:rsidRPr="00360EC7">
        <w:t xml:space="preserve"> acknowledge the support of the KU Leuven Research Grant IDN/19/014. SVC </w:t>
      </w:r>
      <w:r w:rsidR="00387652">
        <w:t xml:space="preserve">further </w:t>
      </w:r>
      <w:r w:rsidRPr="00360EC7">
        <w:t xml:space="preserve">acknowledges support from KU Leuven (C14/19/079), and FWO (G086522N). WT </w:t>
      </w:r>
      <w:r w:rsidR="00B84742">
        <w:t>acknowledges</w:t>
      </w:r>
      <w:r w:rsidRPr="00360EC7">
        <w:t xml:space="preserve"> KU Leuven (grants C14/18/061 and C14/23/093) for financial support. </w:t>
      </w:r>
      <w:proofErr w:type="spellStart"/>
      <w:r w:rsidRPr="00360EC7">
        <w:t>YdC</w:t>
      </w:r>
      <w:proofErr w:type="spellEnd"/>
      <w:r w:rsidRPr="00360EC7">
        <w:t xml:space="preserve"> acknowledges support from the research foundation Flanders (FWO) for a junior postdoctoral fellowship (1234222N).</w:t>
      </w:r>
      <w:r w:rsidR="00B577F3">
        <w:rPr>
          <w:b/>
        </w:rPr>
        <w:t xml:space="preserve"> </w:t>
      </w:r>
      <w:r w:rsidR="00B577F3" w:rsidRPr="00E0462B">
        <w:rPr>
          <w:color w:val="000000" w:themeColor="text1"/>
        </w:rPr>
        <w:t xml:space="preserve">The calculations were performed on the computers of the « Consortium des </w:t>
      </w:r>
      <w:proofErr w:type="spellStart"/>
      <w:r w:rsidR="00B577F3" w:rsidRPr="00E0462B">
        <w:rPr>
          <w:color w:val="000000" w:themeColor="text1"/>
        </w:rPr>
        <w:t>équipements</w:t>
      </w:r>
      <w:proofErr w:type="spellEnd"/>
      <w:r w:rsidR="00B577F3" w:rsidRPr="00E0462B">
        <w:rPr>
          <w:color w:val="000000" w:themeColor="text1"/>
        </w:rPr>
        <w:t xml:space="preserve"> de </w:t>
      </w:r>
      <w:proofErr w:type="spellStart"/>
      <w:r w:rsidR="00B577F3" w:rsidRPr="00E0462B">
        <w:rPr>
          <w:color w:val="000000" w:themeColor="text1"/>
        </w:rPr>
        <w:t>Calcul</w:t>
      </w:r>
      <w:proofErr w:type="spellEnd"/>
      <w:r w:rsidR="00B577F3" w:rsidRPr="00E0462B">
        <w:rPr>
          <w:color w:val="000000" w:themeColor="text1"/>
        </w:rPr>
        <w:t xml:space="preserve"> </w:t>
      </w:r>
      <w:proofErr w:type="spellStart"/>
      <w:r w:rsidR="00B577F3" w:rsidRPr="00E0462B">
        <w:rPr>
          <w:color w:val="000000" w:themeColor="text1"/>
        </w:rPr>
        <w:t>Intensif</w:t>
      </w:r>
      <w:proofErr w:type="spellEnd"/>
      <w:r w:rsidR="00B577F3" w:rsidRPr="00E0462B">
        <w:rPr>
          <w:color w:val="000000" w:themeColor="text1"/>
        </w:rPr>
        <w:t xml:space="preserve"> (CÉCI) » (</w:t>
      </w:r>
      <w:hyperlink r:id="rId20" w:history="1">
        <w:r w:rsidR="00B577F3" w:rsidRPr="00E0462B">
          <w:rPr>
            <w:rStyle w:val="Hyperlink"/>
            <w:color w:val="000000" w:themeColor="text1"/>
          </w:rPr>
          <w:t>http://www.ceci-hpc.be</w:t>
        </w:r>
      </w:hyperlink>
      <w:r w:rsidR="00B577F3" w:rsidRPr="00E0462B">
        <w:rPr>
          <w:color w:val="000000" w:themeColor="text1"/>
        </w:rPr>
        <w:t>), including those of the « </w:t>
      </w:r>
      <w:proofErr w:type="spellStart"/>
      <w:r w:rsidR="00B577F3" w:rsidRPr="00E0462B">
        <w:rPr>
          <w:color w:val="000000" w:themeColor="text1"/>
        </w:rPr>
        <w:t>UNamur</w:t>
      </w:r>
      <w:proofErr w:type="spellEnd"/>
      <w:r w:rsidR="00B577F3" w:rsidRPr="00E0462B">
        <w:rPr>
          <w:color w:val="000000" w:themeColor="text1"/>
        </w:rPr>
        <w:t xml:space="preserve"> Technological Platform of High-Performance Computing (PTCI) » (</w:t>
      </w:r>
      <w:hyperlink r:id="rId21" w:history="1">
        <w:r w:rsidR="00B577F3" w:rsidRPr="00E0462B">
          <w:rPr>
            <w:rStyle w:val="Hyperlink"/>
            <w:color w:val="000000" w:themeColor="text1"/>
          </w:rPr>
          <w:t>http://www.ptci.unamur.be</w:t>
        </w:r>
      </w:hyperlink>
      <w:r w:rsidR="00B577F3" w:rsidRPr="00E0462B">
        <w:rPr>
          <w:color w:val="000000" w:themeColor="text1"/>
        </w:rPr>
        <w:t xml:space="preserve">) and those of the Tier-1 supercomputer of the Fédération Wallonie-Bruxelles, for which we gratefully acknowledge the financial support from the FNRS-FRFC, the Walloon Region, and the University of Namur (Conventions No. U.G006.15, </w:t>
      </w:r>
      <w:r w:rsidR="00B577F3" w:rsidRPr="00590BC1">
        <w:rPr>
          <w:color w:val="000000" w:themeColor="text1"/>
        </w:rPr>
        <w:t>U.G018.19</w:t>
      </w:r>
      <w:r w:rsidR="00B577F3" w:rsidRPr="00E0462B">
        <w:rPr>
          <w:color w:val="000000" w:themeColor="text1"/>
        </w:rPr>
        <w:t xml:space="preserve">, U.G011.22, RW1610468, RW/GEQ2016, 1117545, and RW2110213). </w:t>
      </w:r>
      <w:r w:rsidR="000342EE" w:rsidRPr="000342EE">
        <w:rPr>
          <w:color w:val="000000" w:themeColor="text1"/>
        </w:rPr>
        <w:t xml:space="preserve">Acknowledgment is extended to </w:t>
      </w:r>
      <w:r w:rsidR="000342EE">
        <w:rPr>
          <w:color w:val="000000" w:themeColor="text1"/>
        </w:rPr>
        <w:t>Olivier Deschaume</w:t>
      </w:r>
      <w:r w:rsidR="000342EE" w:rsidRPr="000342EE">
        <w:rPr>
          <w:color w:val="000000" w:themeColor="text1"/>
        </w:rPr>
        <w:t xml:space="preserve"> for </w:t>
      </w:r>
      <w:r w:rsidR="00CC2324">
        <w:rPr>
          <w:color w:val="000000" w:themeColor="text1"/>
        </w:rPr>
        <w:t>performing</w:t>
      </w:r>
      <w:r w:rsidR="000342EE" w:rsidRPr="000342EE">
        <w:rPr>
          <w:color w:val="000000" w:themeColor="text1"/>
        </w:rPr>
        <w:t xml:space="preserve"> the AFM imaging.</w:t>
      </w:r>
    </w:p>
    <w:p w14:paraId="49713699" w14:textId="2A3CDBBF" w:rsidR="00DD6DBB" w:rsidRPr="00D12397" w:rsidRDefault="006D21CC" w:rsidP="00E31202">
      <w:pPr>
        <w:pStyle w:val="FAAuthorInfoSubtitle"/>
        <w:rPr>
          <w:caps/>
        </w:rPr>
      </w:pPr>
      <w:r w:rsidRPr="00D12397">
        <w:rPr>
          <w:caps/>
        </w:rPr>
        <w:lastRenderedPageBreak/>
        <w:t>Conflict of interest</w:t>
      </w:r>
    </w:p>
    <w:p w14:paraId="174857F0" w14:textId="24FFF44C" w:rsidR="00C10EE0" w:rsidRDefault="004B6833" w:rsidP="00DD6DBB">
      <w:pPr>
        <w:pStyle w:val="StyleFACorrespondingAuthorFootnote7pt"/>
        <w:spacing w:after="240" w:line="480" w:lineRule="auto"/>
        <w:rPr>
          <w:rFonts w:ascii="Times" w:hAnsi="Times"/>
          <w:kern w:val="0"/>
          <w:sz w:val="24"/>
        </w:rPr>
      </w:pPr>
      <w:r>
        <w:rPr>
          <w:rFonts w:ascii="Times" w:hAnsi="Times"/>
          <w:kern w:val="0"/>
          <w:sz w:val="24"/>
        </w:rPr>
        <w:t>The authors have no conflicts to disclose.</w:t>
      </w:r>
    </w:p>
    <w:p w14:paraId="373A8849" w14:textId="1408400F" w:rsidR="00EC42FA" w:rsidRPr="00EC42FA" w:rsidRDefault="00EC42FA" w:rsidP="00EC42FA">
      <w:pPr>
        <w:pStyle w:val="FAAuthorInfoSubtitle"/>
        <w:rPr>
          <w:caps/>
        </w:rPr>
      </w:pPr>
      <w:r>
        <w:rPr>
          <w:caps/>
        </w:rPr>
        <w:t>DATA AVAILABILITY STATEMENT</w:t>
      </w:r>
    </w:p>
    <w:p w14:paraId="15D49E02" w14:textId="2921282D" w:rsidR="00741318" w:rsidRDefault="00741318" w:rsidP="00741318">
      <w:pPr>
        <w:spacing w:after="0" w:line="360" w:lineRule="auto"/>
        <w:jc w:val="left"/>
      </w:pPr>
      <w:r>
        <w:t>D</w:t>
      </w:r>
      <w:r w:rsidRPr="00EC42FA">
        <w:t xml:space="preserve">ata for this article, including </w:t>
      </w:r>
      <w:r>
        <w:t xml:space="preserve">HRS spectra, AFM analysis and respective read me files </w:t>
      </w:r>
      <w:r w:rsidRPr="00EC42FA">
        <w:t xml:space="preserve">are available at </w:t>
      </w:r>
      <w:r>
        <w:t xml:space="preserve">KU Leuven RDR </w:t>
      </w:r>
      <w:r w:rsidRPr="00EC42FA">
        <w:t xml:space="preserve"> at </w:t>
      </w:r>
      <w:hyperlink r:id="rId22" w:history="1">
        <w:r w:rsidRPr="00E613C5">
          <w:rPr>
            <w:rStyle w:val="Hyperlink"/>
          </w:rPr>
          <w:t>https://doi.org/10.48804/XZHCPU</w:t>
        </w:r>
      </w:hyperlink>
    </w:p>
    <w:p w14:paraId="27DFD302" w14:textId="77777777" w:rsidR="00EC42FA" w:rsidRDefault="00EC42FA">
      <w:pPr>
        <w:spacing w:after="0"/>
        <w:jc w:val="left"/>
      </w:pPr>
    </w:p>
    <w:p w14:paraId="13F10254" w14:textId="77777777" w:rsidR="00EC42FA" w:rsidRDefault="00EC42FA">
      <w:pPr>
        <w:spacing w:after="0"/>
        <w:jc w:val="left"/>
      </w:pPr>
    </w:p>
    <w:p w14:paraId="095E1ED5" w14:textId="28B6EF9A" w:rsidR="00DD6DBB" w:rsidRPr="00647CC3" w:rsidRDefault="00DD6DBB" w:rsidP="000B5610">
      <w:pPr>
        <w:pStyle w:val="TFReferencesSection"/>
        <w:spacing w:after="0"/>
        <w:ind w:firstLine="0"/>
        <w:rPr>
          <w:b/>
          <w:bCs/>
        </w:rPr>
      </w:pPr>
      <w:r w:rsidRPr="00647CC3">
        <w:rPr>
          <w:b/>
          <w:bCs/>
        </w:rPr>
        <w:t>REFERENCES</w:t>
      </w:r>
    </w:p>
    <w:p w14:paraId="3E80A2DD" w14:textId="50565226" w:rsidR="00230CB5" w:rsidRPr="00230CB5" w:rsidRDefault="00184F02" w:rsidP="00230CB5">
      <w:pPr>
        <w:widowControl w:val="0"/>
        <w:autoSpaceDE w:val="0"/>
        <w:autoSpaceDN w:val="0"/>
        <w:adjustRightInd w:val="0"/>
        <w:spacing w:after="0" w:line="480" w:lineRule="auto"/>
        <w:ind w:left="640" w:hanging="640"/>
        <w:rPr>
          <w:rFonts w:cs="Times"/>
          <w:noProof/>
        </w:rPr>
      </w:pPr>
      <w:r>
        <w:fldChar w:fldCharType="begin" w:fldLock="1"/>
      </w:r>
      <w:r>
        <w:instrText xml:space="preserve">ADDIN Mendeley Bibliography CSL_BIBLIOGRAPHY </w:instrText>
      </w:r>
      <w:r>
        <w:fldChar w:fldCharType="separate"/>
      </w:r>
      <w:r w:rsidR="00230CB5" w:rsidRPr="00230CB5">
        <w:rPr>
          <w:rFonts w:cs="Times"/>
          <w:noProof/>
        </w:rPr>
        <w:t>(1)</w:t>
      </w:r>
      <w:r w:rsidR="00230CB5" w:rsidRPr="00230CB5">
        <w:rPr>
          <w:rFonts w:cs="Times"/>
          <w:noProof/>
        </w:rPr>
        <w:tab/>
        <w:t xml:space="preserve">Zipfel, W. R.; Williams, R. M.; Webb, W. W. Nonlinear Magic: Multiphoton Microscopy in the Biosciences. </w:t>
      </w:r>
      <w:r w:rsidR="00230CB5" w:rsidRPr="00230CB5">
        <w:rPr>
          <w:rFonts w:cs="Times"/>
          <w:i/>
          <w:iCs/>
          <w:noProof/>
        </w:rPr>
        <w:t>Nat. Biotechnol.</w:t>
      </w:r>
      <w:r w:rsidR="00230CB5" w:rsidRPr="00230CB5">
        <w:rPr>
          <w:rFonts w:cs="Times"/>
          <w:noProof/>
        </w:rPr>
        <w:t xml:space="preserve"> </w:t>
      </w:r>
      <w:r w:rsidR="00230CB5" w:rsidRPr="00230CB5">
        <w:rPr>
          <w:rFonts w:cs="Times"/>
          <w:b/>
          <w:bCs/>
          <w:noProof/>
        </w:rPr>
        <w:t>2003</w:t>
      </w:r>
      <w:r w:rsidR="00230CB5" w:rsidRPr="00230CB5">
        <w:rPr>
          <w:rFonts w:cs="Times"/>
          <w:noProof/>
        </w:rPr>
        <w:t xml:space="preserve">, </w:t>
      </w:r>
      <w:r w:rsidR="00230CB5" w:rsidRPr="00230CB5">
        <w:rPr>
          <w:rFonts w:cs="Times"/>
          <w:i/>
          <w:iCs/>
          <w:noProof/>
        </w:rPr>
        <w:t>21</w:t>
      </w:r>
      <w:r w:rsidR="00230CB5" w:rsidRPr="00230CB5">
        <w:rPr>
          <w:rFonts w:cs="Times"/>
          <w:noProof/>
        </w:rPr>
        <w:t xml:space="preserve"> (11), 1369–1377. https://doi.org/10.1038/nbt899.</w:t>
      </w:r>
    </w:p>
    <w:p w14:paraId="67F4D36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w:t>
      </w:r>
      <w:r w:rsidRPr="00230CB5">
        <w:rPr>
          <w:rFonts w:cs="Times"/>
          <w:noProof/>
        </w:rPr>
        <w:tab/>
        <w:t xml:space="preserve">Helmchen, F.; Denk, W. Deep Tissue Two-Photon Microscopy. </w:t>
      </w:r>
      <w:r w:rsidRPr="00230CB5">
        <w:rPr>
          <w:rFonts w:cs="Times"/>
          <w:i/>
          <w:iCs/>
          <w:noProof/>
        </w:rPr>
        <w:t>Nat. Methods</w:t>
      </w:r>
      <w:r w:rsidRPr="00230CB5">
        <w:rPr>
          <w:rFonts w:cs="Times"/>
          <w:noProof/>
        </w:rPr>
        <w:t xml:space="preserve"> </w:t>
      </w:r>
      <w:r w:rsidRPr="00230CB5">
        <w:rPr>
          <w:rFonts w:cs="Times"/>
          <w:b/>
          <w:bCs/>
          <w:noProof/>
        </w:rPr>
        <w:t>2005</w:t>
      </w:r>
      <w:r w:rsidRPr="00230CB5">
        <w:rPr>
          <w:rFonts w:cs="Times"/>
          <w:noProof/>
        </w:rPr>
        <w:t xml:space="preserve">, </w:t>
      </w:r>
      <w:r w:rsidRPr="00230CB5">
        <w:rPr>
          <w:rFonts w:cs="Times"/>
          <w:i/>
          <w:iCs/>
          <w:noProof/>
        </w:rPr>
        <w:t>2</w:t>
      </w:r>
      <w:r w:rsidRPr="00230CB5">
        <w:rPr>
          <w:rFonts w:cs="Times"/>
          <w:noProof/>
        </w:rPr>
        <w:t xml:space="preserve"> (12), 932–940. https://doi.org/10.1038/nmeth818.</w:t>
      </w:r>
    </w:p>
    <w:p w14:paraId="365EC519"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w:t>
      </w:r>
      <w:r w:rsidRPr="00230CB5">
        <w:rPr>
          <w:rFonts w:cs="Times"/>
          <w:noProof/>
        </w:rPr>
        <w:tab/>
        <w:t xml:space="preserve">Van Cleuvenbergen, S.; Hennrich, G.; Willot, P.; Koeckelberghs, G.; Clays, K.; Verbiest, T.; Van Der Veen, M. A. All Optical Determination of Microscopic and Macroscopic Structure of Chiral, Polar Microcrystals from Achiral, Nonpolar Molecules. </w:t>
      </w:r>
      <w:r w:rsidRPr="00230CB5">
        <w:rPr>
          <w:rFonts w:cs="Times"/>
          <w:i/>
          <w:iCs/>
          <w:noProof/>
        </w:rPr>
        <w:t>J. Phys. Chem. C</w:t>
      </w:r>
      <w:r w:rsidRPr="00230CB5">
        <w:rPr>
          <w:rFonts w:cs="Times"/>
          <w:noProof/>
        </w:rPr>
        <w:t xml:space="preserve"> </w:t>
      </w:r>
      <w:r w:rsidRPr="00230CB5">
        <w:rPr>
          <w:rFonts w:cs="Times"/>
          <w:b/>
          <w:bCs/>
          <w:noProof/>
        </w:rPr>
        <w:t>2012</w:t>
      </w:r>
      <w:r w:rsidRPr="00230CB5">
        <w:rPr>
          <w:rFonts w:cs="Times"/>
          <w:noProof/>
        </w:rPr>
        <w:t xml:space="preserve">, </w:t>
      </w:r>
      <w:r w:rsidRPr="00230CB5">
        <w:rPr>
          <w:rFonts w:cs="Times"/>
          <w:i/>
          <w:iCs/>
          <w:noProof/>
        </w:rPr>
        <w:t>116</w:t>
      </w:r>
      <w:r w:rsidRPr="00230CB5">
        <w:rPr>
          <w:rFonts w:cs="Times"/>
          <w:noProof/>
        </w:rPr>
        <w:t xml:space="preserve"> (22), 12219–12225. https://doi.org/10.1021/jp302665t.</w:t>
      </w:r>
    </w:p>
    <w:p w14:paraId="6CBC3023"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w:t>
      </w:r>
      <w:r w:rsidRPr="00230CB5">
        <w:rPr>
          <w:rFonts w:cs="Times"/>
          <w:noProof/>
        </w:rPr>
        <w:tab/>
        <w:t xml:space="preserve">Figi, H.; Jazbinšek, M.; Hunziker, C.; Koechlin, M.; Günter, P. Electro-Optic Single-Crystalline Organic Waveguides and Nanowires Grown from the Melt. </w:t>
      </w:r>
      <w:r w:rsidRPr="00230CB5">
        <w:rPr>
          <w:rFonts w:cs="Times"/>
          <w:i/>
          <w:iCs/>
          <w:noProof/>
        </w:rPr>
        <w:t>Opt. Express</w:t>
      </w:r>
      <w:r w:rsidRPr="00230CB5">
        <w:rPr>
          <w:rFonts w:cs="Times"/>
          <w:noProof/>
        </w:rPr>
        <w:t xml:space="preserve"> </w:t>
      </w:r>
      <w:r w:rsidRPr="00230CB5">
        <w:rPr>
          <w:rFonts w:cs="Times"/>
          <w:b/>
          <w:bCs/>
          <w:noProof/>
        </w:rPr>
        <w:t>2008</w:t>
      </w:r>
      <w:r w:rsidRPr="00230CB5">
        <w:rPr>
          <w:rFonts w:cs="Times"/>
          <w:noProof/>
        </w:rPr>
        <w:t xml:space="preserve">, </w:t>
      </w:r>
      <w:r w:rsidRPr="00230CB5">
        <w:rPr>
          <w:rFonts w:cs="Times"/>
          <w:i/>
          <w:iCs/>
          <w:noProof/>
        </w:rPr>
        <w:t>16</w:t>
      </w:r>
      <w:r w:rsidRPr="00230CB5">
        <w:rPr>
          <w:rFonts w:cs="Times"/>
          <w:noProof/>
        </w:rPr>
        <w:t xml:space="preserve"> (15), 11310. https://doi.org/10.1364/oe.16.011310.</w:t>
      </w:r>
    </w:p>
    <w:p w14:paraId="0A8FA9AD"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w:t>
      </w:r>
      <w:r w:rsidRPr="00230CB5">
        <w:rPr>
          <w:rFonts w:cs="Times"/>
          <w:noProof/>
        </w:rPr>
        <w:tab/>
        <w:t xml:space="preserve">Markey, K.; Putzeys, T.; Horcajada, P.; Devic, T.; Guillou, N.; Wübbenhorst, M.; Van Cleuvenbergen, S.; Verbiest, T.; De Vos, D. E.; Van Der Veen, M. A. Second Harmonic Generation Microscopy Reveals Hidden Polar Organization in Fluoride Doped MIL-53(Fe). </w:t>
      </w:r>
      <w:r w:rsidRPr="00230CB5">
        <w:rPr>
          <w:rFonts w:cs="Times"/>
          <w:i/>
          <w:iCs/>
          <w:noProof/>
        </w:rPr>
        <w:t>Dalt. Trans.</w:t>
      </w:r>
      <w:r w:rsidRPr="00230CB5">
        <w:rPr>
          <w:rFonts w:cs="Times"/>
          <w:noProof/>
        </w:rPr>
        <w:t xml:space="preserve"> </w:t>
      </w:r>
      <w:r w:rsidRPr="00230CB5">
        <w:rPr>
          <w:rFonts w:cs="Times"/>
          <w:b/>
          <w:bCs/>
          <w:noProof/>
        </w:rPr>
        <w:t>2016</w:t>
      </w:r>
      <w:r w:rsidRPr="00230CB5">
        <w:rPr>
          <w:rFonts w:cs="Times"/>
          <w:noProof/>
        </w:rPr>
        <w:t xml:space="preserve">, </w:t>
      </w:r>
      <w:r w:rsidRPr="00230CB5">
        <w:rPr>
          <w:rFonts w:cs="Times"/>
          <w:i/>
          <w:iCs/>
          <w:noProof/>
        </w:rPr>
        <w:t>45</w:t>
      </w:r>
      <w:r w:rsidRPr="00230CB5">
        <w:rPr>
          <w:rFonts w:cs="Times"/>
          <w:noProof/>
        </w:rPr>
        <w:t xml:space="preserve"> (10), 4401–4406. https://doi.org/10.1039/c5dt04632g.</w:t>
      </w:r>
    </w:p>
    <w:p w14:paraId="446D082C"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lastRenderedPageBreak/>
        <w:t>(6)</w:t>
      </w:r>
      <w:r w:rsidRPr="00230CB5">
        <w:rPr>
          <w:rFonts w:cs="Times"/>
          <w:noProof/>
        </w:rPr>
        <w:tab/>
        <w:t xml:space="preserve">Gao, Y.; Meshkat, S.; Johnston, A.; Zheng, C.; Walters, G.; Feng, Q.; Wang, X.; Sun, M. J.; Najarian, A. M.; Xue, D.; Wang, Y. K.; Saidaminov, M. I.; Voznyy, O.; Hoogland, S.; Sargent, E. H. Electro-Optic Modulation Using Metal-Free Perovskites. </w:t>
      </w:r>
      <w:r w:rsidRPr="00230CB5">
        <w:rPr>
          <w:rFonts w:cs="Times"/>
          <w:i/>
          <w:iCs/>
          <w:noProof/>
        </w:rPr>
        <w:t>ACS Appl. Mater. Interfaces</w:t>
      </w:r>
      <w:r w:rsidRPr="00230CB5">
        <w:rPr>
          <w:rFonts w:cs="Times"/>
          <w:noProof/>
        </w:rPr>
        <w:t xml:space="preserve"> </w:t>
      </w:r>
      <w:r w:rsidRPr="00230CB5">
        <w:rPr>
          <w:rFonts w:cs="Times"/>
          <w:b/>
          <w:bCs/>
          <w:noProof/>
        </w:rPr>
        <w:t>2021</w:t>
      </w:r>
      <w:r w:rsidRPr="00230CB5">
        <w:rPr>
          <w:rFonts w:cs="Times"/>
          <w:noProof/>
        </w:rPr>
        <w:t xml:space="preserve">, </w:t>
      </w:r>
      <w:r w:rsidRPr="00230CB5">
        <w:rPr>
          <w:rFonts w:cs="Times"/>
          <w:i/>
          <w:iCs/>
          <w:noProof/>
        </w:rPr>
        <w:t>13</w:t>
      </w:r>
      <w:r w:rsidRPr="00230CB5">
        <w:rPr>
          <w:rFonts w:cs="Times"/>
          <w:noProof/>
        </w:rPr>
        <w:t xml:space="preserve"> (16), 19042–19047. https://doi.org/10.1021/acsami.1c03406.</w:t>
      </w:r>
    </w:p>
    <w:p w14:paraId="25DF4DE9"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(7)</w:t>
      </w:r>
      <w:r w:rsidRPr="00230CB5">
        <w:rPr>
          <w:rFonts w:cs="Times"/>
          <w:noProof/>
        </w:rPr>
        <w:tab/>
        <w:t xml:space="preserve">Poulin, M.; Latrasse, C.; Têtu, M.; Breton, M. Second-Harmonic Generation of a 1560-Nm Distributed-Feedback Laser by Use of a KNbO_3 Crystal for Frequency Locking to the ^87Rb D_2 Line at 780 Nm. </w:t>
      </w:r>
      <w:r w:rsidRPr="00230CB5">
        <w:rPr>
          <w:rFonts w:cs="Times"/>
          <w:i/>
          <w:iCs/>
          <w:noProof/>
        </w:rPr>
        <w:t>Opt. Lett.</w:t>
      </w:r>
      <w:r w:rsidRPr="00230CB5">
        <w:rPr>
          <w:rFonts w:cs="Times"/>
          <w:noProof/>
        </w:rPr>
        <w:t xml:space="preserve"> </w:t>
      </w:r>
      <w:r w:rsidRPr="00230CB5">
        <w:rPr>
          <w:rFonts w:cs="Times"/>
          <w:b/>
          <w:bCs/>
          <w:noProof/>
        </w:rPr>
        <w:t>1994</w:t>
      </w:r>
      <w:r w:rsidRPr="00230CB5">
        <w:rPr>
          <w:rFonts w:cs="Times"/>
          <w:noProof/>
        </w:rPr>
        <w:t xml:space="preserve">, </w:t>
      </w:r>
      <w:r w:rsidRPr="00230CB5">
        <w:rPr>
          <w:rFonts w:cs="Times"/>
          <w:i/>
          <w:iCs/>
          <w:noProof/>
        </w:rPr>
        <w:t>19</w:t>
      </w:r>
      <w:r w:rsidRPr="00230CB5">
        <w:rPr>
          <w:rFonts w:cs="Times"/>
          <w:noProof/>
        </w:rPr>
        <w:t xml:space="preserve"> (16), 1183. https://doi.org/10.1364/ol.19.001183.</w:t>
      </w:r>
    </w:p>
    <w:p w14:paraId="02BCB9E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(8)</w:t>
      </w:r>
      <w:r w:rsidRPr="00230CB5">
        <w:rPr>
          <w:rFonts w:cs="Times"/>
          <w:noProof/>
        </w:rPr>
        <w:tab/>
        <w:t xml:space="preserve">van Cleuvenbergen, S.; Kędziora, P.; Fillaut, J.; Verbiest, T.; Clays, K.; Akdas‐Kilig, H.; Camerel, F. Chiral Side Groups Trigger Second Harmonic Generation Activity in 3D Octupolar Bipyrimidine‐Based Organic Liquid Crystals. </w:t>
      </w:r>
      <w:r w:rsidRPr="00230CB5">
        <w:rPr>
          <w:rFonts w:cs="Times"/>
          <w:i/>
          <w:iCs/>
          <w:noProof/>
        </w:rPr>
        <w:t>Angew. Chemie</w:t>
      </w:r>
      <w:r w:rsidRPr="00230CB5">
        <w:rPr>
          <w:rFonts w:cs="Times"/>
          <w:noProof/>
        </w:rPr>
        <w:t xml:space="preserve"> </w:t>
      </w:r>
      <w:r w:rsidRPr="00230CB5">
        <w:rPr>
          <w:rFonts w:cs="Times"/>
          <w:b/>
          <w:bCs/>
          <w:noProof/>
        </w:rPr>
        <w:t>2017</w:t>
      </w:r>
      <w:r w:rsidRPr="00230CB5">
        <w:rPr>
          <w:rFonts w:cs="Times"/>
          <w:noProof/>
        </w:rPr>
        <w:t xml:space="preserve">, </w:t>
      </w:r>
      <w:r w:rsidRPr="00230CB5">
        <w:rPr>
          <w:rFonts w:cs="Times"/>
          <w:i/>
          <w:iCs/>
          <w:noProof/>
        </w:rPr>
        <w:t>129</w:t>
      </w:r>
      <w:r w:rsidRPr="00230CB5">
        <w:rPr>
          <w:rFonts w:cs="Times"/>
          <w:noProof/>
        </w:rPr>
        <w:t xml:space="preserve"> (32), 9674–9678. https://doi.org/10.1002/ange.201705138.</w:t>
      </w:r>
    </w:p>
    <w:p w14:paraId="1D3415E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(9)</w:t>
      </w:r>
      <w:r w:rsidRPr="00230CB5">
        <w:rPr>
          <w:rFonts w:cs="Times"/>
          <w:noProof/>
        </w:rPr>
        <w:tab/>
        <w:t xml:space="preserve">De Vega, L.; Van Cleuvenbergen, S.; Depotter, G.; García-Frutos, E. M.; Gómez-Lor, B.; Omenat, A.; Tejedor, R. M.; Serrano, J. L.; Hennrich, G.; Clays, K. Nonlinear Optical Thin Film Device from a Chiral Octopolar Phenylacetylene Liquid Crystal. </w:t>
      </w:r>
      <w:r w:rsidRPr="00230CB5">
        <w:rPr>
          <w:rFonts w:cs="Times"/>
          <w:i/>
          <w:iCs/>
          <w:noProof/>
        </w:rPr>
        <w:t>J. Org. Chem.</w:t>
      </w:r>
      <w:r w:rsidRPr="00230CB5">
        <w:rPr>
          <w:rFonts w:cs="Times"/>
          <w:noProof/>
        </w:rPr>
        <w:t xml:space="preserve"> </w:t>
      </w:r>
      <w:r w:rsidRPr="00230CB5">
        <w:rPr>
          <w:rFonts w:cs="Times"/>
          <w:b/>
          <w:bCs/>
          <w:noProof/>
        </w:rPr>
        <w:t>2012</w:t>
      </w:r>
      <w:r w:rsidRPr="00230CB5">
        <w:rPr>
          <w:rFonts w:cs="Times"/>
          <w:noProof/>
        </w:rPr>
        <w:t xml:space="preserve">, </w:t>
      </w:r>
      <w:r w:rsidRPr="00230CB5">
        <w:rPr>
          <w:rFonts w:cs="Times"/>
          <w:i/>
          <w:iCs/>
          <w:noProof/>
        </w:rPr>
        <w:t>77</w:t>
      </w:r>
      <w:r w:rsidRPr="00230CB5">
        <w:rPr>
          <w:rFonts w:cs="Times"/>
          <w:noProof/>
        </w:rPr>
        <w:t xml:space="preserve"> (23), 10891–10896. https://doi.org/10.1021/jo302297j.</w:t>
      </w:r>
    </w:p>
    <w:p w14:paraId="723A047B"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(10)</w:t>
      </w:r>
      <w:r w:rsidRPr="00230CB5">
        <w:rPr>
          <w:rFonts w:cs="Times"/>
          <w:noProof/>
        </w:rPr>
        <w:tab/>
        <w:t xml:space="preserve">van Cleuvenbergen, S.; Depotter, G.; Clays, K.; Kędziora, P. Second-Order NLO Response in Chiral Ferroelectric Liquid Crystals: Molecular and Bulk Consideration. </w:t>
      </w:r>
      <w:r w:rsidRPr="00230CB5">
        <w:rPr>
          <w:rFonts w:cs="Times"/>
          <w:i/>
          <w:iCs/>
          <w:noProof/>
        </w:rPr>
        <w:t>J. Mol. Liq.</w:t>
      </w:r>
      <w:r w:rsidRPr="00230CB5">
        <w:rPr>
          <w:rFonts w:cs="Times"/>
          <w:noProof/>
        </w:rPr>
        <w:t xml:space="preserve"> </w:t>
      </w:r>
      <w:r w:rsidRPr="00230CB5">
        <w:rPr>
          <w:rFonts w:cs="Times"/>
          <w:b/>
          <w:bCs/>
          <w:noProof/>
        </w:rPr>
        <w:t>2021</w:t>
      </w:r>
      <w:r w:rsidRPr="00230CB5">
        <w:rPr>
          <w:rFonts w:cs="Times"/>
          <w:noProof/>
        </w:rPr>
        <w:t xml:space="preserve">, </w:t>
      </w:r>
      <w:r w:rsidRPr="00230CB5">
        <w:rPr>
          <w:rFonts w:cs="Times"/>
          <w:i/>
          <w:iCs/>
          <w:noProof/>
        </w:rPr>
        <w:t>326</w:t>
      </w:r>
      <w:r w:rsidRPr="00230CB5">
        <w:rPr>
          <w:rFonts w:cs="Times"/>
          <w:noProof/>
        </w:rPr>
        <w:t>. https://doi.org/10.1016/j.molliq.2021.115328.</w:t>
      </w:r>
    </w:p>
    <w:p w14:paraId="36CADC4B"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(11)</w:t>
      </w:r>
      <w:r w:rsidRPr="00230CB5">
        <w:rPr>
          <w:rFonts w:cs="Times"/>
          <w:noProof/>
        </w:rPr>
        <w:tab/>
        <w:t xml:space="preserve">Xu, H.; Elder, D. L.; Johnson, L. E.; de Coene, Y.; Hammond, S. R.; Vander Ghinst, W.; Clays, K.; Dalton, L. R.; Robinson, B. H. Electro-Optic Activity in Excess of 1000 Pm V−1 Achieved via Theory-Guided Organic Chromophore Design. </w:t>
      </w:r>
      <w:r w:rsidRPr="00230CB5">
        <w:rPr>
          <w:rFonts w:cs="Times"/>
          <w:i/>
          <w:iCs/>
          <w:noProof/>
        </w:rPr>
        <w:t>Adv. Mater.</w:t>
      </w:r>
      <w:r w:rsidRPr="00230CB5">
        <w:rPr>
          <w:rFonts w:cs="Times"/>
          <w:noProof/>
        </w:rPr>
        <w:t xml:space="preserve"> </w:t>
      </w:r>
      <w:r w:rsidRPr="00230CB5">
        <w:rPr>
          <w:rFonts w:cs="Times"/>
          <w:b/>
          <w:bCs/>
          <w:noProof/>
        </w:rPr>
        <w:t>2021</w:t>
      </w:r>
      <w:r w:rsidRPr="00230CB5">
        <w:rPr>
          <w:rFonts w:cs="Times"/>
          <w:noProof/>
        </w:rPr>
        <w:t xml:space="preserve">, </w:t>
      </w:r>
      <w:r w:rsidRPr="00230CB5">
        <w:rPr>
          <w:rFonts w:cs="Times"/>
          <w:i/>
          <w:iCs/>
          <w:noProof/>
        </w:rPr>
        <w:t>33</w:t>
      </w:r>
      <w:r w:rsidRPr="00230CB5">
        <w:rPr>
          <w:rFonts w:cs="Times"/>
          <w:noProof/>
        </w:rPr>
        <w:t xml:space="preserve"> (45), 1–9. https://doi.org/10.1002/adma.202104174.</w:t>
      </w:r>
    </w:p>
    <w:p w14:paraId="1F71FB9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lastRenderedPageBreak/>
        <w:t>(12)</w:t>
      </w:r>
      <w:r w:rsidRPr="00230CB5">
        <w:rPr>
          <w:rFonts w:cs="Times"/>
          <w:noProof/>
        </w:rPr>
        <w:tab/>
        <w:t xml:space="preserve">Van Cleuvenbergen, S.; Asselberghs, I.; Vanormelingen, W.; Verbiest, T.; Franz, E.; Clays, K.; Kuzyk, M. G.; Koeckelberghs, G. Record-High Hyperpolarizabilities in Conjugated Polymers. </w:t>
      </w:r>
      <w:r w:rsidRPr="00230CB5">
        <w:rPr>
          <w:rFonts w:cs="Times"/>
          <w:i/>
          <w:iCs/>
          <w:noProof/>
        </w:rPr>
        <w:t>J. Mater. Chem. C</w:t>
      </w:r>
      <w:r w:rsidRPr="00230CB5">
        <w:rPr>
          <w:rFonts w:cs="Times"/>
          <w:noProof/>
        </w:rPr>
        <w:t xml:space="preserve"> </w:t>
      </w:r>
      <w:r w:rsidRPr="00230CB5">
        <w:rPr>
          <w:rFonts w:cs="Times"/>
          <w:b/>
          <w:bCs/>
          <w:noProof/>
        </w:rPr>
        <w:t>2014</w:t>
      </w:r>
      <w:r w:rsidRPr="00230CB5">
        <w:rPr>
          <w:rFonts w:cs="Times"/>
          <w:noProof/>
        </w:rPr>
        <w:t xml:space="preserve">, </w:t>
      </w:r>
      <w:r w:rsidRPr="00230CB5">
        <w:rPr>
          <w:rFonts w:cs="Times"/>
          <w:i/>
          <w:iCs/>
          <w:noProof/>
        </w:rPr>
        <w:t>2</w:t>
      </w:r>
      <w:r w:rsidRPr="00230CB5">
        <w:rPr>
          <w:rFonts w:cs="Times"/>
          <w:noProof/>
        </w:rPr>
        <w:t xml:space="preserve"> (23), 4533–4538. https://doi.org/10.1039/c4tc00616j.</w:t>
      </w:r>
    </w:p>
    <w:p w14:paraId="72CDC19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(13)</w:t>
      </w:r>
      <w:r w:rsidRPr="00230CB5">
        <w:rPr>
          <w:rFonts w:cs="Times"/>
          <w:noProof/>
        </w:rPr>
        <w:tab/>
        <w:t xml:space="preserve">Xu, H.; Liu, F.; Elder, D. L.; Johnson, L. E.; De Coene, Y.; Clays, K.; Robinson, B. H.; Dalton, L. R. Ultrahigh Electro-Optic Coefficients, High Index of Refraction, and Long-Term Stability from Diels-Alder Cross-Linkable Binary Molecular Glasses. </w:t>
      </w:r>
      <w:r w:rsidRPr="00230CB5">
        <w:rPr>
          <w:rFonts w:cs="Times"/>
          <w:i/>
          <w:iCs/>
          <w:noProof/>
        </w:rPr>
        <w:t>Chem. Mater.</w:t>
      </w:r>
      <w:r w:rsidRPr="00230CB5">
        <w:rPr>
          <w:rFonts w:cs="Times"/>
          <w:noProof/>
        </w:rPr>
        <w:t xml:space="preserve"> </w:t>
      </w:r>
      <w:r w:rsidRPr="00230CB5">
        <w:rPr>
          <w:rFonts w:cs="Times"/>
          <w:b/>
          <w:bCs/>
          <w:noProof/>
        </w:rPr>
        <w:t>2020</w:t>
      </w:r>
      <w:r w:rsidRPr="00230CB5">
        <w:rPr>
          <w:rFonts w:cs="Times"/>
          <w:noProof/>
        </w:rPr>
        <w:t xml:space="preserve">, </w:t>
      </w:r>
      <w:r w:rsidRPr="00230CB5">
        <w:rPr>
          <w:rFonts w:cs="Times"/>
          <w:i/>
          <w:iCs/>
          <w:noProof/>
        </w:rPr>
        <w:t>32</w:t>
      </w:r>
      <w:r w:rsidRPr="00230CB5">
        <w:rPr>
          <w:rFonts w:cs="Times"/>
          <w:noProof/>
        </w:rPr>
        <w:t xml:space="preserve"> (4), 1408–1421. https://doi.org/10.1021/acs.chemmater.9b03725.</w:t>
      </w:r>
    </w:p>
    <w:p w14:paraId="5A88DA1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(14)</w:t>
      </w:r>
      <w:r w:rsidRPr="00230CB5">
        <w:rPr>
          <w:rFonts w:cs="Times"/>
          <w:noProof/>
        </w:rPr>
        <w:tab/>
        <w:t xml:space="preserve">Feng, S.; Wu, S.; Zhang, W.; Liu, F.; Wang, J. Organic Electro-Optic Materials with High Electro-Optic Coefficients and Strong Stability. </w:t>
      </w:r>
      <w:r w:rsidRPr="00230CB5">
        <w:rPr>
          <w:rFonts w:cs="Times"/>
          <w:i/>
          <w:iCs/>
          <w:noProof/>
        </w:rPr>
        <w:t>Molecules</w:t>
      </w:r>
      <w:r w:rsidRPr="00230CB5">
        <w:rPr>
          <w:rFonts w:cs="Times"/>
          <w:noProof/>
        </w:rPr>
        <w:t xml:space="preserve"> </w:t>
      </w:r>
      <w:r w:rsidRPr="00230CB5">
        <w:rPr>
          <w:rFonts w:cs="Times"/>
          <w:b/>
          <w:bCs/>
          <w:noProof/>
        </w:rPr>
        <w:t>2024</w:t>
      </w:r>
      <w:r w:rsidRPr="00230CB5">
        <w:rPr>
          <w:rFonts w:cs="Times"/>
          <w:noProof/>
        </w:rPr>
        <w:t xml:space="preserve">, </w:t>
      </w:r>
      <w:r w:rsidRPr="00230CB5">
        <w:rPr>
          <w:rFonts w:cs="Times"/>
          <w:i/>
          <w:iCs/>
          <w:noProof/>
        </w:rPr>
        <w:t>29</w:t>
      </w:r>
      <w:r w:rsidRPr="00230CB5">
        <w:rPr>
          <w:rFonts w:cs="Times"/>
          <w:noProof/>
        </w:rPr>
        <w:t xml:space="preserve"> (13). https://doi.org/10.3390/molecules29133188.</w:t>
      </w:r>
    </w:p>
    <w:p w14:paraId="4F2326D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(15)</w:t>
      </w:r>
      <w:r w:rsidRPr="00230CB5">
        <w:rPr>
          <w:rFonts w:cs="Times"/>
          <w:noProof/>
        </w:rPr>
        <w:tab/>
        <w:t xml:space="preserve">De France, K. J.; Yager, K. G.; Hoare, T.; Cranston, E. D. Cooperative Ordering and Kinetics of Cellulose Nanocrystal Alignment in a Magnetic Field. </w:t>
      </w:r>
      <w:r w:rsidRPr="00230CB5">
        <w:rPr>
          <w:rFonts w:cs="Times"/>
          <w:i/>
          <w:iCs/>
          <w:noProof/>
        </w:rPr>
        <w:t>Langmuir</w:t>
      </w:r>
      <w:r w:rsidRPr="00230CB5">
        <w:rPr>
          <w:rFonts w:cs="Times"/>
          <w:noProof/>
        </w:rPr>
        <w:t xml:space="preserve"> </w:t>
      </w:r>
      <w:r w:rsidRPr="00230CB5">
        <w:rPr>
          <w:rFonts w:cs="Times"/>
          <w:b/>
          <w:bCs/>
          <w:noProof/>
        </w:rPr>
        <w:t>2016</w:t>
      </w:r>
      <w:r w:rsidRPr="00230CB5">
        <w:rPr>
          <w:rFonts w:cs="Times"/>
          <w:noProof/>
        </w:rPr>
        <w:t xml:space="preserve">, </w:t>
      </w:r>
      <w:r w:rsidRPr="00230CB5">
        <w:rPr>
          <w:rFonts w:cs="Times"/>
          <w:i/>
          <w:iCs/>
          <w:noProof/>
        </w:rPr>
        <w:t>32</w:t>
      </w:r>
      <w:r w:rsidRPr="00230CB5">
        <w:rPr>
          <w:rFonts w:cs="Times"/>
          <w:noProof/>
        </w:rPr>
        <w:t xml:space="preserve"> (30), 7564–7571. https://doi.org/10.1021/acs.langmuir.6b01827.</w:t>
      </w:r>
    </w:p>
    <w:p w14:paraId="12956CA2"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(16)</w:t>
      </w:r>
      <w:r w:rsidRPr="00230CB5">
        <w:rPr>
          <w:rFonts w:cs="Times"/>
          <w:noProof/>
        </w:rPr>
        <w:tab/>
        <w:t xml:space="preserve">Qu, D.; Zussman, E. Electric Field-Driven Control of Cholesteric Cellulose Nanocrystal Orientation and Morphology. </w:t>
      </w:r>
      <w:r w:rsidRPr="00230CB5">
        <w:rPr>
          <w:rFonts w:cs="Times"/>
          <w:i/>
          <w:iCs/>
          <w:noProof/>
        </w:rPr>
        <w:t>Adv. Opt. Mater.</w:t>
      </w:r>
      <w:r w:rsidRPr="00230CB5">
        <w:rPr>
          <w:rFonts w:cs="Times"/>
          <w:noProof/>
        </w:rPr>
        <w:t xml:space="preserve"> </w:t>
      </w:r>
      <w:r w:rsidRPr="00230CB5">
        <w:rPr>
          <w:rFonts w:cs="Times"/>
          <w:b/>
          <w:bCs/>
          <w:noProof/>
        </w:rPr>
        <w:t>2022</w:t>
      </w:r>
      <w:r w:rsidRPr="00230CB5">
        <w:rPr>
          <w:rFonts w:cs="Times"/>
          <w:noProof/>
        </w:rPr>
        <w:t xml:space="preserve">, </w:t>
      </w:r>
      <w:r w:rsidRPr="00230CB5">
        <w:rPr>
          <w:rFonts w:cs="Times"/>
          <w:i/>
          <w:iCs/>
          <w:noProof/>
        </w:rPr>
        <w:t>10</w:t>
      </w:r>
      <w:r w:rsidRPr="00230CB5">
        <w:rPr>
          <w:rFonts w:cs="Times"/>
          <w:noProof/>
        </w:rPr>
        <w:t xml:space="preserve"> (5), 1–8. https://doi.org/10.1002/adom.202101659.</w:t>
      </w:r>
    </w:p>
    <w:p w14:paraId="09753F9F"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(17)</w:t>
      </w:r>
      <w:r w:rsidRPr="00230CB5">
        <w:rPr>
          <w:rFonts w:cs="Times"/>
          <w:noProof/>
        </w:rPr>
        <w:tab/>
        <w:t xml:space="preserve">Frka-petesic, B.; Radavidson, H.; Jean, B.; Heux, L. Dynamically Controlled Iridescence of Cholesteric Cellulose Nanocrystal Suspensions Using Electric Fields. </w:t>
      </w:r>
      <w:r w:rsidRPr="00230CB5">
        <w:rPr>
          <w:rFonts w:cs="Times"/>
          <w:b/>
          <w:bCs/>
          <w:noProof/>
        </w:rPr>
        <w:t>2017</w:t>
      </w:r>
      <w:r w:rsidRPr="00230CB5">
        <w:rPr>
          <w:rFonts w:cs="Times"/>
          <w:noProof/>
        </w:rPr>
        <w:t>. https://doi.org/10.1002/adma.201606208.</w:t>
      </w:r>
    </w:p>
    <w:p w14:paraId="72167626"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(18)</w:t>
      </w:r>
      <w:r w:rsidRPr="00230CB5">
        <w:rPr>
          <w:rFonts w:cs="Times"/>
          <w:noProof/>
        </w:rPr>
        <w:tab/>
        <w:t xml:space="preserve">Moon, R. J.; Martini, A.; Nairn, J.; Simonsen, J.; Youngblood, J. </w:t>
      </w:r>
      <w:r w:rsidRPr="00230CB5">
        <w:rPr>
          <w:rFonts w:cs="Times"/>
          <w:i/>
          <w:iCs/>
          <w:noProof/>
        </w:rPr>
        <w:t>Cellulose Nanomaterials Review: Structure, Properties and Nanocomposites</w:t>
      </w:r>
      <w:r w:rsidRPr="00230CB5">
        <w:rPr>
          <w:rFonts w:cs="Times"/>
          <w:noProof/>
        </w:rPr>
        <w:t>; 2011; Vol. 40. https://doi.org/10.1039/c0cs00108b.</w:t>
      </w:r>
    </w:p>
    <w:p w14:paraId="62BF834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(19)</w:t>
      </w:r>
      <w:r w:rsidRPr="00230CB5">
        <w:rPr>
          <w:rFonts w:cs="Times"/>
          <w:noProof/>
        </w:rPr>
        <w:tab/>
        <w:t xml:space="preserve">Gutierrez-Cuevas, K. G.; Wang, L.; Zheng, Z. G.; Bisoyi, H. K.; Li, G.; Tan, L. S.; Vaia, </w:t>
      </w:r>
      <w:r w:rsidRPr="00230CB5">
        <w:rPr>
          <w:rFonts w:cs="Times"/>
          <w:noProof/>
        </w:rPr>
        <w:lastRenderedPageBreak/>
        <w:t xml:space="preserve">R. A.; Li, Q. Frequency-Driven Self-Organized Helical Superstructures Loaded with Mesogen-Grafted Silica Nanoparticles. </w:t>
      </w:r>
      <w:r w:rsidRPr="00230CB5">
        <w:rPr>
          <w:rFonts w:cs="Times"/>
          <w:i/>
          <w:iCs/>
          <w:noProof/>
        </w:rPr>
        <w:t>Angew. Chemie - Int. Ed.</w:t>
      </w:r>
      <w:r w:rsidRPr="00230CB5">
        <w:rPr>
          <w:rFonts w:cs="Times"/>
          <w:noProof/>
        </w:rPr>
        <w:t xml:space="preserve"> </w:t>
      </w:r>
      <w:r w:rsidRPr="00230CB5">
        <w:rPr>
          <w:rFonts w:cs="Times"/>
          <w:b/>
          <w:bCs/>
          <w:noProof/>
        </w:rPr>
        <w:t>2016</w:t>
      </w:r>
      <w:r w:rsidRPr="00230CB5">
        <w:rPr>
          <w:rFonts w:cs="Times"/>
          <w:noProof/>
        </w:rPr>
        <w:t xml:space="preserve">, </w:t>
      </w:r>
      <w:r w:rsidRPr="00230CB5">
        <w:rPr>
          <w:rFonts w:cs="Times"/>
          <w:i/>
          <w:iCs/>
          <w:noProof/>
        </w:rPr>
        <w:t>55</w:t>
      </w:r>
      <w:r w:rsidRPr="00230CB5">
        <w:rPr>
          <w:rFonts w:cs="Times"/>
          <w:noProof/>
        </w:rPr>
        <w:t xml:space="preserve"> (42), 13090–13094. https://doi.org/10.1002/anie.201606895.</w:t>
      </w:r>
    </w:p>
    <w:p w14:paraId="681BC47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(20)</w:t>
      </w:r>
      <w:r w:rsidRPr="00230CB5">
        <w:rPr>
          <w:rFonts w:cs="Times"/>
          <w:noProof/>
        </w:rPr>
        <w:tab/>
        <w:t xml:space="preserve">Khoo, I. C. Nonlinear Optics of Liquid Crystalline Materials. </w:t>
      </w:r>
      <w:r w:rsidRPr="00230CB5">
        <w:rPr>
          <w:rFonts w:cs="Times"/>
          <w:i/>
          <w:iCs/>
          <w:noProof/>
        </w:rPr>
        <w:t>Phys. Rep.</w:t>
      </w:r>
      <w:r w:rsidRPr="00230CB5">
        <w:rPr>
          <w:rFonts w:cs="Times"/>
          <w:noProof/>
        </w:rPr>
        <w:t xml:space="preserve"> </w:t>
      </w:r>
      <w:r w:rsidRPr="00230CB5">
        <w:rPr>
          <w:rFonts w:cs="Times"/>
          <w:b/>
          <w:bCs/>
          <w:noProof/>
        </w:rPr>
        <w:t>2009</w:t>
      </w:r>
      <w:r w:rsidRPr="00230CB5">
        <w:rPr>
          <w:rFonts w:cs="Times"/>
          <w:noProof/>
        </w:rPr>
        <w:t xml:space="preserve">, </w:t>
      </w:r>
      <w:r w:rsidRPr="00230CB5">
        <w:rPr>
          <w:rFonts w:cs="Times"/>
          <w:i/>
          <w:iCs/>
          <w:noProof/>
        </w:rPr>
        <w:t>471</w:t>
      </w:r>
      <w:r w:rsidRPr="00230CB5">
        <w:rPr>
          <w:rFonts w:cs="Times"/>
          <w:noProof/>
        </w:rPr>
        <w:t xml:space="preserve"> (5–6), 221–267. https://doi.org/10.1016/j.physrep.2009.01.001.</w:t>
      </w:r>
    </w:p>
    <w:p w14:paraId="0C4CA6E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(21)</w:t>
      </w:r>
      <w:r w:rsidRPr="00230CB5">
        <w:rPr>
          <w:rFonts w:cs="Times"/>
          <w:noProof/>
        </w:rPr>
        <w:tab/>
        <w:t xml:space="preserve">Giese, M.; Blusch, L. K.; Khan, M. K.; MacLachlan, M. J. Functional Materials from Cellulose-Derived Liquid-Crystal Templates. </w:t>
      </w:r>
      <w:r w:rsidRPr="00230CB5">
        <w:rPr>
          <w:rFonts w:cs="Times"/>
          <w:i/>
          <w:iCs/>
          <w:noProof/>
        </w:rPr>
        <w:t>Angew. Chemie - Int. Ed.</w:t>
      </w:r>
      <w:r w:rsidRPr="00230CB5">
        <w:rPr>
          <w:rFonts w:cs="Times"/>
          <w:noProof/>
        </w:rPr>
        <w:t xml:space="preserve"> </w:t>
      </w:r>
      <w:r w:rsidRPr="00230CB5">
        <w:rPr>
          <w:rFonts w:cs="Times"/>
          <w:b/>
          <w:bCs/>
          <w:noProof/>
        </w:rPr>
        <w:t>2015</w:t>
      </w:r>
      <w:r w:rsidRPr="00230CB5">
        <w:rPr>
          <w:rFonts w:cs="Times"/>
          <w:noProof/>
        </w:rPr>
        <w:t xml:space="preserve">, </w:t>
      </w:r>
      <w:r w:rsidRPr="00230CB5">
        <w:rPr>
          <w:rFonts w:cs="Times"/>
          <w:i/>
          <w:iCs/>
          <w:noProof/>
        </w:rPr>
        <w:t>54</w:t>
      </w:r>
      <w:r w:rsidRPr="00230CB5">
        <w:rPr>
          <w:rFonts w:cs="Times"/>
          <w:noProof/>
        </w:rPr>
        <w:t xml:space="preserve"> (10), 2888–2910. https://doi.org/10.1002/anie.201407141.</w:t>
      </w:r>
    </w:p>
    <w:p w14:paraId="73ABC30F"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(22)</w:t>
      </w:r>
      <w:r w:rsidRPr="00230CB5">
        <w:rPr>
          <w:rFonts w:cs="Times"/>
          <w:noProof/>
        </w:rPr>
        <w:tab/>
        <w:t xml:space="preserve">Parker, R. M.; Zhao, T. H.; Frka-Petesic, B.; Vignolini, S. Cellulose Photonic Pigments. </w:t>
      </w:r>
      <w:r w:rsidRPr="00230CB5">
        <w:rPr>
          <w:rFonts w:cs="Times"/>
          <w:i/>
          <w:iCs/>
          <w:noProof/>
        </w:rPr>
        <w:t>Nat. Commun.</w:t>
      </w:r>
      <w:r w:rsidRPr="00230CB5">
        <w:rPr>
          <w:rFonts w:cs="Times"/>
          <w:noProof/>
        </w:rPr>
        <w:t xml:space="preserve"> </w:t>
      </w:r>
      <w:r w:rsidRPr="00230CB5">
        <w:rPr>
          <w:rFonts w:cs="Times"/>
          <w:b/>
          <w:bCs/>
          <w:noProof/>
        </w:rPr>
        <w:t>2022</w:t>
      </w:r>
      <w:r w:rsidRPr="00230CB5">
        <w:rPr>
          <w:rFonts w:cs="Times"/>
          <w:noProof/>
        </w:rPr>
        <w:t xml:space="preserve">, </w:t>
      </w:r>
      <w:r w:rsidRPr="00230CB5">
        <w:rPr>
          <w:rFonts w:cs="Times"/>
          <w:i/>
          <w:iCs/>
          <w:noProof/>
        </w:rPr>
        <w:t>13</w:t>
      </w:r>
      <w:r w:rsidRPr="00230CB5">
        <w:rPr>
          <w:rFonts w:cs="Times"/>
          <w:noProof/>
        </w:rPr>
        <w:t xml:space="preserve"> (1), 1–11. https://doi.org/10.1038/s41467-022-31079-9.</w:t>
      </w:r>
    </w:p>
    <w:p w14:paraId="1F66F9C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(23)</w:t>
      </w:r>
      <w:r w:rsidRPr="00230CB5">
        <w:rPr>
          <w:rFonts w:cs="Times"/>
          <w:noProof/>
        </w:rPr>
        <w:tab/>
        <w:t xml:space="preserve">Legat, T.; Grachev, V.; Kabus, D.; Lettinga, M. P.; Clays, K.; Verbiest, T.; de Coene, Y.; Thielemans, W.; Van Cleuvenbergen, S. Imaging with a Twist: Three-Dimensional Insights of the Chiral Nematic Phase of Cellulose Nanocrystals via SHG Microscopy. </w:t>
      </w:r>
      <w:r w:rsidRPr="00230CB5">
        <w:rPr>
          <w:rFonts w:cs="Times"/>
          <w:i/>
          <w:iCs/>
          <w:noProof/>
        </w:rPr>
        <w:t>Sci. Adv.</w:t>
      </w:r>
      <w:r w:rsidRPr="00230CB5">
        <w:rPr>
          <w:rFonts w:cs="Times"/>
          <w:noProof/>
        </w:rPr>
        <w:t xml:space="preserve"> </w:t>
      </w:r>
      <w:r w:rsidRPr="00230CB5">
        <w:rPr>
          <w:rFonts w:cs="Times"/>
          <w:b/>
          <w:bCs/>
          <w:noProof/>
        </w:rPr>
        <w:t>2024</w:t>
      </w:r>
      <w:r w:rsidRPr="00230CB5">
        <w:rPr>
          <w:rFonts w:cs="Times"/>
          <w:noProof/>
        </w:rPr>
        <w:t xml:space="preserve">, </w:t>
      </w:r>
      <w:r w:rsidRPr="00230CB5">
        <w:rPr>
          <w:rFonts w:cs="Times"/>
          <w:i/>
          <w:iCs/>
          <w:noProof/>
        </w:rPr>
        <w:t>10</w:t>
      </w:r>
      <w:r w:rsidRPr="00230CB5">
        <w:rPr>
          <w:rFonts w:cs="Times"/>
          <w:noProof/>
        </w:rPr>
        <w:t xml:space="preserve"> (44), eadp2384. https://doi.org/10.1126/sciadv.adp2384.</w:t>
      </w:r>
    </w:p>
    <w:p w14:paraId="4C8A284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(24)</w:t>
      </w:r>
      <w:r w:rsidRPr="00230CB5">
        <w:rPr>
          <w:rFonts w:cs="Times"/>
          <w:noProof/>
        </w:rPr>
        <w:tab/>
        <w:t xml:space="preserve">Clays, K.; Persoons, A. Hyper-Rayleigh Scattering in Solution. </w:t>
      </w:r>
      <w:r w:rsidRPr="00230CB5">
        <w:rPr>
          <w:rFonts w:cs="Times"/>
          <w:i/>
          <w:iCs/>
          <w:noProof/>
        </w:rPr>
        <w:t>Phys. Rev. Lett.</w:t>
      </w:r>
      <w:r w:rsidRPr="00230CB5">
        <w:rPr>
          <w:rFonts w:cs="Times"/>
          <w:noProof/>
        </w:rPr>
        <w:t xml:space="preserve"> </w:t>
      </w:r>
      <w:r w:rsidRPr="00230CB5">
        <w:rPr>
          <w:rFonts w:cs="Times"/>
          <w:b/>
          <w:bCs/>
          <w:noProof/>
        </w:rPr>
        <w:t>1991</w:t>
      </w:r>
      <w:r w:rsidRPr="00230CB5">
        <w:rPr>
          <w:rFonts w:cs="Times"/>
          <w:noProof/>
        </w:rPr>
        <w:t xml:space="preserve">, </w:t>
      </w:r>
      <w:r w:rsidRPr="00230CB5">
        <w:rPr>
          <w:rFonts w:cs="Times"/>
          <w:i/>
          <w:iCs/>
          <w:noProof/>
        </w:rPr>
        <w:t>66</w:t>
      </w:r>
      <w:r w:rsidRPr="00230CB5">
        <w:rPr>
          <w:rFonts w:cs="Times"/>
          <w:noProof/>
        </w:rPr>
        <w:t xml:space="preserve"> (23), 2980–2983. https://doi.org/10.1103/PhysRevLett.66.2980.</w:t>
      </w:r>
    </w:p>
    <w:p w14:paraId="6B3820D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(25)</w:t>
      </w:r>
      <w:r w:rsidRPr="00230CB5">
        <w:rPr>
          <w:rFonts w:cs="Times"/>
          <w:noProof/>
        </w:rPr>
        <w:tab/>
        <w:t xml:space="preserve">Deniset-Besseau, A.; Duboisset, J.; Loison, C.; Hache, F.; Benichou, E.; Brevet, P. F.; Schanne-Klein, M. C. Second Order Hyperpolarizability of the Collagen Triple Helix: Measurement and Determination of Its Physical Origin. </w:t>
      </w:r>
      <w:r w:rsidRPr="00230CB5">
        <w:rPr>
          <w:rFonts w:cs="Times"/>
          <w:i/>
          <w:iCs/>
          <w:noProof/>
        </w:rPr>
        <w:t>Opt. InfoBase Conf. Pap.</w:t>
      </w:r>
      <w:r w:rsidRPr="00230CB5">
        <w:rPr>
          <w:rFonts w:cs="Times"/>
          <w:noProof/>
        </w:rPr>
        <w:t xml:space="preserve"> </w:t>
      </w:r>
      <w:r w:rsidRPr="00230CB5">
        <w:rPr>
          <w:rFonts w:cs="Times"/>
          <w:b/>
          <w:bCs/>
          <w:noProof/>
        </w:rPr>
        <w:t>2009</w:t>
      </w:r>
      <w:r w:rsidRPr="00230CB5">
        <w:rPr>
          <w:rFonts w:cs="Times"/>
          <w:noProof/>
        </w:rPr>
        <w:t>, 13437–13445.</w:t>
      </w:r>
    </w:p>
    <w:p w14:paraId="63505A9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(26)</w:t>
      </w:r>
      <w:r w:rsidRPr="00230CB5">
        <w:rPr>
          <w:rFonts w:cs="Times"/>
          <w:noProof/>
        </w:rPr>
        <w:tab/>
        <w:t xml:space="preserve">Clays, K.; Therien, M. J.; Hennrich, G. Hyper-Rayleigh Scattering for Solution Phase Structure Determination. </w:t>
      </w:r>
      <w:r w:rsidRPr="00230CB5">
        <w:rPr>
          <w:rFonts w:cs="Times"/>
          <w:i/>
          <w:iCs/>
          <w:noProof/>
        </w:rPr>
        <w:t>Linear Nonlinear Opt. Org. Mater. VIII</w:t>
      </w:r>
      <w:r w:rsidRPr="00230CB5">
        <w:rPr>
          <w:rFonts w:cs="Times"/>
          <w:noProof/>
        </w:rPr>
        <w:t xml:space="preserve"> </w:t>
      </w:r>
      <w:r w:rsidRPr="00230CB5">
        <w:rPr>
          <w:rFonts w:cs="Times"/>
          <w:b/>
          <w:bCs/>
          <w:noProof/>
        </w:rPr>
        <w:t>2008</w:t>
      </w:r>
      <w:r w:rsidRPr="00230CB5">
        <w:rPr>
          <w:rFonts w:cs="Times"/>
          <w:noProof/>
        </w:rPr>
        <w:t xml:space="preserve">, </w:t>
      </w:r>
      <w:r w:rsidRPr="00230CB5">
        <w:rPr>
          <w:rFonts w:cs="Times"/>
          <w:i/>
          <w:iCs/>
          <w:noProof/>
        </w:rPr>
        <w:t>7049</w:t>
      </w:r>
      <w:r w:rsidRPr="00230CB5">
        <w:rPr>
          <w:rFonts w:cs="Times"/>
          <w:noProof/>
        </w:rPr>
        <w:t xml:space="preserve"> (August 2008), 70490B. https://doi.org/10.1117/12.793236.</w:t>
      </w:r>
    </w:p>
    <w:p w14:paraId="1CAFB97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lastRenderedPageBreak/>
        <w:t>(27)</w:t>
      </w:r>
      <w:r w:rsidRPr="00230CB5">
        <w:rPr>
          <w:rFonts w:cs="Times"/>
          <w:noProof/>
        </w:rPr>
        <w:tab/>
        <w:t xml:space="preserve">Dok, A. R.; Legat, T.; de Coene, Y.; van der Veen, M. A.; Verbiest, T.; Van Cleuvenbergen, S. Nonlinear Optical Probes of Nucleation and Crystal Growth: Recent Progress and Future Prospects. </w:t>
      </w:r>
      <w:r w:rsidRPr="00230CB5">
        <w:rPr>
          <w:rFonts w:cs="Times"/>
          <w:i/>
          <w:iCs/>
          <w:noProof/>
        </w:rPr>
        <w:t>J. Mater. Chem. C</w:t>
      </w:r>
      <w:r w:rsidRPr="00230CB5">
        <w:rPr>
          <w:rFonts w:cs="Times"/>
          <w:noProof/>
        </w:rPr>
        <w:t xml:space="preserve"> </w:t>
      </w:r>
      <w:r w:rsidRPr="00230CB5">
        <w:rPr>
          <w:rFonts w:cs="Times"/>
          <w:b/>
          <w:bCs/>
          <w:noProof/>
        </w:rPr>
        <w:t>2021</w:t>
      </w:r>
      <w:r w:rsidRPr="00230CB5">
        <w:rPr>
          <w:rFonts w:cs="Times"/>
          <w:noProof/>
        </w:rPr>
        <w:t xml:space="preserve">, </w:t>
      </w:r>
      <w:r w:rsidRPr="00230CB5">
        <w:rPr>
          <w:rFonts w:cs="Times"/>
          <w:i/>
          <w:iCs/>
          <w:noProof/>
        </w:rPr>
        <w:t>9</w:t>
      </w:r>
      <w:r w:rsidRPr="00230CB5">
        <w:rPr>
          <w:rFonts w:cs="Times"/>
          <w:noProof/>
        </w:rPr>
        <w:t xml:space="preserve"> (35), 11553–11568. https://doi.org/10.1039/D1TC02007B.</w:t>
      </w:r>
    </w:p>
    <w:p w14:paraId="1C6A813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(28)</w:t>
      </w:r>
      <w:r w:rsidRPr="00230CB5">
        <w:rPr>
          <w:rFonts w:cs="Times"/>
          <w:noProof/>
        </w:rPr>
        <w:tab/>
        <w:t xml:space="preserve">Verbiest, T.; Houbrechts, S.; Kauranen, M.; Clays, K.; Persoons, A. Second-Order Nonlinear Optical Materials: Recent Advances in Chromophore Design. </w:t>
      </w:r>
      <w:r w:rsidRPr="00230CB5">
        <w:rPr>
          <w:rFonts w:cs="Times"/>
          <w:i/>
          <w:iCs/>
          <w:noProof/>
        </w:rPr>
        <w:t>J. Mater. Chem.</w:t>
      </w:r>
      <w:r w:rsidRPr="00230CB5">
        <w:rPr>
          <w:rFonts w:cs="Times"/>
          <w:noProof/>
        </w:rPr>
        <w:t xml:space="preserve"> </w:t>
      </w:r>
      <w:r w:rsidRPr="00230CB5">
        <w:rPr>
          <w:rFonts w:cs="Times"/>
          <w:b/>
          <w:bCs/>
          <w:noProof/>
        </w:rPr>
        <w:t>1997</w:t>
      </w:r>
      <w:r w:rsidRPr="00230CB5">
        <w:rPr>
          <w:rFonts w:cs="Times"/>
          <w:noProof/>
        </w:rPr>
        <w:t xml:space="preserve">, </w:t>
      </w:r>
      <w:r w:rsidRPr="00230CB5">
        <w:rPr>
          <w:rFonts w:cs="Times"/>
          <w:i/>
          <w:iCs/>
          <w:noProof/>
        </w:rPr>
        <w:t>7</w:t>
      </w:r>
      <w:r w:rsidRPr="00230CB5">
        <w:rPr>
          <w:rFonts w:cs="Times"/>
          <w:noProof/>
        </w:rPr>
        <w:t xml:space="preserve"> (11), 2175–2189. https://doi.org/10.1039/a703434b.</w:t>
      </w:r>
    </w:p>
    <w:p w14:paraId="3CECE2CB"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(29)</w:t>
      </w:r>
      <w:r w:rsidRPr="00230CB5">
        <w:rPr>
          <w:rFonts w:cs="Times"/>
          <w:noProof/>
        </w:rPr>
        <w:tab/>
        <w:t xml:space="preserve">Eyley, S.; Thielemans, W. Surface Modification of Cellulose Nanocrystals. </w:t>
      </w:r>
      <w:r w:rsidRPr="00230CB5">
        <w:rPr>
          <w:rFonts w:cs="Times"/>
          <w:i/>
          <w:iCs/>
          <w:noProof/>
        </w:rPr>
        <w:t>Nanoscale</w:t>
      </w:r>
      <w:r w:rsidRPr="00230CB5">
        <w:rPr>
          <w:rFonts w:cs="Times"/>
          <w:noProof/>
        </w:rPr>
        <w:t xml:space="preserve"> </w:t>
      </w:r>
      <w:r w:rsidRPr="00230CB5">
        <w:rPr>
          <w:rFonts w:cs="Times"/>
          <w:b/>
          <w:bCs/>
          <w:noProof/>
        </w:rPr>
        <w:t>2014</w:t>
      </w:r>
      <w:r w:rsidRPr="00230CB5">
        <w:rPr>
          <w:rFonts w:cs="Times"/>
          <w:noProof/>
        </w:rPr>
        <w:t xml:space="preserve">, </w:t>
      </w:r>
      <w:r w:rsidRPr="00230CB5">
        <w:rPr>
          <w:rFonts w:cs="Times"/>
          <w:i/>
          <w:iCs/>
          <w:noProof/>
        </w:rPr>
        <w:t>6</w:t>
      </w:r>
      <w:r w:rsidRPr="00230CB5">
        <w:rPr>
          <w:rFonts w:cs="Times"/>
          <w:noProof/>
        </w:rPr>
        <w:t xml:space="preserve"> (14), 7764–7779. https://doi.org/10.1039/C4NR01756K.</w:t>
      </w:r>
    </w:p>
    <w:p w14:paraId="66C5533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(30)</w:t>
      </w:r>
      <w:r w:rsidRPr="00230CB5">
        <w:rPr>
          <w:rFonts w:cs="Times"/>
          <w:noProof/>
        </w:rPr>
        <w:tab/>
        <w:t xml:space="preserve">Habibi, Y.; Lucia, L. A.; Rojas, O. J. Cellulose Nanocrystals: Chemistry, Self-Assembly, and Applications. </w:t>
      </w:r>
      <w:r w:rsidRPr="00230CB5">
        <w:rPr>
          <w:rFonts w:cs="Times"/>
          <w:i/>
          <w:iCs/>
          <w:noProof/>
        </w:rPr>
        <w:t>Chem. Rev.</w:t>
      </w:r>
      <w:r w:rsidRPr="00230CB5">
        <w:rPr>
          <w:rFonts w:cs="Times"/>
          <w:noProof/>
        </w:rPr>
        <w:t xml:space="preserve"> </w:t>
      </w:r>
      <w:r w:rsidRPr="00230CB5">
        <w:rPr>
          <w:rFonts w:cs="Times"/>
          <w:b/>
          <w:bCs/>
          <w:noProof/>
        </w:rPr>
        <w:t>2010</w:t>
      </w:r>
      <w:r w:rsidRPr="00230CB5">
        <w:rPr>
          <w:rFonts w:cs="Times"/>
          <w:noProof/>
        </w:rPr>
        <w:t xml:space="preserve">, </w:t>
      </w:r>
      <w:r w:rsidRPr="00230CB5">
        <w:rPr>
          <w:rFonts w:cs="Times"/>
          <w:i/>
          <w:iCs/>
          <w:noProof/>
        </w:rPr>
        <w:t>110</w:t>
      </w:r>
      <w:r w:rsidRPr="00230CB5">
        <w:rPr>
          <w:rFonts w:cs="Times"/>
          <w:noProof/>
        </w:rPr>
        <w:t xml:space="preserve"> (6), 3479–3500. https://doi.org/10.1021/cr900339w.</w:t>
      </w:r>
    </w:p>
    <w:p w14:paraId="3B168481"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(31)</w:t>
      </w:r>
      <w:r w:rsidRPr="00230CB5">
        <w:rPr>
          <w:rFonts w:cs="Times"/>
          <w:noProof/>
        </w:rPr>
        <w:tab/>
        <w:t xml:space="preserve">Atalla, R. H.; VanderHart, D. L. The Role of Solid State 13C NMR Spectroscopy in Studies of the Nature of Native Celluloses. </w:t>
      </w:r>
      <w:r w:rsidRPr="00230CB5">
        <w:rPr>
          <w:rFonts w:cs="Times"/>
          <w:i/>
          <w:iCs/>
          <w:noProof/>
        </w:rPr>
        <w:t>Solid State Nucl. Magn. Reson.</w:t>
      </w:r>
      <w:r w:rsidRPr="00230CB5">
        <w:rPr>
          <w:rFonts w:cs="Times"/>
          <w:noProof/>
        </w:rPr>
        <w:t xml:space="preserve"> </w:t>
      </w:r>
      <w:r w:rsidRPr="00230CB5">
        <w:rPr>
          <w:rFonts w:cs="Times"/>
          <w:b/>
          <w:bCs/>
          <w:noProof/>
        </w:rPr>
        <w:t>1999</w:t>
      </w:r>
      <w:r w:rsidRPr="00230CB5">
        <w:rPr>
          <w:rFonts w:cs="Times"/>
          <w:noProof/>
        </w:rPr>
        <w:t xml:space="preserve">, </w:t>
      </w:r>
      <w:r w:rsidRPr="00230CB5">
        <w:rPr>
          <w:rFonts w:cs="Times"/>
          <w:i/>
          <w:iCs/>
          <w:noProof/>
        </w:rPr>
        <w:t>15</w:t>
      </w:r>
      <w:r w:rsidRPr="00230CB5">
        <w:rPr>
          <w:rFonts w:cs="Times"/>
          <w:noProof/>
        </w:rPr>
        <w:t xml:space="preserve"> (1), 1–19. https://doi.org/10.1016/S0926-2040(99)00042-9.</w:t>
      </w:r>
    </w:p>
    <w:p w14:paraId="69E617B0"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(32)</w:t>
      </w:r>
      <w:r w:rsidRPr="00230CB5">
        <w:rPr>
          <w:rFonts w:cs="Times"/>
          <w:noProof/>
        </w:rPr>
        <w:tab/>
        <w:t xml:space="preserve">Han, J.; Zhou, C.; Wu, Y.; Liu, F.; Wu, Q. Self-Assembling Behavior of Cellulose Nanoparticles during Freeze-Drying: Effect of Suspension Concentration, Particle Size, Crystal Structure, and Surface Charge. </w:t>
      </w:r>
      <w:r w:rsidRPr="00230CB5">
        <w:rPr>
          <w:rFonts w:cs="Times"/>
          <w:i/>
          <w:iCs/>
          <w:noProof/>
        </w:rPr>
        <w:t>Biomacromolecules</w:t>
      </w:r>
      <w:r w:rsidRPr="00230CB5">
        <w:rPr>
          <w:rFonts w:cs="Times"/>
          <w:noProof/>
        </w:rPr>
        <w:t xml:space="preserve"> </w:t>
      </w:r>
      <w:r w:rsidRPr="00230CB5">
        <w:rPr>
          <w:rFonts w:cs="Times"/>
          <w:b/>
          <w:bCs/>
          <w:noProof/>
        </w:rPr>
        <w:t>2013</w:t>
      </w:r>
      <w:r w:rsidRPr="00230CB5">
        <w:rPr>
          <w:rFonts w:cs="Times"/>
          <w:noProof/>
        </w:rPr>
        <w:t xml:space="preserve">, </w:t>
      </w:r>
      <w:r w:rsidRPr="00230CB5">
        <w:rPr>
          <w:rFonts w:cs="Times"/>
          <w:i/>
          <w:iCs/>
          <w:noProof/>
        </w:rPr>
        <w:t>14</w:t>
      </w:r>
      <w:r w:rsidRPr="00230CB5">
        <w:rPr>
          <w:rFonts w:cs="Times"/>
          <w:noProof/>
        </w:rPr>
        <w:t xml:space="preserve"> (5), 1529–1540. https://doi.org/10.1021/bm4001734.</w:t>
      </w:r>
    </w:p>
    <w:p w14:paraId="3B279813"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(33)</w:t>
      </w:r>
      <w:r w:rsidRPr="00230CB5">
        <w:rPr>
          <w:rFonts w:cs="Times"/>
          <w:noProof/>
        </w:rPr>
        <w:tab/>
        <w:t xml:space="preserve">Zugenmaier, P. Conformation and Packing of Various Crystalline Cellulose Fibers. </w:t>
      </w:r>
      <w:r w:rsidRPr="00230CB5">
        <w:rPr>
          <w:rFonts w:cs="Times"/>
          <w:i/>
          <w:iCs/>
          <w:noProof/>
        </w:rPr>
        <w:t>Prog. Polym. Sci.</w:t>
      </w:r>
      <w:r w:rsidRPr="00230CB5">
        <w:rPr>
          <w:rFonts w:cs="Times"/>
          <w:noProof/>
        </w:rPr>
        <w:t xml:space="preserve"> </w:t>
      </w:r>
      <w:r w:rsidRPr="00230CB5">
        <w:rPr>
          <w:rFonts w:cs="Times"/>
          <w:b/>
          <w:bCs/>
          <w:noProof/>
        </w:rPr>
        <w:t>2001</w:t>
      </w:r>
      <w:r w:rsidRPr="00230CB5">
        <w:rPr>
          <w:rFonts w:cs="Times"/>
          <w:noProof/>
        </w:rPr>
        <w:t xml:space="preserve">, </w:t>
      </w:r>
      <w:r w:rsidRPr="00230CB5">
        <w:rPr>
          <w:rFonts w:cs="Times"/>
          <w:i/>
          <w:iCs/>
          <w:noProof/>
        </w:rPr>
        <w:t>26</w:t>
      </w:r>
      <w:r w:rsidRPr="00230CB5">
        <w:rPr>
          <w:rFonts w:cs="Times"/>
          <w:noProof/>
        </w:rPr>
        <w:t xml:space="preserve"> (9), 1341–1417. https://doi.org/10.1016/S0079-6700(01)00019-3.</w:t>
      </w:r>
    </w:p>
    <w:p w14:paraId="7901E24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(34)</w:t>
      </w:r>
      <w:r w:rsidRPr="00230CB5">
        <w:rPr>
          <w:rFonts w:cs="Times"/>
          <w:noProof/>
        </w:rPr>
        <w:tab/>
        <w:t xml:space="preserve">Nishiyama, Y.; Langan, P.; Chanzy, H. Crystal Structure and Hydrogen-Bonding System in Cellulose Iβ from Synchrotron X-Ray and Neutron Fiber Diffraction. </w:t>
      </w:r>
      <w:r w:rsidRPr="00230CB5">
        <w:rPr>
          <w:rFonts w:cs="Times"/>
          <w:i/>
          <w:iCs/>
          <w:noProof/>
        </w:rPr>
        <w:t>J. Am. Chem. Soc.</w:t>
      </w:r>
      <w:r w:rsidRPr="00230CB5">
        <w:rPr>
          <w:rFonts w:cs="Times"/>
          <w:noProof/>
        </w:rPr>
        <w:t xml:space="preserve"> </w:t>
      </w:r>
      <w:r w:rsidRPr="00230CB5">
        <w:rPr>
          <w:rFonts w:cs="Times"/>
          <w:b/>
          <w:bCs/>
          <w:noProof/>
        </w:rPr>
        <w:lastRenderedPageBreak/>
        <w:t>2002</w:t>
      </w:r>
      <w:r w:rsidRPr="00230CB5">
        <w:rPr>
          <w:rFonts w:cs="Times"/>
          <w:noProof/>
        </w:rPr>
        <w:t xml:space="preserve">, </w:t>
      </w:r>
      <w:r w:rsidRPr="00230CB5">
        <w:rPr>
          <w:rFonts w:cs="Times"/>
          <w:i/>
          <w:iCs/>
          <w:noProof/>
        </w:rPr>
        <w:t>124</w:t>
      </w:r>
      <w:r w:rsidRPr="00230CB5">
        <w:rPr>
          <w:rFonts w:cs="Times"/>
          <w:noProof/>
        </w:rPr>
        <w:t xml:space="preserve"> (31), 9074–9082. https://doi.org/10.1021/ja0257319.</w:t>
      </w:r>
    </w:p>
    <w:p w14:paraId="58527B4F"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(35)</w:t>
      </w:r>
      <w:r w:rsidRPr="00230CB5">
        <w:rPr>
          <w:rFonts w:cs="Times"/>
          <w:noProof/>
        </w:rPr>
        <w:tab/>
        <w:t xml:space="preserve">Rowland, S. P.; Howley, P. S. Hydrogen Bonding on Accessible Surfaces of Cellulose from Various Sources and Relationship to Order within Crystalline Regions. </w:t>
      </w:r>
      <w:r w:rsidRPr="00230CB5">
        <w:rPr>
          <w:rFonts w:cs="Times"/>
          <w:i/>
          <w:iCs/>
          <w:noProof/>
        </w:rPr>
        <w:t>J. Polym. Sci. Part A Polym. Chem.</w:t>
      </w:r>
      <w:r w:rsidRPr="00230CB5">
        <w:rPr>
          <w:rFonts w:cs="Times"/>
          <w:noProof/>
        </w:rPr>
        <w:t xml:space="preserve"> </w:t>
      </w:r>
      <w:r w:rsidRPr="00230CB5">
        <w:rPr>
          <w:rFonts w:cs="Times"/>
          <w:b/>
          <w:bCs/>
          <w:noProof/>
        </w:rPr>
        <w:t>1988</w:t>
      </w:r>
      <w:r w:rsidRPr="00230CB5">
        <w:rPr>
          <w:rFonts w:cs="Times"/>
          <w:noProof/>
        </w:rPr>
        <w:t xml:space="preserve">, </w:t>
      </w:r>
      <w:r w:rsidRPr="00230CB5">
        <w:rPr>
          <w:rFonts w:cs="Times"/>
          <w:i/>
          <w:iCs/>
          <w:noProof/>
        </w:rPr>
        <w:t>26</w:t>
      </w:r>
      <w:r w:rsidRPr="00230CB5">
        <w:rPr>
          <w:rFonts w:cs="Times"/>
          <w:noProof/>
        </w:rPr>
        <w:t xml:space="preserve"> (7), 1769–1778. https://doi.org/10.1002/pola.1988.080260708.</w:t>
      </w:r>
    </w:p>
    <w:p w14:paraId="6F51647B"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(36)</w:t>
      </w:r>
      <w:r w:rsidRPr="00230CB5">
        <w:rPr>
          <w:rFonts w:cs="Times"/>
          <w:noProof/>
        </w:rPr>
        <w:tab/>
        <w:t xml:space="preserve">Cyvin, S. J.; Rauch, J. E.; Decius, J. C. Theory of Hyper-Raman Effects (Nonlinear Inelastic Light Scattering): Selection Rules and Depolarization Ratios for the Second-Order Polarizability. </w:t>
      </w:r>
      <w:r w:rsidRPr="00230CB5">
        <w:rPr>
          <w:rFonts w:cs="Times"/>
          <w:i/>
          <w:iCs/>
          <w:noProof/>
        </w:rPr>
        <w:t>J. Chem. Phys.</w:t>
      </w:r>
      <w:r w:rsidRPr="00230CB5">
        <w:rPr>
          <w:rFonts w:cs="Times"/>
          <w:noProof/>
        </w:rPr>
        <w:t xml:space="preserve"> </w:t>
      </w:r>
      <w:r w:rsidRPr="00230CB5">
        <w:rPr>
          <w:rFonts w:cs="Times"/>
          <w:b/>
          <w:bCs/>
          <w:noProof/>
        </w:rPr>
        <w:t>1965</w:t>
      </w:r>
      <w:r w:rsidRPr="00230CB5">
        <w:rPr>
          <w:rFonts w:cs="Times"/>
          <w:noProof/>
        </w:rPr>
        <w:t xml:space="preserve">, </w:t>
      </w:r>
      <w:r w:rsidRPr="00230CB5">
        <w:rPr>
          <w:rFonts w:cs="Times"/>
          <w:i/>
          <w:iCs/>
          <w:noProof/>
        </w:rPr>
        <w:t>43</w:t>
      </w:r>
      <w:r w:rsidRPr="00230CB5">
        <w:rPr>
          <w:rFonts w:cs="Times"/>
          <w:noProof/>
        </w:rPr>
        <w:t xml:space="preserve"> (11), 4083–4095. https://doi.org/10.1063/1.1696646.</w:t>
      </w:r>
    </w:p>
    <w:p w14:paraId="2088BA4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(37)</w:t>
      </w:r>
      <w:r w:rsidRPr="00230CB5">
        <w:rPr>
          <w:rFonts w:cs="Times"/>
          <w:noProof/>
        </w:rPr>
        <w:tab/>
        <w:t xml:space="preserve">Kratky, O. X-Ray Small Angle Scattering with Substances of Biological Interest in Diluted Solutions. </w:t>
      </w:r>
      <w:r w:rsidRPr="00230CB5">
        <w:rPr>
          <w:rFonts w:cs="Times"/>
          <w:i/>
          <w:iCs/>
          <w:noProof/>
        </w:rPr>
        <w:t>Prog. Biophys. Mol. Biol.</w:t>
      </w:r>
      <w:r w:rsidRPr="00230CB5">
        <w:rPr>
          <w:rFonts w:cs="Times"/>
          <w:noProof/>
        </w:rPr>
        <w:t xml:space="preserve"> </w:t>
      </w:r>
      <w:r w:rsidRPr="00230CB5">
        <w:rPr>
          <w:rFonts w:cs="Times"/>
          <w:b/>
          <w:bCs/>
          <w:noProof/>
        </w:rPr>
        <w:t>1963</w:t>
      </w:r>
      <w:r w:rsidRPr="00230CB5">
        <w:rPr>
          <w:rFonts w:cs="Times"/>
          <w:noProof/>
        </w:rPr>
        <w:t xml:space="preserve">, </w:t>
      </w:r>
      <w:r w:rsidRPr="00230CB5">
        <w:rPr>
          <w:rFonts w:cs="Times"/>
          <w:i/>
          <w:iCs/>
          <w:noProof/>
        </w:rPr>
        <w:t>13</w:t>
      </w:r>
      <w:r w:rsidRPr="00230CB5">
        <w:rPr>
          <w:rFonts w:cs="Times"/>
          <w:noProof/>
        </w:rPr>
        <w:t xml:space="preserve"> (C). https://doi.org/10.1016/s0079-6107(63)80015-2.</w:t>
      </w:r>
    </w:p>
    <w:p w14:paraId="385EBF03"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(38)</w:t>
      </w:r>
      <w:r w:rsidRPr="00230CB5">
        <w:rPr>
          <w:rFonts w:cs="Times"/>
          <w:noProof/>
        </w:rPr>
        <w:tab/>
        <w:t xml:space="preserve">Verbiest, T.; Clays, K.; Rodriguez, V. </w:t>
      </w:r>
      <w:r w:rsidRPr="00230CB5">
        <w:rPr>
          <w:rFonts w:cs="Times"/>
          <w:i/>
          <w:iCs/>
          <w:noProof/>
        </w:rPr>
        <w:t>Second-Order Nonlinear Optical Characterization Techniques: An Introduction</w:t>
      </w:r>
      <w:r w:rsidRPr="00230CB5">
        <w:rPr>
          <w:rFonts w:cs="Times"/>
          <w:noProof/>
        </w:rPr>
        <w:t>; Press, C., Ed.; 2009.</w:t>
      </w:r>
    </w:p>
    <w:p w14:paraId="25D296A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(39)</w:t>
      </w:r>
      <w:r w:rsidRPr="00230CB5">
        <w:rPr>
          <w:rFonts w:cs="Times"/>
          <w:noProof/>
        </w:rPr>
        <w:tab/>
        <w:t xml:space="preserve">Dovesi, R.; Orlando, R.; Erba, A.; Zicovich-Wilson, C. M.; Civalleri, B.; Casassa, S.; Maschio, L.; Ferrabone, M.; De La Pierre, M.; D’Arco, P.; Noël, Y.; Causà, M.; Rérat, M.; Kirtman, B. C RYSTAL14: A Program for the Ab Initio Investigation of Crystalline Solids. </w:t>
      </w:r>
      <w:r w:rsidRPr="00230CB5">
        <w:rPr>
          <w:rFonts w:cs="Times"/>
          <w:i/>
          <w:iCs/>
          <w:noProof/>
        </w:rPr>
        <w:t>Int. J. Quantum Chem.</w:t>
      </w:r>
      <w:r w:rsidRPr="00230CB5">
        <w:rPr>
          <w:rFonts w:cs="Times"/>
          <w:noProof/>
        </w:rPr>
        <w:t xml:space="preserve"> </w:t>
      </w:r>
      <w:r w:rsidRPr="00230CB5">
        <w:rPr>
          <w:rFonts w:cs="Times"/>
          <w:b/>
          <w:bCs/>
          <w:noProof/>
        </w:rPr>
        <w:t>2014</w:t>
      </w:r>
      <w:r w:rsidRPr="00230CB5">
        <w:rPr>
          <w:rFonts w:cs="Times"/>
          <w:noProof/>
        </w:rPr>
        <w:t xml:space="preserve">, </w:t>
      </w:r>
      <w:r w:rsidRPr="00230CB5">
        <w:rPr>
          <w:rFonts w:cs="Times"/>
          <w:i/>
          <w:iCs/>
          <w:noProof/>
        </w:rPr>
        <w:t>114</w:t>
      </w:r>
      <w:r w:rsidRPr="00230CB5">
        <w:rPr>
          <w:rFonts w:cs="Times"/>
          <w:noProof/>
        </w:rPr>
        <w:t xml:space="preserve"> (19), 1287–1317. https://doi.org/10.1002/qua.24658.</w:t>
      </w:r>
    </w:p>
    <w:p w14:paraId="1AEB5AB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(40)</w:t>
      </w:r>
      <w:r w:rsidRPr="00230CB5">
        <w:rPr>
          <w:rFonts w:cs="Times"/>
          <w:noProof/>
        </w:rPr>
        <w:tab/>
        <w:t xml:space="preserve">Dovesi, R.; Pascale, F.; Civalleri, B.; Doll, K.; Harrison, N. M.; Bush, I.; D’Arco, P.; Noel, Y.; Rera, M.; Carbonniere, P.; Causa, M.; Salustro, S.; Lacivita, V.; Kirtman, B.; Ferrari, A. M.; Gentile, F. S.; Baima, J.; Ferrero, M.; Demichelis, R.; De La Pierre, M. The CRYSTAL Code, 1976-2020 and beyond, a Long Story. </w:t>
      </w:r>
      <w:r w:rsidRPr="00230CB5">
        <w:rPr>
          <w:rFonts w:cs="Times"/>
          <w:i/>
          <w:iCs/>
          <w:noProof/>
        </w:rPr>
        <w:t>J. Chem. Phys.</w:t>
      </w:r>
      <w:r w:rsidRPr="00230CB5">
        <w:rPr>
          <w:rFonts w:cs="Times"/>
          <w:noProof/>
        </w:rPr>
        <w:t xml:space="preserve"> </w:t>
      </w:r>
      <w:r w:rsidRPr="00230CB5">
        <w:rPr>
          <w:rFonts w:cs="Times"/>
          <w:b/>
          <w:bCs/>
          <w:noProof/>
        </w:rPr>
        <w:t>2020</w:t>
      </w:r>
      <w:r w:rsidRPr="00230CB5">
        <w:rPr>
          <w:rFonts w:cs="Times"/>
          <w:noProof/>
        </w:rPr>
        <w:t xml:space="preserve">, </w:t>
      </w:r>
      <w:r w:rsidRPr="00230CB5">
        <w:rPr>
          <w:rFonts w:cs="Times"/>
          <w:i/>
          <w:iCs/>
          <w:noProof/>
        </w:rPr>
        <w:t>152</w:t>
      </w:r>
      <w:r w:rsidRPr="00230CB5">
        <w:rPr>
          <w:rFonts w:cs="Times"/>
          <w:noProof/>
        </w:rPr>
        <w:t xml:space="preserve"> (20). https://doi.org/10.1063/5.0004892.</w:t>
      </w:r>
    </w:p>
    <w:p w14:paraId="5203FF96"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(41)</w:t>
      </w:r>
      <w:r w:rsidRPr="00230CB5">
        <w:rPr>
          <w:rFonts w:cs="Times"/>
          <w:noProof/>
        </w:rPr>
        <w:tab/>
        <w:t xml:space="preserve">Chai, J. Da; Head-Gordon, M. Long-Range Corrected Double-Hybrid Density Functionals. </w:t>
      </w:r>
      <w:r w:rsidRPr="00230CB5">
        <w:rPr>
          <w:rFonts w:cs="Times"/>
          <w:i/>
          <w:iCs/>
          <w:noProof/>
        </w:rPr>
        <w:lastRenderedPageBreak/>
        <w:t>J. Chem. Phys.</w:t>
      </w:r>
      <w:r w:rsidRPr="00230CB5">
        <w:rPr>
          <w:rFonts w:cs="Times"/>
          <w:noProof/>
        </w:rPr>
        <w:t xml:space="preserve"> </w:t>
      </w:r>
      <w:r w:rsidRPr="00230CB5">
        <w:rPr>
          <w:rFonts w:cs="Times"/>
          <w:b/>
          <w:bCs/>
          <w:noProof/>
        </w:rPr>
        <w:t>2009</w:t>
      </w:r>
      <w:r w:rsidRPr="00230CB5">
        <w:rPr>
          <w:rFonts w:cs="Times"/>
          <w:noProof/>
        </w:rPr>
        <w:t xml:space="preserve">, </w:t>
      </w:r>
      <w:r w:rsidRPr="00230CB5">
        <w:rPr>
          <w:rFonts w:cs="Times"/>
          <w:i/>
          <w:iCs/>
          <w:noProof/>
        </w:rPr>
        <w:t>131</w:t>
      </w:r>
      <w:r w:rsidRPr="00230CB5">
        <w:rPr>
          <w:rFonts w:cs="Times"/>
          <w:noProof/>
        </w:rPr>
        <w:t xml:space="preserve"> (17). https://doi.org/10.1063/1.3244209.</w:t>
      </w:r>
    </w:p>
    <w:p w14:paraId="7E7106EA"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(42)</w:t>
      </w:r>
      <w:r w:rsidRPr="00230CB5">
        <w:rPr>
          <w:rFonts w:cs="Times"/>
          <w:noProof/>
        </w:rPr>
        <w:tab/>
        <w:t xml:space="preserve">Pritchard, B. P.; Altarawy, D.; Didier, B.; Gibson, T. D.; Windus, T. L. New Basis Set Exchange: An Open, Up-to-Date Resource for the Molecular Sciences Community. </w:t>
      </w:r>
      <w:r w:rsidRPr="00230CB5">
        <w:rPr>
          <w:rFonts w:cs="Times"/>
          <w:i/>
          <w:iCs/>
          <w:noProof/>
        </w:rPr>
        <w:t>J. Chem. Inf. Model.</w:t>
      </w:r>
      <w:r w:rsidRPr="00230CB5">
        <w:rPr>
          <w:rFonts w:cs="Times"/>
          <w:noProof/>
        </w:rPr>
        <w:t xml:space="preserve"> </w:t>
      </w:r>
      <w:r w:rsidRPr="00230CB5">
        <w:rPr>
          <w:rFonts w:cs="Times"/>
          <w:b/>
          <w:bCs/>
          <w:noProof/>
        </w:rPr>
        <w:t>2019</w:t>
      </w:r>
      <w:r w:rsidRPr="00230CB5">
        <w:rPr>
          <w:rFonts w:cs="Times"/>
          <w:noProof/>
        </w:rPr>
        <w:t xml:space="preserve">, </w:t>
      </w:r>
      <w:r w:rsidRPr="00230CB5">
        <w:rPr>
          <w:rFonts w:cs="Times"/>
          <w:i/>
          <w:iCs/>
          <w:noProof/>
        </w:rPr>
        <w:t>59</w:t>
      </w:r>
      <w:r w:rsidRPr="00230CB5">
        <w:rPr>
          <w:rFonts w:cs="Times"/>
          <w:noProof/>
        </w:rPr>
        <w:t xml:space="preserve"> (11), 4814–4820. https://doi.org/10.1021/acs.jcim.9b00725.</w:t>
      </w:r>
    </w:p>
    <w:p w14:paraId="51232EA6"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(43)</w:t>
      </w:r>
      <w:r w:rsidRPr="00230CB5">
        <w:rPr>
          <w:rFonts w:cs="Times"/>
          <w:noProof/>
        </w:rPr>
        <w:tab/>
        <w:t xml:space="preserve">Mairesse, F.; Champagne, B. Simple Scaling of the Empirical London Dispersion Corrections in DFT Geometry Optimizations of Prototypical Nonlinear Optical Crystals. </w:t>
      </w:r>
      <w:r w:rsidRPr="00230CB5">
        <w:rPr>
          <w:rFonts w:cs="Times"/>
          <w:i/>
          <w:iCs/>
          <w:noProof/>
        </w:rPr>
        <w:t>Int. J. Quantum Chem.</w:t>
      </w:r>
      <w:r w:rsidRPr="00230CB5">
        <w:rPr>
          <w:rFonts w:cs="Times"/>
          <w:noProof/>
        </w:rPr>
        <w:t xml:space="preserve"> </w:t>
      </w:r>
      <w:r w:rsidRPr="00230CB5">
        <w:rPr>
          <w:rFonts w:cs="Times"/>
          <w:b/>
          <w:bCs/>
          <w:noProof/>
        </w:rPr>
        <w:t>2024</w:t>
      </w:r>
      <w:r w:rsidRPr="00230CB5">
        <w:rPr>
          <w:rFonts w:cs="Times"/>
          <w:noProof/>
        </w:rPr>
        <w:t xml:space="preserve">, </w:t>
      </w:r>
      <w:r w:rsidRPr="00230CB5">
        <w:rPr>
          <w:rFonts w:cs="Times"/>
          <w:i/>
          <w:iCs/>
          <w:noProof/>
        </w:rPr>
        <w:t>124</w:t>
      </w:r>
      <w:r w:rsidRPr="00230CB5">
        <w:rPr>
          <w:rFonts w:cs="Times"/>
          <w:noProof/>
        </w:rPr>
        <w:t xml:space="preserve"> (1), 1–17. https://doi.org/10.1002/qua.27275.</w:t>
      </w:r>
    </w:p>
    <w:p w14:paraId="4DC1890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(44)</w:t>
      </w:r>
      <w:r w:rsidRPr="00230CB5">
        <w:rPr>
          <w:rFonts w:cs="Times"/>
          <w:noProof/>
        </w:rPr>
        <w:tab/>
        <w:t xml:space="preserve">Ferrero, M.; Ŕrat, M.; Kirtman, B.; Dovesi, R. Calculation of First and Second Static Hyperpolarizabilities of One- to Three-Dimensional Periodic Compounds. Implementation in the CRYSTAL Code. </w:t>
      </w:r>
      <w:r w:rsidRPr="00230CB5">
        <w:rPr>
          <w:rFonts w:cs="Times"/>
          <w:i/>
          <w:iCs/>
          <w:noProof/>
        </w:rPr>
        <w:t>J. Chem. Phys.</w:t>
      </w:r>
      <w:r w:rsidRPr="00230CB5">
        <w:rPr>
          <w:rFonts w:cs="Times"/>
          <w:noProof/>
        </w:rPr>
        <w:t xml:space="preserve"> </w:t>
      </w:r>
      <w:r w:rsidRPr="00230CB5">
        <w:rPr>
          <w:rFonts w:cs="Times"/>
          <w:b/>
          <w:bCs/>
          <w:noProof/>
        </w:rPr>
        <w:t>2008</w:t>
      </w:r>
      <w:r w:rsidRPr="00230CB5">
        <w:rPr>
          <w:rFonts w:cs="Times"/>
          <w:noProof/>
        </w:rPr>
        <w:t xml:space="preserve">, </w:t>
      </w:r>
      <w:r w:rsidRPr="00230CB5">
        <w:rPr>
          <w:rFonts w:cs="Times"/>
          <w:i/>
          <w:iCs/>
          <w:noProof/>
        </w:rPr>
        <w:t>129</w:t>
      </w:r>
      <w:r w:rsidRPr="00230CB5">
        <w:rPr>
          <w:rFonts w:cs="Times"/>
          <w:noProof/>
        </w:rPr>
        <w:t xml:space="preserve"> (24). https://doi.org/10.1063/1.3043366.</w:t>
      </w:r>
    </w:p>
    <w:p w14:paraId="14B2622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(45)</w:t>
      </w:r>
      <w:r w:rsidRPr="00230CB5">
        <w:rPr>
          <w:rFonts w:cs="Times"/>
          <w:noProof/>
        </w:rPr>
        <w:tab/>
        <w:t xml:space="preserve">Ferrero, M.; Rérat, M.; Orlando, R.; Dovesi, R. The Calculation of Static Polarizabilities of 1-3D Periodic Compounds. The Implementation in the CRYSTAL Code. </w:t>
      </w:r>
      <w:r w:rsidRPr="00230CB5">
        <w:rPr>
          <w:rFonts w:cs="Times"/>
          <w:i/>
          <w:iCs/>
          <w:noProof/>
        </w:rPr>
        <w:t>J Comput Chem</w:t>
      </w:r>
      <w:r w:rsidRPr="00230CB5">
        <w:rPr>
          <w:rFonts w:cs="Times"/>
          <w:noProof/>
        </w:rPr>
        <w:t xml:space="preserve"> </w:t>
      </w:r>
      <w:r w:rsidRPr="00230CB5">
        <w:rPr>
          <w:rFonts w:cs="Times"/>
          <w:b/>
          <w:bCs/>
          <w:noProof/>
        </w:rPr>
        <w:t>2008</w:t>
      </w:r>
      <w:r w:rsidRPr="00230CB5">
        <w:rPr>
          <w:rFonts w:cs="Times"/>
          <w:noProof/>
        </w:rPr>
        <w:t>, No. 29, 1450–1459.</w:t>
      </w:r>
    </w:p>
    <w:p w14:paraId="1A6D3EA1"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(46)</w:t>
      </w:r>
      <w:r w:rsidRPr="00230CB5">
        <w:rPr>
          <w:rFonts w:cs="Times"/>
          <w:noProof/>
        </w:rPr>
        <w:tab/>
        <w:t xml:space="preserve">Ferrero, M.; Rérat, M.; Orlando, R.; Dovesi, R. Coupled Perturbed Hartree-Fock for Periodic Systems: The Role of Symmetry and Related Computational Aspects. </w:t>
      </w:r>
      <w:r w:rsidRPr="00230CB5">
        <w:rPr>
          <w:rFonts w:cs="Times"/>
          <w:i/>
          <w:iCs/>
          <w:noProof/>
        </w:rPr>
        <w:t>J. Chem. Phys.</w:t>
      </w:r>
      <w:r w:rsidRPr="00230CB5">
        <w:rPr>
          <w:rFonts w:cs="Times"/>
          <w:noProof/>
        </w:rPr>
        <w:t xml:space="preserve"> </w:t>
      </w:r>
      <w:r w:rsidRPr="00230CB5">
        <w:rPr>
          <w:rFonts w:cs="Times"/>
          <w:b/>
          <w:bCs/>
          <w:noProof/>
        </w:rPr>
        <w:t>2008</w:t>
      </w:r>
      <w:r w:rsidRPr="00230CB5">
        <w:rPr>
          <w:rFonts w:cs="Times"/>
          <w:noProof/>
        </w:rPr>
        <w:t xml:space="preserve">, </w:t>
      </w:r>
      <w:r w:rsidRPr="00230CB5">
        <w:rPr>
          <w:rFonts w:cs="Times"/>
          <w:i/>
          <w:iCs/>
          <w:noProof/>
        </w:rPr>
        <w:t>128</w:t>
      </w:r>
      <w:r w:rsidRPr="00230CB5">
        <w:rPr>
          <w:rFonts w:cs="Times"/>
          <w:noProof/>
        </w:rPr>
        <w:t xml:space="preserve"> (1). https://doi.org/10.1063/1.2817596.</w:t>
      </w:r>
    </w:p>
    <w:p w14:paraId="6C0857A4"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(47)</w:t>
      </w:r>
      <w:r w:rsidRPr="00230CB5">
        <w:rPr>
          <w:rFonts w:cs="Times"/>
          <w:noProof/>
        </w:rPr>
        <w:tab/>
        <w:t xml:space="preserve">Yanai, T.; Tew, D. P.; Handy, N. C. A New Hybrid Exchange-Correlation Functional Using the Coulomb-Attenuating Method (CAM-B3LYP). </w:t>
      </w:r>
      <w:r w:rsidRPr="00230CB5">
        <w:rPr>
          <w:rFonts w:cs="Times"/>
          <w:i/>
          <w:iCs/>
          <w:noProof/>
        </w:rPr>
        <w:t>Chem. Phys. Lett.</w:t>
      </w:r>
      <w:r w:rsidRPr="00230CB5">
        <w:rPr>
          <w:rFonts w:cs="Times"/>
          <w:noProof/>
        </w:rPr>
        <w:t xml:space="preserve"> </w:t>
      </w:r>
      <w:r w:rsidRPr="00230CB5">
        <w:rPr>
          <w:rFonts w:cs="Times"/>
          <w:b/>
          <w:bCs/>
          <w:noProof/>
        </w:rPr>
        <w:t>2004</w:t>
      </w:r>
      <w:r w:rsidRPr="00230CB5">
        <w:rPr>
          <w:rFonts w:cs="Times"/>
          <w:noProof/>
        </w:rPr>
        <w:t xml:space="preserve">, </w:t>
      </w:r>
      <w:r w:rsidRPr="00230CB5">
        <w:rPr>
          <w:rFonts w:cs="Times"/>
          <w:i/>
          <w:iCs/>
          <w:noProof/>
        </w:rPr>
        <w:t>393</w:t>
      </w:r>
      <w:r w:rsidRPr="00230CB5">
        <w:rPr>
          <w:rFonts w:cs="Times"/>
          <w:noProof/>
        </w:rPr>
        <w:t xml:space="preserve"> (1–3), 51–57. https://doi.org/10.1016/j.cplett.2004.06.011.</w:t>
      </w:r>
    </w:p>
    <w:p w14:paraId="17170E6A"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(48)</w:t>
      </w:r>
      <w:r w:rsidRPr="00230CB5">
        <w:rPr>
          <w:rFonts w:cs="Times"/>
          <w:noProof/>
        </w:rPr>
        <w:tab/>
        <w:t xml:space="preserve">Tawada, Y.; Tsuneda, T.; Yanagisawa, S.; Yanai, T.; Hirao, K. A Long-Range-Corrected Time-Dependent Density Functional Theory. </w:t>
      </w:r>
      <w:r w:rsidRPr="00230CB5">
        <w:rPr>
          <w:rFonts w:cs="Times"/>
          <w:i/>
          <w:iCs/>
          <w:noProof/>
        </w:rPr>
        <w:t>J. Chem. Phys.</w:t>
      </w:r>
      <w:r w:rsidRPr="00230CB5">
        <w:rPr>
          <w:rFonts w:cs="Times"/>
          <w:noProof/>
        </w:rPr>
        <w:t xml:space="preserve"> </w:t>
      </w:r>
      <w:r w:rsidRPr="00230CB5">
        <w:rPr>
          <w:rFonts w:cs="Times"/>
          <w:b/>
          <w:bCs/>
          <w:noProof/>
        </w:rPr>
        <w:t>2004</w:t>
      </w:r>
      <w:r w:rsidRPr="00230CB5">
        <w:rPr>
          <w:rFonts w:cs="Times"/>
          <w:noProof/>
        </w:rPr>
        <w:t xml:space="preserve">, </w:t>
      </w:r>
      <w:r w:rsidRPr="00230CB5">
        <w:rPr>
          <w:rFonts w:cs="Times"/>
          <w:i/>
          <w:iCs/>
          <w:noProof/>
        </w:rPr>
        <w:t>120</w:t>
      </w:r>
      <w:r w:rsidRPr="00230CB5">
        <w:rPr>
          <w:rFonts w:cs="Times"/>
          <w:noProof/>
        </w:rPr>
        <w:t xml:space="preserve"> (18), 8425–8433. https://doi.org/10.1063/1.1688752.</w:t>
      </w:r>
    </w:p>
    <w:p w14:paraId="6A90B845"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(49)</w:t>
      </w:r>
      <w:r w:rsidRPr="00230CB5">
        <w:rPr>
          <w:rFonts w:cs="Times"/>
          <w:noProof/>
        </w:rPr>
        <w:tab/>
        <w:t xml:space="preserve">Mairesse, F.; Maschio, L.; Champagne, B. First-Principles Evaluation of the Second </w:t>
      </w:r>
      <w:r w:rsidRPr="00230CB5">
        <w:rPr>
          <w:rFonts w:cs="Times"/>
          <w:noProof/>
        </w:rPr>
        <w:lastRenderedPageBreak/>
        <w:t xml:space="preserve">Harmonic Generation Response of Reference Organic and Inorganic Crystals. </w:t>
      </w:r>
      <w:r w:rsidRPr="00230CB5">
        <w:rPr>
          <w:rFonts w:cs="Times"/>
          <w:i/>
          <w:iCs/>
          <w:noProof/>
        </w:rPr>
        <w:t>J. Chem. Phys.</w:t>
      </w:r>
      <w:r w:rsidRPr="00230CB5">
        <w:rPr>
          <w:rFonts w:cs="Times"/>
          <w:noProof/>
        </w:rPr>
        <w:t xml:space="preserve"> </w:t>
      </w:r>
      <w:r w:rsidRPr="00230CB5">
        <w:rPr>
          <w:rFonts w:cs="Times"/>
          <w:b/>
          <w:bCs/>
          <w:noProof/>
        </w:rPr>
        <w:t>2023</w:t>
      </w:r>
      <w:r w:rsidRPr="00230CB5">
        <w:rPr>
          <w:rFonts w:cs="Times"/>
          <w:noProof/>
        </w:rPr>
        <w:t xml:space="preserve">, </w:t>
      </w:r>
      <w:r w:rsidRPr="00230CB5">
        <w:rPr>
          <w:rFonts w:cs="Times"/>
          <w:i/>
          <w:iCs/>
          <w:noProof/>
        </w:rPr>
        <w:t>158</w:t>
      </w:r>
      <w:r w:rsidRPr="00230CB5">
        <w:rPr>
          <w:rFonts w:cs="Times"/>
          <w:noProof/>
        </w:rPr>
        <w:t xml:space="preserve"> (6). https://doi.org/10.1063/5.0137274.</w:t>
      </w:r>
    </w:p>
    <w:p w14:paraId="4CFA1F02"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(50)</w:t>
      </w:r>
      <w:r w:rsidRPr="00230CB5">
        <w:rPr>
          <w:rFonts w:cs="Times"/>
          <w:noProof/>
        </w:rPr>
        <w:tab/>
        <w:t xml:space="preserve">Srivastava, D.; Ahopelto, J.; Karttunen, A. J. Thermodynamic Properties of Crystalline Cellulose Allomorphs Studied with Dispersion-Corrected Density Functional Methods. </w:t>
      </w:r>
      <w:r w:rsidRPr="00230CB5">
        <w:rPr>
          <w:rFonts w:cs="Times"/>
          <w:i/>
          <w:iCs/>
          <w:noProof/>
        </w:rPr>
        <w:t>Molecules</w:t>
      </w:r>
      <w:r w:rsidRPr="00230CB5">
        <w:rPr>
          <w:rFonts w:cs="Times"/>
          <w:noProof/>
        </w:rPr>
        <w:t xml:space="preserve"> </w:t>
      </w:r>
      <w:r w:rsidRPr="00230CB5">
        <w:rPr>
          <w:rFonts w:cs="Times"/>
          <w:b/>
          <w:bCs/>
          <w:noProof/>
        </w:rPr>
        <w:t>2022</w:t>
      </w:r>
      <w:r w:rsidRPr="00230CB5">
        <w:rPr>
          <w:rFonts w:cs="Times"/>
          <w:noProof/>
        </w:rPr>
        <w:t xml:space="preserve">, </w:t>
      </w:r>
      <w:r w:rsidRPr="00230CB5">
        <w:rPr>
          <w:rFonts w:cs="Times"/>
          <w:i/>
          <w:iCs/>
          <w:noProof/>
        </w:rPr>
        <w:t>27</w:t>
      </w:r>
      <w:r w:rsidRPr="00230CB5">
        <w:rPr>
          <w:rFonts w:cs="Times"/>
          <w:noProof/>
        </w:rPr>
        <w:t xml:space="preserve"> (19), 6240. https://doi.org/10.3390/molecules27196240.</w:t>
      </w:r>
    </w:p>
    <w:p w14:paraId="328477CE" w14:textId="77777777" w:rsidR="00230CB5" w:rsidRPr="003145F0" w:rsidRDefault="00230CB5" w:rsidP="00230CB5">
      <w:pPr>
        <w:widowControl w:val="0"/>
        <w:autoSpaceDE w:val="0"/>
        <w:autoSpaceDN w:val="0"/>
        <w:adjustRightInd w:val="0"/>
        <w:spacing w:after="0" w:line="480" w:lineRule="auto"/>
        <w:ind w:left="640" w:hanging="640"/>
        <w:rPr>
          <w:rFonts w:cs="Times"/>
          <w:noProof/>
          <w:lang w:val="de-DE"/>
        </w:rPr>
      </w:pPr>
      <w:r w:rsidRPr="00230CB5">
        <w:rPr>
          <w:rFonts w:cs="Times"/>
          <w:noProof/>
        </w:rPr>
        <w:t>(51)</w:t>
      </w:r>
      <w:r w:rsidRPr="00230CB5">
        <w:rPr>
          <w:rFonts w:cs="Times"/>
          <w:noProof/>
        </w:rPr>
        <w:tab/>
        <w:t xml:space="preserve">Qian, X.; Ding, S. Y.; Nimlos, M. R.; Johnson, D. K.; Himmel, M. E. Atomic and Electronic Structures of Molecular Crystalline Cellulose Iβ: A First-Principles Investigation. </w:t>
      </w:r>
      <w:r w:rsidRPr="003145F0">
        <w:rPr>
          <w:rFonts w:cs="Times"/>
          <w:i/>
          <w:iCs/>
          <w:noProof/>
          <w:lang w:val="de-DE"/>
        </w:rPr>
        <w:t>Macromolecules</w:t>
      </w:r>
      <w:r w:rsidRPr="003145F0">
        <w:rPr>
          <w:rFonts w:cs="Times"/>
          <w:noProof/>
          <w:lang w:val="de-DE"/>
        </w:rPr>
        <w:t xml:space="preserve"> </w:t>
      </w:r>
      <w:r w:rsidRPr="003145F0">
        <w:rPr>
          <w:rFonts w:cs="Times"/>
          <w:b/>
          <w:bCs/>
          <w:noProof/>
          <w:lang w:val="de-DE"/>
        </w:rPr>
        <w:t>2005</w:t>
      </w:r>
      <w:r w:rsidRPr="003145F0">
        <w:rPr>
          <w:rFonts w:cs="Times"/>
          <w:noProof/>
          <w:lang w:val="de-DE"/>
        </w:rPr>
        <w:t xml:space="preserve">, </w:t>
      </w:r>
      <w:r w:rsidRPr="003145F0">
        <w:rPr>
          <w:rFonts w:cs="Times"/>
          <w:i/>
          <w:iCs/>
          <w:noProof/>
          <w:lang w:val="de-DE"/>
        </w:rPr>
        <w:t>38</w:t>
      </w:r>
      <w:r w:rsidRPr="003145F0">
        <w:rPr>
          <w:rFonts w:cs="Times"/>
          <w:noProof/>
          <w:lang w:val="de-DE"/>
        </w:rPr>
        <w:t xml:space="preserve"> (25), 10580–10589. https://doi.org/10.1021/ma051683b.</w:t>
      </w:r>
    </w:p>
    <w:p w14:paraId="1EF4D8C7" w14:textId="77777777" w:rsidR="00230CB5" w:rsidRPr="003145F0" w:rsidRDefault="00230CB5" w:rsidP="00230CB5">
      <w:pPr>
        <w:widowControl w:val="0"/>
        <w:autoSpaceDE w:val="0"/>
        <w:autoSpaceDN w:val="0"/>
        <w:adjustRightInd w:val="0"/>
        <w:spacing w:after="0" w:line="480" w:lineRule="auto"/>
        <w:ind w:left="640" w:hanging="640"/>
        <w:rPr>
          <w:rFonts w:cs="Times"/>
          <w:noProof/>
          <w:lang w:val="de-DE"/>
        </w:rPr>
      </w:pPr>
      <w:r w:rsidRPr="003145F0">
        <w:rPr>
          <w:rFonts w:cs="Times"/>
          <w:noProof/>
          <w:lang w:val="de-DE"/>
        </w:rPr>
        <w:t>(52)</w:t>
      </w:r>
      <w:r w:rsidRPr="003145F0">
        <w:rPr>
          <w:rFonts w:cs="Times"/>
          <w:noProof/>
          <w:lang w:val="de-DE"/>
        </w:rPr>
        <w:tab/>
        <w:t xml:space="preserve">von Neuman, J.; Wigner, E. Prozessen, Uber Merkwürdige Diskrete Eigenwerte. Uber Das Verhalten von Eigenwerten Bei Adiabatischen. </w:t>
      </w:r>
      <w:r w:rsidRPr="003145F0">
        <w:rPr>
          <w:rFonts w:cs="Times"/>
          <w:i/>
          <w:iCs/>
          <w:noProof/>
          <w:lang w:val="de-DE"/>
        </w:rPr>
        <w:t>Phys. Zeitschrift</w:t>
      </w:r>
      <w:r w:rsidRPr="003145F0">
        <w:rPr>
          <w:rFonts w:cs="Times"/>
          <w:noProof/>
          <w:lang w:val="de-DE"/>
        </w:rPr>
        <w:t xml:space="preserve"> </w:t>
      </w:r>
      <w:r w:rsidRPr="003145F0">
        <w:rPr>
          <w:rFonts w:cs="Times"/>
          <w:b/>
          <w:bCs/>
          <w:noProof/>
          <w:lang w:val="de-DE"/>
        </w:rPr>
        <w:t>1929</w:t>
      </w:r>
      <w:r w:rsidRPr="003145F0">
        <w:rPr>
          <w:rFonts w:cs="Times"/>
          <w:noProof/>
          <w:lang w:val="de-DE"/>
        </w:rPr>
        <w:t xml:space="preserve">, </w:t>
      </w:r>
      <w:r w:rsidRPr="003145F0">
        <w:rPr>
          <w:rFonts w:cs="Times"/>
          <w:i/>
          <w:iCs/>
          <w:noProof/>
          <w:lang w:val="de-DE"/>
        </w:rPr>
        <w:t>30</w:t>
      </w:r>
      <w:r w:rsidRPr="003145F0">
        <w:rPr>
          <w:rFonts w:cs="Times"/>
          <w:noProof/>
          <w:lang w:val="de-DE"/>
        </w:rPr>
        <w:t xml:space="preserve"> (470), 467.</w:t>
      </w:r>
    </w:p>
    <w:p w14:paraId="322D13F3" w14:textId="77777777" w:rsidR="00230CB5" w:rsidRPr="003145F0" w:rsidRDefault="00230CB5" w:rsidP="00230CB5">
      <w:pPr>
        <w:widowControl w:val="0"/>
        <w:autoSpaceDE w:val="0"/>
        <w:autoSpaceDN w:val="0"/>
        <w:adjustRightInd w:val="0"/>
        <w:spacing w:after="0" w:line="480" w:lineRule="auto"/>
        <w:ind w:left="640" w:hanging="640"/>
        <w:rPr>
          <w:rFonts w:cs="Times"/>
          <w:noProof/>
          <w:lang w:val="de-DE"/>
        </w:rPr>
      </w:pPr>
      <w:r w:rsidRPr="003145F0">
        <w:rPr>
          <w:rFonts w:cs="Times"/>
          <w:noProof/>
          <w:lang w:val="de-DE"/>
        </w:rPr>
        <w:t>(53)</w:t>
      </w:r>
      <w:r w:rsidRPr="003145F0">
        <w:rPr>
          <w:rFonts w:cs="Times"/>
          <w:noProof/>
          <w:lang w:val="de-DE"/>
        </w:rPr>
        <w:tab/>
        <w:t xml:space="preserve">Wigner, E. </w:t>
      </w:r>
      <w:r w:rsidRPr="003145F0">
        <w:rPr>
          <w:rFonts w:cs="Times"/>
          <w:i/>
          <w:iCs/>
          <w:noProof/>
          <w:lang w:val="de-DE"/>
        </w:rPr>
        <w:t>The Collected Works of Eugene Paul Wigner Part A: The Scientific Papers</w:t>
      </w:r>
      <w:r w:rsidRPr="003145F0">
        <w:rPr>
          <w:rFonts w:cs="Times"/>
          <w:noProof/>
          <w:lang w:val="de-DE"/>
        </w:rPr>
        <w:t>; 1993.</w:t>
      </w:r>
    </w:p>
    <w:p w14:paraId="066319F6"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(54)</w:t>
      </w:r>
      <w:r w:rsidRPr="00230CB5">
        <w:rPr>
          <w:rFonts w:cs="Times"/>
          <w:noProof/>
        </w:rPr>
        <w:tab/>
        <w:t xml:space="preserve">Lescos, L.; Sitkiewicz, S. P.; Beaujean, P.; Blanchard-Desce, M.; Champagne, B.; Matito, E.; Castet, F. Performance of DFT Functionals for Calculating the Second-Order Nonlinear Optical Properties of Dipolar Merocyanines. </w:t>
      </w:r>
      <w:r w:rsidRPr="00230CB5">
        <w:rPr>
          <w:rFonts w:cs="Times"/>
          <w:i/>
          <w:iCs/>
          <w:noProof/>
        </w:rPr>
        <w:t>Phys. Chem. Chem. Phys.</w:t>
      </w:r>
      <w:r w:rsidRPr="00230CB5">
        <w:rPr>
          <w:rFonts w:cs="Times"/>
          <w:noProof/>
        </w:rPr>
        <w:t xml:space="preserve"> </w:t>
      </w:r>
      <w:r w:rsidRPr="00230CB5">
        <w:rPr>
          <w:rFonts w:cs="Times"/>
          <w:b/>
          <w:bCs/>
          <w:noProof/>
        </w:rPr>
        <w:t>2020</w:t>
      </w:r>
      <w:r w:rsidRPr="00230CB5">
        <w:rPr>
          <w:rFonts w:cs="Times"/>
          <w:noProof/>
        </w:rPr>
        <w:t xml:space="preserve">, </w:t>
      </w:r>
      <w:r w:rsidRPr="00230CB5">
        <w:rPr>
          <w:rFonts w:cs="Times"/>
          <w:i/>
          <w:iCs/>
          <w:noProof/>
        </w:rPr>
        <w:t>22</w:t>
      </w:r>
      <w:r w:rsidRPr="00230CB5">
        <w:rPr>
          <w:rFonts w:cs="Times"/>
          <w:noProof/>
        </w:rPr>
        <w:t xml:space="preserve"> (29), 16579–16594. https://doi.org/10.1039/d0cp02992k.</w:t>
      </w:r>
    </w:p>
    <w:p w14:paraId="22E7AD30"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(55)</w:t>
      </w:r>
      <w:r w:rsidRPr="00230CB5">
        <w:rPr>
          <w:rFonts w:cs="Times"/>
          <w:noProof/>
        </w:rPr>
        <w:tab/>
        <w:t xml:space="preserve">Garrett, K.; Sosa Vazquez, X.; Egri, S. B.; Wilmer, J.; Johnson, L. E.; Robinson, B. H.; Isborn, C. M. Optimum Exchange for Calculation of Excitation Energies and Hyperpolarizabilities of Organic Electro-Optic Chromophores. </w:t>
      </w:r>
      <w:r w:rsidRPr="00230CB5">
        <w:rPr>
          <w:rFonts w:cs="Times"/>
          <w:i/>
          <w:iCs/>
          <w:noProof/>
        </w:rPr>
        <w:t>J. Chem. Theory Comput.</w:t>
      </w:r>
      <w:r w:rsidRPr="00230CB5">
        <w:rPr>
          <w:rFonts w:cs="Times"/>
          <w:noProof/>
        </w:rPr>
        <w:t xml:space="preserve"> </w:t>
      </w:r>
      <w:r w:rsidRPr="00230CB5">
        <w:rPr>
          <w:rFonts w:cs="Times"/>
          <w:b/>
          <w:bCs/>
          <w:noProof/>
        </w:rPr>
        <w:t>2014</w:t>
      </w:r>
      <w:r w:rsidRPr="00230CB5">
        <w:rPr>
          <w:rFonts w:cs="Times"/>
          <w:noProof/>
        </w:rPr>
        <w:t xml:space="preserve">, </w:t>
      </w:r>
      <w:r w:rsidRPr="00230CB5">
        <w:rPr>
          <w:rFonts w:cs="Times"/>
          <w:i/>
          <w:iCs/>
          <w:noProof/>
        </w:rPr>
        <w:t>10</w:t>
      </w:r>
      <w:r w:rsidRPr="00230CB5">
        <w:rPr>
          <w:rFonts w:cs="Times"/>
          <w:noProof/>
        </w:rPr>
        <w:t xml:space="preserve"> (9), 3821–3831. https://doi.org/10.1021/ct500528z.</w:t>
      </w:r>
    </w:p>
    <w:p w14:paraId="2CEBD478"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(56)</w:t>
      </w:r>
      <w:r w:rsidRPr="00230CB5">
        <w:rPr>
          <w:rFonts w:cs="Times"/>
          <w:noProof/>
        </w:rPr>
        <w:tab/>
        <w:t xml:space="preserve">Ferrero, M.; Rérat, M.; Kirtman, B.; Dovesi, R. Calculation of First and Second Static Hyperpolarizabilities of One- to Three-Dimensional Periodic Compounds. Implementation in the CRYSTAL Code. </w:t>
      </w:r>
      <w:r w:rsidRPr="00230CB5">
        <w:rPr>
          <w:rFonts w:cs="Times"/>
          <w:i/>
          <w:iCs/>
          <w:noProof/>
        </w:rPr>
        <w:t>J. Chem. Phys.</w:t>
      </w:r>
      <w:r w:rsidRPr="00230CB5">
        <w:rPr>
          <w:rFonts w:cs="Times"/>
          <w:noProof/>
        </w:rPr>
        <w:t xml:space="preserve"> </w:t>
      </w:r>
      <w:r w:rsidRPr="00230CB5">
        <w:rPr>
          <w:rFonts w:cs="Times"/>
          <w:b/>
          <w:bCs/>
          <w:noProof/>
        </w:rPr>
        <w:t>2008</w:t>
      </w:r>
      <w:r w:rsidRPr="00230CB5">
        <w:rPr>
          <w:rFonts w:cs="Times"/>
          <w:noProof/>
        </w:rPr>
        <w:t xml:space="preserve">, </w:t>
      </w:r>
      <w:r w:rsidRPr="00230CB5">
        <w:rPr>
          <w:rFonts w:cs="Times"/>
          <w:i/>
          <w:iCs/>
          <w:noProof/>
        </w:rPr>
        <w:t>129</w:t>
      </w:r>
      <w:r w:rsidRPr="00230CB5">
        <w:rPr>
          <w:rFonts w:cs="Times"/>
          <w:noProof/>
        </w:rPr>
        <w:t xml:space="preserve"> (24). https://doi.org/10.1063/1.3043366.</w:t>
      </w:r>
    </w:p>
    <w:p w14:paraId="6E42C4C0"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lastRenderedPageBreak/>
        <w:t>(57)</w:t>
      </w:r>
      <w:r w:rsidRPr="00230CB5">
        <w:rPr>
          <w:rFonts w:cs="Times"/>
          <w:noProof/>
        </w:rPr>
        <w:tab/>
        <w:t xml:space="preserve">Böttcher, C. J. F. </w:t>
      </w:r>
      <w:r w:rsidRPr="00230CB5">
        <w:rPr>
          <w:rFonts w:cs="Times"/>
          <w:i/>
          <w:iCs/>
          <w:noProof/>
        </w:rPr>
        <w:t>Theory of Electric Polarization</w:t>
      </w:r>
      <w:r w:rsidRPr="00230CB5">
        <w:rPr>
          <w:rFonts w:cs="Times"/>
          <w:noProof/>
        </w:rPr>
        <w:t>; Elsevier Scientific Publishing Company: New York, 1973.</w:t>
      </w:r>
    </w:p>
    <w:p w14:paraId="1282ECB1"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(58)</w:t>
      </w:r>
      <w:r w:rsidRPr="00230CB5">
        <w:rPr>
          <w:rFonts w:cs="Times"/>
          <w:noProof/>
        </w:rPr>
        <w:tab/>
        <w:t xml:space="preserve">Campo, J.; Desmet, F.; Wenseleers, W.; Goovaerts, E. Highly Sensitive Setup for Tunable Wavelength Hyper-Rayleigh Scattering with Parallel Detection and Calibration Data for Various Solvents. </w:t>
      </w:r>
      <w:r w:rsidRPr="00230CB5">
        <w:rPr>
          <w:rFonts w:cs="Times"/>
          <w:i/>
          <w:iCs/>
          <w:noProof/>
        </w:rPr>
        <w:t>Opt. Express</w:t>
      </w:r>
      <w:r w:rsidRPr="00230CB5">
        <w:rPr>
          <w:rFonts w:cs="Times"/>
          <w:noProof/>
        </w:rPr>
        <w:t xml:space="preserve"> </w:t>
      </w:r>
      <w:r w:rsidRPr="00230CB5">
        <w:rPr>
          <w:rFonts w:cs="Times"/>
          <w:b/>
          <w:bCs/>
          <w:noProof/>
        </w:rPr>
        <w:t>2009</w:t>
      </w:r>
      <w:r w:rsidRPr="00230CB5">
        <w:rPr>
          <w:rFonts w:cs="Times"/>
          <w:noProof/>
        </w:rPr>
        <w:t xml:space="preserve">, </w:t>
      </w:r>
      <w:r w:rsidRPr="00230CB5">
        <w:rPr>
          <w:rFonts w:cs="Times"/>
          <w:i/>
          <w:iCs/>
          <w:noProof/>
        </w:rPr>
        <w:t>17</w:t>
      </w:r>
      <w:r w:rsidRPr="00230CB5">
        <w:rPr>
          <w:rFonts w:cs="Times"/>
          <w:noProof/>
        </w:rPr>
        <w:t xml:space="preserve"> (6), 4587. https://doi.org/10.1364/oe.17.004587.</w:t>
      </w:r>
    </w:p>
    <w:p w14:paraId="43BF0E5A"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(59)</w:t>
      </w:r>
      <w:r w:rsidRPr="00230CB5">
        <w:rPr>
          <w:rFonts w:cs="Times"/>
          <w:noProof/>
        </w:rPr>
        <w:tab/>
        <w:t xml:space="preserve">Oudar, J. L.; Chemla, D. S. Hyperpolarizabilities of the Nitroanilines and Their Relations to the Excited State Dipole Moment. </w:t>
      </w:r>
      <w:r w:rsidRPr="00230CB5">
        <w:rPr>
          <w:rFonts w:cs="Times"/>
          <w:i/>
          <w:iCs/>
          <w:noProof/>
        </w:rPr>
        <w:t>J. Chem. Phys.</w:t>
      </w:r>
      <w:r w:rsidRPr="00230CB5">
        <w:rPr>
          <w:rFonts w:cs="Times"/>
          <w:noProof/>
        </w:rPr>
        <w:t xml:space="preserve"> </w:t>
      </w:r>
      <w:r w:rsidRPr="00230CB5">
        <w:rPr>
          <w:rFonts w:cs="Times"/>
          <w:b/>
          <w:bCs/>
          <w:noProof/>
        </w:rPr>
        <w:t>1976</w:t>
      </w:r>
      <w:r w:rsidRPr="00230CB5">
        <w:rPr>
          <w:rFonts w:cs="Times"/>
          <w:noProof/>
        </w:rPr>
        <w:t xml:space="preserve">, </w:t>
      </w:r>
      <w:r w:rsidRPr="00230CB5">
        <w:rPr>
          <w:rFonts w:cs="Times"/>
          <w:i/>
          <w:iCs/>
          <w:noProof/>
        </w:rPr>
        <w:t>66</w:t>
      </w:r>
      <w:r w:rsidRPr="00230CB5">
        <w:rPr>
          <w:rFonts w:cs="Times"/>
          <w:noProof/>
        </w:rPr>
        <w:t xml:space="preserve"> (6), 2664–2668. https://doi.org/10.1063/1.434213.</w:t>
      </w:r>
    </w:p>
    <w:p w14:paraId="13967A8D"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(60)</w:t>
      </w:r>
      <w:r w:rsidRPr="00230CB5">
        <w:rPr>
          <w:rFonts w:cs="Times"/>
          <w:noProof/>
        </w:rPr>
        <w:tab/>
        <w:t xml:space="preserve">Boyd, R. W. </w:t>
      </w:r>
      <w:r w:rsidRPr="00230CB5">
        <w:rPr>
          <w:rFonts w:cs="Times"/>
          <w:i/>
          <w:iCs/>
          <w:noProof/>
        </w:rPr>
        <w:t>Nonlinear Optics</w:t>
      </w:r>
      <w:r w:rsidRPr="00230CB5">
        <w:rPr>
          <w:rFonts w:cs="Times"/>
          <w:noProof/>
        </w:rPr>
        <w:t>; Academic press, 2003.</w:t>
      </w:r>
    </w:p>
    <w:p w14:paraId="0EE81D43"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(61)</w:t>
      </w:r>
      <w:r w:rsidRPr="00230CB5">
        <w:rPr>
          <w:rFonts w:cs="Times"/>
          <w:noProof/>
        </w:rPr>
        <w:tab/>
        <w:t xml:space="preserve">Yao, K.; Meng, Q.; Bulone, V.; Zhou, Q. Flexible and Responsive Chiral Nematic Cellulose Nanocrystal/Poly(Ethylene Glycol) Composite Films with Uniform and Tunable Structural Color. </w:t>
      </w:r>
      <w:r w:rsidRPr="00230CB5">
        <w:rPr>
          <w:rFonts w:cs="Times"/>
          <w:i/>
          <w:iCs/>
          <w:noProof/>
        </w:rPr>
        <w:t>Adv. Mater.</w:t>
      </w:r>
      <w:r w:rsidRPr="00230CB5">
        <w:rPr>
          <w:rFonts w:cs="Times"/>
          <w:noProof/>
        </w:rPr>
        <w:t xml:space="preserve"> </w:t>
      </w:r>
      <w:r w:rsidRPr="00230CB5">
        <w:rPr>
          <w:rFonts w:cs="Times"/>
          <w:b/>
          <w:bCs/>
          <w:noProof/>
        </w:rPr>
        <w:t>2017</w:t>
      </w:r>
      <w:r w:rsidRPr="00230CB5">
        <w:rPr>
          <w:rFonts w:cs="Times"/>
          <w:noProof/>
        </w:rPr>
        <w:t xml:space="preserve">, </w:t>
      </w:r>
      <w:r w:rsidRPr="00230CB5">
        <w:rPr>
          <w:rFonts w:cs="Times"/>
          <w:i/>
          <w:iCs/>
          <w:noProof/>
        </w:rPr>
        <w:t>29</w:t>
      </w:r>
      <w:r w:rsidRPr="00230CB5">
        <w:rPr>
          <w:rFonts w:cs="Times"/>
          <w:noProof/>
        </w:rPr>
        <w:t xml:space="preserve"> (28), 1–8. https://doi.org/10.1002/adma.201701323.</w:t>
      </w:r>
    </w:p>
    <w:p w14:paraId="79B742FE" w14:textId="77777777" w:rsidR="00230CB5" w:rsidRPr="00230CB5" w:rsidRDefault="00230CB5" w:rsidP="00230CB5">
      <w:pPr>
        <w:widowControl w:val="0"/>
        <w:autoSpaceDE w:val="0"/>
        <w:autoSpaceDN w:val="0"/>
        <w:adjustRightInd w:val="0"/>
        <w:spacing w:after="0" w:line="480" w:lineRule="auto"/>
        <w:ind w:left="640" w:hanging="640"/>
        <w:rPr>
          <w:rFonts w:cs="Times"/>
          <w:noProof/>
        </w:rPr>
      </w:pPr>
      <w:r w:rsidRPr="00230CB5">
        <w:rPr>
          <w:rFonts w:cs="Times"/>
          <w:noProof/>
        </w:rPr>
        <w:t>(62)</w:t>
      </w:r>
      <w:r w:rsidRPr="00230CB5">
        <w:rPr>
          <w:rFonts w:cs="Times"/>
          <w:noProof/>
        </w:rPr>
        <w:tab/>
        <w:t xml:space="preserve">De Coene, Y.; Van Cleuvenbergen, S.; Van Steerteghem, N.; Baekelandt, V.; Verbiest, T.; Bartic, C.; Clays, K. Fluorescence-Free Spectral Dispersion of the Molecular First Hyperpolarizability of Bacteriorhodopsin. </w:t>
      </w:r>
      <w:r w:rsidRPr="00230CB5">
        <w:rPr>
          <w:rFonts w:cs="Times"/>
          <w:i/>
          <w:iCs/>
          <w:noProof/>
        </w:rPr>
        <w:t>J. Phys. Chem. C</w:t>
      </w:r>
      <w:r w:rsidRPr="00230CB5">
        <w:rPr>
          <w:rFonts w:cs="Times"/>
          <w:noProof/>
        </w:rPr>
        <w:t xml:space="preserve"> </w:t>
      </w:r>
      <w:r w:rsidRPr="00230CB5">
        <w:rPr>
          <w:rFonts w:cs="Times"/>
          <w:b/>
          <w:bCs/>
          <w:noProof/>
        </w:rPr>
        <w:t>2017</w:t>
      </w:r>
      <w:r w:rsidRPr="00230CB5">
        <w:rPr>
          <w:rFonts w:cs="Times"/>
          <w:noProof/>
        </w:rPr>
        <w:t xml:space="preserve">, </w:t>
      </w:r>
      <w:r w:rsidRPr="00230CB5">
        <w:rPr>
          <w:rFonts w:cs="Times"/>
          <w:i/>
          <w:iCs/>
          <w:noProof/>
        </w:rPr>
        <w:t>121</w:t>
      </w:r>
      <w:r w:rsidRPr="00230CB5">
        <w:rPr>
          <w:rFonts w:cs="Times"/>
          <w:noProof/>
        </w:rPr>
        <w:t xml:space="preserve"> (12), 6909–6915. https://doi.org/10.1021/acs.jpcc.7b00625.</w:t>
      </w:r>
    </w:p>
    <w:p w14:paraId="4AC834D6" w14:textId="5A12B059" w:rsidR="009246AD" w:rsidRDefault="00184F02" w:rsidP="0042720A">
      <w:pPr>
        <w:pStyle w:val="TFReferencesSection"/>
        <w:spacing w:after="0"/>
        <w:ind w:firstLine="0"/>
      </w:pPr>
      <w:r>
        <w:fldChar w:fldCharType="end"/>
      </w:r>
    </w:p>
    <w:sectPr w:rsidR="009246AD" w:rsidSect="004526E8">
      <w:footerReference w:type="even" r:id="rId23"/>
      <w:footerReference w:type="default" r:id="rId24"/>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146A3" w14:textId="77777777" w:rsidR="005C6B0D" w:rsidRDefault="005C6B0D">
      <w:r>
        <w:separator/>
      </w:r>
    </w:p>
  </w:endnote>
  <w:endnote w:type="continuationSeparator" w:id="0">
    <w:p w14:paraId="203931A8" w14:textId="77777777" w:rsidR="005C6B0D" w:rsidRDefault="005C6B0D">
      <w:r>
        <w:continuationSeparator/>
      </w:r>
    </w:p>
  </w:endnote>
  <w:endnote w:type="continuationNotice" w:id="1">
    <w:p w14:paraId="2F5921D1" w14:textId="77777777" w:rsidR="005C6B0D" w:rsidRDefault="005C6B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696D1"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248654"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5E57C"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11117C86"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55C24" w14:textId="77777777" w:rsidR="005C6B0D" w:rsidRDefault="005C6B0D">
      <w:r>
        <w:separator/>
      </w:r>
    </w:p>
  </w:footnote>
  <w:footnote w:type="continuationSeparator" w:id="0">
    <w:p w14:paraId="7918F787" w14:textId="77777777" w:rsidR="005C6B0D" w:rsidRDefault="005C6B0D">
      <w:r>
        <w:continuationSeparator/>
      </w:r>
    </w:p>
  </w:footnote>
  <w:footnote w:type="continuationNotice" w:id="1">
    <w:p w14:paraId="30896484" w14:textId="77777777" w:rsidR="005C6B0D" w:rsidRDefault="005C6B0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021711020">
    <w:abstractNumId w:val="8"/>
  </w:num>
  <w:num w:numId="2" w16cid:durableId="743988177">
    <w:abstractNumId w:val="6"/>
  </w:num>
  <w:num w:numId="3" w16cid:durableId="82923845">
    <w:abstractNumId w:val="9"/>
  </w:num>
  <w:num w:numId="4" w16cid:durableId="170224898">
    <w:abstractNumId w:val="7"/>
  </w:num>
  <w:num w:numId="5" w16cid:durableId="1426070648">
    <w:abstractNumId w:val="5"/>
  </w:num>
  <w:num w:numId="6" w16cid:durableId="1160341995">
    <w:abstractNumId w:val="4"/>
  </w:num>
  <w:num w:numId="7" w16cid:durableId="476797812">
    <w:abstractNumId w:val="3"/>
  </w:num>
  <w:num w:numId="8" w16cid:durableId="1935626655">
    <w:abstractNumId w:val="1"/>
  </w:num>
  <w:num w:numId="9" w16cid:durableId="319189300">
    <w:abstractNumId w:val="0"/>
  </w:num>
  <w:num w:numId="10" w16cid:durableId="3346552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37"/>
    <w:rsid w:val="000002F2"/>
    <w:rsid w:val="000018C0"/>
    <w:rsid w:val="0000612D"/>
    <w:rsid w:val="00010BE1"/>
    <w:rsid w:val="000126B0"/>
    <w:rsid w:val="0001331C"/>
    <w:rsid w:val="000144A6"/>
    <w:rsid w:val="00016188"/>
    <w:rsid w:val="000175D4"/>
    <w:rsid w:val="00017E3E"/>
    <w:rsid w:val="00017FBC"/>
    <w:rsid w:val="00020AF3"/>
    <w:rsid w:val="00021B2B"/>
    <w:rsid w:val="00022884"/>
    <w:rsid w:val="00022BC3"/>
    <w:rsid w:val="00023216"/>
    <w:rsid w:val="000233DC"/>
    <w:rsid w:val="000261D4"/>
    <w:rsid w:val="0003057B"/>
    <w:rsid w:val="000342EE"/>
    <w:rsid w:val="00034AE3"/>
    <w:rsid w:val="00036035"/>
    <w:rsid w:val="0003685F"/>
    <w:rsid w:val="000369F1"/>
    <w:rsid w:val="00040387"/>
    <w:rsid w:val="00040723"/>
    <w:rsid w:val="00040A59"/>
    <w:rsid w:val="000410A2"/>
    <w:rsid w:val="000417E6"/>
    <w:rsid w:val="00041A00"/>
    <w:rsid w:val="00041C8E"/>
    <w:rsid w:val="00042932"/>
    <w:rsid w:val="000510C9"/>
    <w:rsid w:val="000526F8"/>
    <w:rsid w:val="00052AB6"/>
    <w:rsid w:val="00053101"/>
    <w:rsid w:val="00053708"/>
    <w:rsid w:val="00055364"/>
    <w:rsid w:val="00056020"/>
    <w:rsid w:val="0005660F"/>
    <w:rsid w:val="000566E6"/>
    <w:rsid w:val="00057888"/>
    <w:rsid w:val="00061B9C"/>
    <w:rsid w:val="00063ADF"/>
    <w:rsid w:val="00064515"/>
    <w:rsid w:val="000666B5"/>
    <w:rsid w:val="00067268"/>
    <w:rsid w:val="00067553"/>
    <w:rsid w:val="000702AD"/>
    <w:rsid w:val="0007127F"/>
    <w:rsid w:val="00072175"/>
    <w:rsid w:val="00076011"/>
    <w:rsid w:val="000806F7"/>
    <w:rsid w:val="0008132C"/>
    <w:rsid w:val="0008242B"/>
    <w:rsid w:val="00082D19"/>
    <w:rsid w:val="00083B9D"/>
    <w:rsid w:val="00084A4A"/>
    <w:rsid w:val="00085D8F"/>
    <w:rsid w:val="00086601"/>
    <w:rsid w:val="0008687D"/>
    <w:rsid w:val="00090C9D"/>
    <w:rsid w:val="00090F6C"/>
    <w:rsid w:val="00091718"/>
    <w:rsid w:val="00091964"/>
    <w:rsid w:val="00092DB4"/>
    <w:rsid w:val="00095022"/>
    <w:rsid w:val="0009618D"/>
    <w:rsid w:val="00096CF9"/>
    <w:rsid w:val="000A0E4D"/>
    <w:rsid w:val="000A14F8"/>
    <w:rsid w:val="000A25DA"/>
    <w:rsid w:val="000A2BF7"/>
    <w:rsid w:val="000A3012"/>
    <w:rsid w:val="000A4B9F"/>
    <w:rsid w:val="000A563A"/>
    <w:rsid w:val="000A570A"/>
    <w:rsid w:val="000A5D15"/>
    <w:rsid w:val="000A7B0A"/>
    <w:rsid w:val="000B1CF5"/>
    <w:rsid w:val="000B29F1"/>
    <w:rsid w:val="000B2EEB"/>
    <w:rsid w:val="000B2F28"/>
    <w:rsid w:val="000B3952"/>
    <w:rsid w:val="000B3A3B"/>
    <w:rsid w:val="000B3F43"/>
    <w:rsid w:val="000B4226"/>
    <w:rsid w:val="000B5610"/>
    <w:rsid w:val="000B6D90"/>
    <w:rsid w:val="000B7729"/>
    <w:rsid w:val="000B7B5A"/>
    <w:rsid w:val="000C05CC"/>
    <w:rsid w:val="000C18FE"/>
    <w:rsid w:val="000C1D8C"/>
    <w:rsid w:val="000C20BC"/>
    <w:rsid w:val="000C2F8E"/>
    <w:rsid w:val="000C4B30"/>
    <w:rsid w:val="000C5E08"/>
    <w:rsid w:val="000C6044"/>
    <w:rsid w:val="000C6E16"/>
    <w:rsid w:val="000C7A27"/>
    <w:rsid w:val="000D018C"/>
    <w:rsid w:val="000D07AA"/>
    <w:rsid w:val="000D0B7B"/>
    <w:rsid w:val="000D0BFF"/>
    <w:rsid w:val="000D1272"/>
    <w:rsid w:val="000D1819"/>
    <w:rsid w:val="000D1E94"/>
    <w:rsid w:val="000D264E"/>
    <w:rsid w:val="000D27E6"/>
    <w:rsid w:val="000D40C3"/>
    <w:rsid w:val="000D5A19"/>
    <w:rsid w:val="000D6ACD"/>
    <w:rsid w:val="000D6E6F"/>
    <w:rsid w:val="000D7443"/>
    <w:rsid w:val="000E34DC"/>
    <w:rsid w:val="000E5554"/>
    <w:rsid w:val="000E5756"/>
    <w:rsid w:val="000E622D"/>
    <w:rsid w:val="000F10F6"/>
    <w:rsid w:val="000F23B1"/>
    <w:rsid w:val="000F2755"/>
    <w:rsid w:val="000F407A"/>
    <w:rsid w:val="000F5329"/>
    <w:rsid w:val="000F6057"/>
    <w:rsid w:val="000F6CAD"/>
    <w:rsid w:val="001002FC"/>
    <w:rsid w:val="00100521"/>
    <w:rsid w:val="001005B5"/>
    <w:rsid w:val="0010108C"/>
    <w:rsid w:val="0010209D"/>
    <w:rsid w:val="00102CE1"/>
    <w:rsid w:val="00103452"/>
    <w:rsid w:val="001036B3"/>
    <w:rsid w:val="001058D1"/>
    <w:rsid w:val="0010774F"/>
    <w:rsid w:val="00110245"/>
    <w:rsid w:val="00110F41"/>
    <w:rsid w:val="00110FAA"/>
    <w:rsid w:val="0011131A"/>
    <w:rsid w:val="00111442"/>
    <w:rsid w:val="0011152B"/>
    <w:rsid w:val="00111A32"/>
    <w:rsid w:val="00113641"/>
    <w:rsid w:val="00113AD4"/>
    <w:rsid w:val="001152C8"/>
    <w:rsid w:val="00115426"/>
    <w:rsid w:val="00115F74"/>
    <w:rsid w:val="00116305"/>
    <w:rsid w:val="001163F8"/>
    <w:rsid w:val="00122A08"/>
    <w:rsid w:val="00123A74"/>
    <w:rsid w:val="00124104"/>
    <w:rsid w:val="00125138"/>
    <w:rsid w:val="0012677E"/>
    <w:rsid w:val="001279A8"/>
    <w:rsid w:val="001313C9"/>
    <w:rsid w:val="00132DC3"/>
    <w:rsid w:val="0013306B"/>
    <w:rsid w:val="00135C49"/>
    <w:rsid w:val="001366A5"/>
    <w:rsid w:val="00136DFC"/>
    <w:rsid w:val="00140B9B"/>
    <w:rsid w:val="00142116"/>
    <w:rsid w:val="001427CB"/>
    <w:rsid w:val="00142CF9"/>
    <w:rsid w:val="0014362B"/>
    <w:rsid w:val="0014C522"/>
    <w:rsid w:val="00151525"/>
    <w:rsid w:val="00152CC3"/>
    <w:rsid w:val="00153269"/>
    <w:rsid w:val="00154D63"/>
    <w:rsid w:val="00154FDC"/>
    <w:rsid w:val="00156934"/>
    <w:rsid w:val="00156CB1"/>
    <w:rsid w:val="00157AB4"/>
    <w:rsid w:val="00157D8D"/>
    <w:rsid w:val="00160ABD"/>
    <w:rsid w:val="00160F4C"/>
    <w:rsid w:val="0016161D"/>
    <w:rsid w:val="001626E7"/>
    <w:rsid w:val="00164B4D"/>
    <w:rsid w:val="001663A0"/>
    <w:rsid w:val="00167AD3"/>
    <w:rsid w:val="00170B33"/>
    <w:rsid w:val="0017194B"/>
    <w:rsid w:val="00173236"/>
    <w:rsid w:val="00174661"/>
    <w:rsid w:val="001755CE"/>
    <w:rsid w:val="00175993"/>
    <w:rsid w:val="00176666"/>
    <w:rsid w:val="0017705D"/>
    <w:rsid w:val="00177956"/>
    <w:rsid w:val="001803D1"/>
    <w:rsid w:val="00180C9B"/>
    <w:rsid w:val="00181952"/>
    <w:rsid w:val="00181FD6"/>
    <w:rsid w:val="001821EB"/>
    <w:rsid w:val="00182316"/>
    <w:rsid w:val="00182322"/>
    <w:rsid w:val="0018245A"/>
    <w:rsid w:val="00182842"/>
    <w:rsid w:val="00182D1C"/>
    <w:rsid w:val="001844FE"/>
    <w:rsid w:val="00184F02"/>
    <w:rsid w:val="0018534F"/>
    <w:rsid w:val="00185586"/>
    <w:rsid w:val="00185B42"/>
    <w:rsid w:val="001863B9"/>
    <w:rsid w:val="00187186"/>
    <w:rsid w:val="001873F6"/>
    <w:rsid w:val="00187437"/>
    <w:rsid w:val="00190491"/>
    <w:rsid w:val="00193948"/>
    <w:rsid w:val="00193B0E"/>
    <w:rsid w:val="00194719"/>
    <w:rsid w:val="00194B15"/>
    <w:rsid w:val="00195ACA"/>
    <w:rsid w:val="0019772F"/>
    <w:rsid w:val="00197E3A"/>
    <w:rsid w:val="001A0B70"/>
    <w:rsid w:val="001A1747"/>
    <w:rsid w:val="001A184C"/>
    <w:rsid w:val="001A2663"/>
    <w:rsid w:val="001A319E"/>
    <w:rsid w:val="001A3616"/>
    <w:rsid w:val="001A4183"/>
    <w:rsid w:val="001A5EFD"/>
    <w:rsid w:val="001A7A90"/>
    <w:rsid w:val="001B1157"/>
    <w:rsid w:val="001B12F3"/>
    <w:rsid w:val="001B1618"/>
    <w:rsid w:val="001B3051"/>
    <w:rsid w:val="001B3B74"/>
    <w:rsid w:val="001B4ABF"/>
    <w:rsid w:val="001C00B3"/>
    <w:rsid w:val="001C2553"/>
    <w:rsid w:val="001C25CB"/>
    <w:rsid w:val="001C29B1"/>
    <w:rsid w:val="001C6000"/>
    <w:rsid w:val="001C630E"/>
    <w:rsid w:val="001C6A6A"/>
    <w:rsid w:val="001C73A7"/>
    <w:rsid w:val="001C7430"/>
    <w:rsid w:val="001D06A8"/>
    <w:rsid w:val="001D198D"/>
    <w:rsid w:val="001D25C7"/>
    <w:rsid w:val="001D349A"/>
    <w:rsid w:val="001D4867"/>
    <w:rsid w:val="001D7962"/>
    <w:rsid w:val="001E27E0"/>
    <w:rsid w:val="001E2EF5"/>
    <w:rsid w:val="001E2F57"/>
    <w:rsid w:val="001E5636"/>
    <w:rsid w:val="001E5907"/>
    <w:rsid w:val="001E64BD"/>
    <w:rsid w:val="001E7A34"/>
    <w:rsid w:val="001E7AF1"/>
    <w:rsid w:val="001F13B6"/>
    <w:rsid w:val="001F2620"/>
    <w:rsid w:val="001F3D72"/>
    <w:rsid w:val="001F463F"/>
    <w:rsid w:val="001F6CD0"/>
    <w:rsid w:val="001F7715"/>
    <w:rsid w:val="0020138C"/>
    <w:rsid w:val="002016EA"/>
    <w:rsid w:val="00201FB1"/>
    <w:rsid w:val="002032F2"/>
    <w:rsid w:val="00203570"/>
    <w:rsid w:val="00203FA9"/>
    <w:rsid w:val="00207CC4"/>
    <w:rsid w:val="002106C9"/>
    <w:rsid w:val="00211150"/>
    <w:rsid w:val="00212488"/>
    <w:rsid w:val="00212B1D"/>
    <w:rsid w:val="00214548"/>
    <w:rsid w:val="0021460A"/>
    <w:rsid w:val="002159CE"/>
    <w:rsid w:val="002204F3"/>
    <w:rsid w:val="00220654"/>
    <w:rsid w:val="0022087A"/>
    <w:rsid w:val="00221432"/>
    <w:rsid w:val="00223F21"/>
    <w:rsid w:val="00224571"/>
    <w:rsid w:val="00230CB5"/>
    <w:rsid w:val="002335F2"/>
    <w:rsid w:val="00234A80"/>
    <w:rsid w:val="0023712D"/>
    <w:rsid w:val="00240304"/>
    <w:rsid w:val="00240D96"/>
    <w:rsid w:val="002420EA"/>
    <w:rsid w:val="0024303C"/>
    <w:rsid w:val="00243993"/>
    <w:rsid w:val="00243C14"/>
    <w:rsid w:val="0024409E"/>
    <w:rsid w:val="00244124"/>
    <w:rsid w:val="00245596"/>
    <w:rsid w:val="00246BB8"/>
    <w:rsid w:val="00247BC0"/>
    <w:rsid w:val="00247C67"/>
    <w:rsid w:val="002527CB"/>
    <w:rsid w:val="00252D35"/>
    <w:rsid w:val="00254386"/>
    <w:rsid w:val="0025490B"/>
    <w:rsid w:val="00254AB0"/>
    <w:rsid w:val="002568A0"/>
    <w:rsid w:val="002616C4"/>
    <w:rsid w:val="00261B8E"/>
    <w:rsid w:val="002631F8"/>
    <w:rsid w:val="002649DC"/>
    <w:rsid w:val="00264FE4"/>
    <w:rsid w:val="00266E19"/>
    <w:rsid w:val="0026708F"/>
    <w:rsid w:val="00267145"/>
    <w:rsid w:val="002675AE"/>
    <w:rsid w:val="00267B0E"/>
    <w:rsid w:val="002702D8"/>
    <w:rsid w:val="002709F7"/>
    <w:rsid w:val="00270DCF"/>
    <w:rsid w:val="00271A02"/>
    <w:rsid w:val="00271C9A"/>
    <w:rsid w:val="0027347D"/>
    <w:rsid w:val="002750D7"/>
    <w:rsid w:val="00275AA9"/>
    <w:rsid w:val="00276992"/>
    <w:rsid w:val="002803B6"/>
    <w:rsid w:val="002812FB"/>
    <w:rsid w:val="0028388D"/>
    <w:rsid w:val="00285748"/>
    <w:rsid w:val="00285FAD"/>
    <w:rsid w:val="002872E6"/>
    <w:rsid w:val="00287FED"/>
    <w:rsid w:val="00290D60"/>
    <w:rsid w:val="00291C39"/>
    <w:rsid w:val="00293F30"/>
    <w:rsid w:val="002941D1"/>
    <w:rsid w:val="002946C6"/>
    <w:rsid w:val="002958A6"/>
    <w:rsid w:val="00295EF0"/>
    <w:rsid w:val="00295FDF"/>
    <w:rsid w:val="00296561"/>
    <w:rsid w:val="00296920"/>
    <w:rsid w:val="00297BD1"/>
    <w:rsid w:val="002A01E0"/>
    <w:rsid w:val="002A0B07"/>
    <w:rsid w:val="002A6774"/>
    <w:rsid w:val="002A7493"/>
    <w:rsid w:val="002B07BE"/>
    <w:rsid w:val="002B16F1"/>
    <w:rsid w:val="002B1F8A"/>
    <w:rsid w:val="002B44D5"/>
    <w:rsid w:val="002B4835"/>
    <w:rsid w:val="002B4A22"/>
    <w:rsid w:val="002B609B"/>
    <w:rsid w:val="002B7FDB"/>
    <w:rsid w:val="002C20BC"/>
    <w:rsid w:val="002C3431"/>
    <w:rsid w:val="002C3C81"/>
    <w:rsid w:val="002C3C89"/>
    <w:rsid w:val="002C4186"/>
    <w:rsid w:val="002C5442"/>
    <w:rsid w:val="002C54A2"/>
    <w:rsid w:val="002C6BA8"/>
    <w:rsid w:val="002C7E20"/>
    <w:rsid w:val="002D14BC"/>
    <w:rsid w:val="002D18E8"/>
    <w:rsid w:val="002D2ADD"/>
    <w:rsid w:val="002D2C8B"/>
    <w:rsid w:val="002D30DA"/>
    <w:rsid w:val="002D3175"/>
    <w:rsid w:val="002D3281"/>
    <w:rsid w:val="002D4280"/>
    <w:rsid w:val="002D46E4"/>
    <w:rsid w:val="002D4A25"/>
    <w:rsid w:val="002D53C8"/>
    <w:rsid w:val="002D6A8D"/>
    <w:rsid w:val="002D6C73"/>
    <w:rsid w:val="002D760B"/>
    <w:rsid w:val="002E0388"/>
    <w:rsid w:val="002E1BCE"/>
    <w:rsid w:val="002E1CC4"/>
    <w:rsid w:val="002E1FF4"/>
    <w:rsid w:val="002E44BE"/>
    <w:rsid w:val="002E4649"/>
    <w:rsid w:val="002E4C45"/>
    <w:rsid w:val="002E5AB6"/>
    <w:rsid w:val="002E5EBB"/>
    <w:rsid w:val="002E6548"/>
    <w:rsid w:val="002E6CE5"/>
    <w:rsid w:val="002E6D45"/>
    <w:rsid w:val="002E7101"/>
    <w:rsid w:val="002E7D86"/>
    <w:rsid w:val="002E7E08"/>
    <w:rsid w:val="002F1D32"/>
    <w:rsid w:val="002F28E9"/>
    <w:rsid w:val="002F3131"/>
    <w:rsid w:val="002F34FD"/>
    <w:rsid w:val="002F355D"/>
    <w:rsid w:val="002F40A3"/>
    <w:rsid w:val="002F4DA2"/>
    <w:rsid w:val="002F7DB8"/>
    <w:rsid w:val="00300A26"/>
    <w:rsid w:val="0030116B"/>
    <w:rsid w:val="003046F4"/>
    <w:rsid w:val="00304C42"/>
    <w:rsid w:val="00305401"/>
    <w:rsid w:val="00306089"/>
    <w:rsid w:val="00306EBB"/>
    <w:rsid w:val="00310643"/>
    <w:rsid w:val="003111B5"/>
    <w:rsid w:val="00311AE9"/>
    <w:rsid w:val="00313417"/>
    <w:rsid w:val="0031373B"/>
    <w:rsid w:val="003145F0"/>
    <w:rsid w:val="003149B5"/>
    <w:rsid w:val="00315178"/>
    <w:rsid w:val="003170FF"/>
    <w:rsid w:val="003177B2"/>
    <w:rsid w:val="0032246C"/>
    <w:rsid w:val="00324128"/>
    <w:rsid w:val="003248D2"/>
    <w:rsid w:val="00325C76"/>
    <w:rsid w:val="0032717F"/>
    <w:rsid w:val="0033043C"/>
    <w:rsid w:val="00330A0D"/>
    <w:rsid w:val="003312C2"/>
    <w:rsid w:val="00332834"/>
    <w:rsid w:val="003332BF"/>
    <w:rsid w:val="00333B48"/>
    <w:rsid w:val="00334A4C"/>
    <w:rsid w:val="00334D1B"/>
    <w:rsid w:val="003366FE"/>
    <w:rsid w:val="00336A1C"/>
    <w:rsid w:val="00337534"/>
    <w:rsid w:val="00337836"/>
    <w:rsid w:val="00340546"/>
    <w:rsid w:val="0034110F"/>
    <w:rsid w:val="00341E70"/>
    <w:rsid w:val="003440A3"/>
    <w:rsid w:val="0034461C"/>
    <w:rsid w:val="00346336"/>
    <w:rsid w:val="0034767F"/>
    <w:rsid w:val="0035003E"/>
    <w:rsid w:val="0035279E"/>
    <w:rsid w:val="00352D4E"/>
    <w:rsid w:val="00352EFF"/>
    <w:rsid w:val="003538D2"/>
    <w:rsid w:val="0035535B"/>
    <w:rsid w:val="00355AB4"/>
    <w:rsid w:val="00357558"/>
    <w:rsid w:val="003602B8"/>
    <w:rsid w:val="00360EC7"/>
    <w:rsid w:val="00361E35"/>
    <w:rsid w:val="00362AF2"/>
    <w:rsid w:val="00362B32"/>
    <w:rsid w:val="003664E9"/>
    <w:rsid w:val="00366B12"/>
    <w:rsid w:val="003679A1"/>
    <w:rsid w:val="00367BFB"/>
    <w:rsid w:val="003710B2"/>
    <w:rsid w:val="0037388A"/>
    <w:rsid w:val="00373BE5"/>
    <w:rsid w:val="00374287"/>
    <w:rsid w:val="00374347"/>
    <w:rsid w:val="00374F48"/>
    <w:rsid w:val="00374FE1"/>
    <w:rsid w:val="0037543D"/>
    <w:rsid w:val="003756BE"/>
    <w:rsid w:val="00375FD1"/>
    <w:rsid w:val="00376B90"/>
    <w:rsid w:val="00376F58"/>
    <w:rsid w:val="00377A13"/>
    <w:rsid w:val="00377A5E"/>
    <w:rsid w:val="00381850"/>
    <w:rsid w:val="00381C2C"/>
    <w:rsid w:val="00381C81"/>
    <w:rsid w:val="00382428"/>
    <w:rsid w:val="00383A6A"/>
    <w:rsid w:val="00383B85"/>
    <w:rsid w:val="0038532F"/>
    <w:rsid w:val="00386071"/>
    <w:rsid w:val="00386FE8"/>
    <w:rsid w:val="00387197"/>
    <w:rsid w:val="00387652"/>
    <w:rsid w:val="00390237"/>
    <w:rsid w:val="0039068E"/>
    <w:rsid w:val="003916F0"/>
    <w:rsid w:val="00392FB1"/>
    <w:rsid w:val="00393E48"/>
    <w:rsid w:val="00394C97"/>
    <w:rsid w:val="00397244"/>
    <w:rsid w:val="003976E1"/>
    <w:rsid w:val="003A0B5F"/>
    <w:rsid w:val="003A0B73"/>
    <w:rsid w:val="003A28D0"/>
    <w:rsid w:val="003A42F0"/>
    <w:rsid w:val="003A487F"/>
    <w:rsid w:val="003A4AE8"/>
    <w:rsid w:val="003A5278"/>
    <w:rsid w:val="003A6BCC"/>
    <w:rsid w:val="003A7C5F"/>
    <w:rsid w:val="003B05E2"/>
    <w:rsid w:val="003B14B1"/>
    <w:rsid w:val="003B1695"/>
    <w:rsid w:val="003B35F5"/>
    <w:rsid w:val="003B4AF3"/>
    <w:rsid w:val="003B4B8E"/>
    <w:rsid w:val="003B7A09"/>
    <w:rsid w:val="003C15F1"/>
    <w:rsid w:val="003C176F"/>
    <w:rsid w:val="003C3AD1"/>
    <w:rsid w:val="003C4761"/>
    <w:rsid w:val="003C532D"/>
    <w:rsid w:val="003C5E88"/>
    <w:rsid w:val="003D0156"/>
    <w:rsid w:val="003D41FB"/>
    <w:rsid w:val="003D6FD7"/>
    <w:rsid w:val="003D7298"/>
    <w:rsid w:val="003D7BC8"/>
    <w:rsid w:val="003E02DD"/>
    <w:rsid w:val="003E1F76"/>
    <w:rsid w:val="003E2C9A"/>
    <w:rsid w:val="003E424F"/>
    <w:rsid w:val="003E4BA8"/>
    <w:rsid w:val="003E4BD5"/>
    <w:rsid w:val="003F2478"/>
    <w:rsid w:val="003F2BEE"/>
    <w:rsid w:val="003F39D7"/>
    <w:rsid w:val="003F3B55"/>
    <w:rsid w:val="003F7DDA"/>
    <w:rsid w:val="003F7F13"/>
    <w:rsid w:val="00401521"/>
    <w:rsid w:val="004016E7"/>
    <w:rsid w:val="00401837"/>
    <w:rsid w:val="004019FA"/>
    <w:rsid w:val="00402468"/>
    <w:rsid w:val="00402FC3"/>
    <w:rsid w:val="00403472"/>
    <w:rsid w:val="00404213"/>
    <w:rsid w:val="00404867"/>
    <w:rsid w:val="00404A47"/>
    <w:rsid w:val="00405B4F"/>
    <w:rsid w:val="00406908"/>
    <w:rsid w:val="00407B62"/>
    <w:rsid w:val="00410A04"/>
    <w:rsid w:val="00410E9F"/>
    <w:rsid w:val="00412CD0"/>
    <w:rsid w:val="00413525"/>
    <w:rsid w:val="00413DE8"/>
    <w:rsid w:val="00413E40"/>
    <w:rsid w:val="004154A8"/>
    <w:rsid w:val="00415CCA"/>
    <w:rsid w:val="0041624D"/>
    <w:rsid w:val="00416690"/>
    <w:rsid w:val="00416EEB"/>
    <w:rsid w:val="00417A79"/>
    <w:rsid w:val="00420E65"/>
    <w:rsid w:val="00420E83"/>
    <w:rsid w:val="00420F39"/>
    <w:rsid w:val="00425994"/>
    <w:rsid w:val="00425A65"/>
    <w:rsid w:val="0042720A"/>
    <w:rsid w:val="0043030A"/>
    <w:rsid w:val="00431211"/>
    <w:rsid w:val="00431D27"/>
    <w:rsid w:val="004332A3"/>
    <w:rsid w:val="004345D8"/>
    <w:rsid w:val="004358BB"/>
    <w:rsid w:val="00435E72"/>
    <w:rsid w:val="004363A3"/>
    <w:rsid w:val="00436A66"/>
    <w:rsid w:val="00437AFC"/>
    <w:rsid w:val="0044084C"/>
    <w:rsid w:val="004415CD"/>
    <w:rsid w:val="00443FD0"/>
    <w:rsid w:val="0044499A"/>
    <w:rsid w:val="00445A20"/>
    <w:rsid w:val="0045017C"/>
    <w:rsid w:val="00450BE3"/>
    <w:rsid w:val="00451BAB"/>
    <w:rsid w:val="004526E8"/>
    <w:rsid w:val="0045333A"/>
    <w:rsid w:val="0045360E"/>
    <w:rsid w:val="00453BBC"/>
    <w:rsid w:val="0045609B"/>
    <w:rsid w:val="004578EA"/>
    <w:rsid w:val="00460DB2"/>
    <w:rsid w:val="00460FAB"/>
    <w:rsid w:val="00465D7A"/>
    <w:rsid w:val="004664D4"/>
    <w:rsid w:val="00466DFA"/>
    <w:rsid w:val="00467959"/>
    <w:rsid w:val="00470BEA"/>
    <w:rsid w:val="0047112A"/>
    <w:rsid w:val="0047161C"/>
    <w:rsid w:val="00471BC2"/>
    <w:rsid w:val="00473E22"/>
    <w:rsid w:val="00474C3B"/>
    <w:rsid w:val="004752EE"/>
    <w:rsid w:val="00475432"/>
    <w:rsid w:val="00475B1B"/>
    <w:rsid w:val="00475FD2"/>
    <w:rsid w:val="004769B6"/>
    <w:rsid w:val="00477CD4"/>
    <w:rsid w:val="00480DC3"/>
    <w:rsid w:val="00482125"/>
    <w:rsid w:val="0048304D"/>
    <w:rsid w:val="00483ED4"/>
    <w:rsid w:val="0048598B"/>
    <w:rsid w:val="004861A1"/>
    <w:rsid w:val="004865CD"/>
    <w:rsid w:val="00486C4B"/>
    <w:rsid w:val="00491C3F"/>
    <w:rsid w:val="004927DD"/>
    <w:rsid w:val="0049281F"/>
    <w:rsid w:val="00493F45"/>
    <w:rsid w:val="00493FE9"/>
    <w:rsid w:val="004958C7"/>
    <w:rsid w:val="0049647B"/>
    <w:rsid w:val="004A17FF"/>
    <w:rsid w:val="004A18ED"/>
    <w:rsid w:val="004A227D"/>
    <w:rsid w:val="004A3510"/>
    <w:rsid w:val="004A4F35"/>
    <w:rsid w:val="004A5A7D"/>
    <w:rsid w:val="004A64AC"/>
    <w:rsid w:val="004A7236"/>
    <w:rsid w:val="004B114B"/>
    <w:rsid w:val="004B1569"/>
    <w:rsid w:val="004B3099"/>
    <w:rsid w:val="004B3653"/>
    <w:rsid w:val="004B3B81"/>
    <w:rsid w:val="004B6833"/>
    <w:rsid w:val="004B6944"/>
    <w:rsid w:val="004B6F50"/>
    <w:rsid w:val="004B75DC"/>
    <w:rsid w:val="004C238B"/>
    <w:rsid w:val="004C31E5"/>
    <w:rsid w:val="004C3658"/>
    <w:rsid w:val="004C4B03"/>
    <w:rsid w:val="004C7164"/>
    <w:rsid w:val="004D0769"/>
    <w:rsid w:val="004D507F"/>
    <w:rsid w:val="004D5D51"/>
    <w:rsid w:val="004D68EE"/>
    <w:rsid w:val="004D798D"/>
    <w:rsid w:val="004E00ED"/>
    <w:rsid w:val="004E0708"/>
    <w:rsid w:val="004E283C"/>
    <w:rsid w:val="004E400D"/>
    <w:rsid w:val="004E423E"/>
    <w:rsid w:val="004E4BA4"/>
    <w:rsid w:val="004E555C"/>
    <w:rsid w:val="004E5D00"/>
    <w:rsid w:val="004E7185"/>
    <w:rsid w:val="004F0BD8"/>
    <w:rsid w:val="004F1827"/>
    <w:rsid w:val="004F19B9"/>
    <w:rsid w:val="004F1B6D"/>
    <w:rsid w:val="004F2B67"/>
    <w:rsid w:val="004F3C4D"/>
    <w:rsid w:val="004F435D"/>
    <w:rsid w:val="004F584B"/>
    <w:rsid w:val="004F655A"/>
    <w:rsid w:val="004F70B1"/>
    <w:rsid w:val="00500CAC"/>
    <w:rsid w:val="00502368"/>
    <w:rsid w:val="005026ED"/>
    <w:rsid w:val="00503658"/>
    <w:rsid w:val="00503849"/>
    <w:rsid w:val="005055BD"/>
    <w:rsid w:val="00505DC9"/>
    <w:rsid w:val="005069F2"/>
    <w:rsid w:val="00510512"/>
    <w:rsid w:val="0051285E"/>
    <w:rsid w:val="00513B1C"/>
    <w:rsid w:val="00514E57"/>
    <w:rsid w:val="005154C0"/>
    <w:rsid w:val="0051640E"/>
    <w:rsid w:val="00517495"/>
    <w:rsid w:val="00521BCD"/>
    <w:rsid w:val="00521E4E"/>
    <w:rsid w:val="00523514"/>
    <w:rsid w:val="00523588"/>
    <w:rsid w:val="00523BB4"/>
    <w:rsid w:val="00526CDB"/>
    <w:rsid w:val="00527192"/>
    <w:rsid w:val="00527283"/>
    <w:rsid w:val="00527965"/>
    <w:rsid w:val="00530433"/>
    <w:rsid w:val="0053122C"/>
    <w:rsid w:val="00531237"/>
    <w:rsid w:val="005335E7"/>
    <w:rsid w:val="0053DA4C"/>
    <w:rsid w:val="0054173D"/>
    <w:rsid w:val="00542D76"/>
    <w:rsid w:val="0054368F"/>
    <w:rsid w:val="00544583"/>
    <w:rsid w:val="005445DD"/>
    <w:rsid w:val="00544AA8"/>
    <w:rsid w:val="00545B38"/>
    <w:rsid w:val="00547C5A"/>
    <w:rsid w:val="00550245"/>
    <w:rsid w:val="00550C8D"/>
    <w:rsid w:val="00550DC0"/>
    <w:rsid w:val="005524C9"/>
    <w:rsid w:val="0055441F"/>
    <w:rsid w:val="0055514F"/>
    <w:rsid w:val="005553EF"/>
    <w:rsid w:val="0055626A"/>
    <w:rsid w:val="00556A34"/>
    <w:rsid w:val="00556CE3"/>
    <w:rsid w:val="00557116"/>
    <w:rsid w:val="0056285F"/>
    <w:rsid w:val="005635D4"/>
    <w:rsid w:val="005640E9"/>
    <w:rsid w:val="0056483A"/>
    <w:rsid w:val="00566B83"/>
    <w:rsid w:val="00566FA3"/>
    <w:rsid w:val="00567E81"/>
    <w:rsid w:val="00571D7A"/>
    <w:rsid w:val="00572557"/>
    <w:rsid w:val="00572DB6"/>
    <w:rsid w:val="005749B1"/>
    <w:rsid w:val="00577ADA"/>
    <w:rsid w:val="00581497"/>
    <w:rsid w:val="005814A0"/>
    <w:rsid w:val="00581AA9"/>
    <w:rsid w:val="005846A7"/>
    <w:rsid w:val="00586187"/>
    <w:rsid w:val="00586AC2"/>
    <w:rsid w:val="00587395"/>
    <w:rsid w:val="005877E0"/>
    <w:rsid w:val="005905AC"/>
    <w:rsid w:val="00590BC1"/>
    <w:rsid w:val="00591A57"/>
    <w:rsid w:val="00592141"/>
    <w:rsid w:val="005926E4"/>
    <w:rsid w:val="0059314A"/>
    <w:rsid w:val="005939DC"/>
    <w:rsid w:val="00593EB6"/>
    <w:rsid w:val="005945D6"/>
    <w:rsid w:val="0059547B"/>
    <w:rsid w:val="00595D80"/>
    <w:rsid w:val="00596663"/>
    <w:rsid w:val="00596BF2"/>
    <w:rsid w:val="005979BF"/>
    <w:rsid w:val="00597AC0"/>
    <w:rsid w:val="005A00CC"/>
    <w:rsid w:val="005A1932"/>
    <w:rsid w:val="005A220C"/>
    <w:rsid w:val="005A4271"/>
    <w:rsid w:val="005A4EA9"/>
    <w:rsid w:val="005A4FA7"/>
    <w:rsid w:val="005A5026"/>
    <w:rsid w:val="005A64C9"/>
    <w:rsid w:val="005B0268"/>
    <w:rsid w:val="005B058F"/>
    <w:rsid w:val="005B0882"/>
    <w:rsid w:val="005B3289"/>
    <w:rsid w:val="005B3B65"/>
    <w:rsid w:val="005B45E7"/>
    <w:rsid w:val="005B47B0"/>
    <w:rsid w:val="005B7809"/>
    <w:rsid w:val="005C1397"/>
    <w:rsid w:val="005C1EF4"/>
    <w:rsid w:val="005C24AC"/>
    <w:rsid w:val="005C2A01"/>
    <w:rsid w:val="005C3B37"/>
    <w:rsid w:val="005C48F7"/>
    <w:rsid w:val="005C568D"/>
    <w:rsid w:val="005C6868"/>
    <w:rsid w:val="005C6AE6"/>
    <w:rsid w:val="005C6B0D"/>
    <w:rsid w:val="005D0A9B"/>
    <w:rsid w:val="005D0C10"/>
    <w:rsid w:val="005D5535"/>
    <w:rsid w:val="005D5ABB"/>
    <w:rsid w:val="005D6B04"/>
    <w:rsid w:val="005D7015"/>
    <w:rsid w:val="005D7DE5"/>
    <w:rsid w:val="005E0523"/>
    <w:rsid w:val="005E060A"/>
    <w:rsid w:val="005E0AA1"/>
    <w:rsid w:val="005E0E1B"/>
    <w:rsid w:val="005E14C5"/>
    <w:rsid w:val="005E1D1C"/>
    <w:rsid w:val="005E213D"/>
    <w:rsid w:val="005E3815"/>
    <w:rsid w:val="005E5978"/>
    <w:rsid w:val="005E5CBB"/>
    <w:rsid w:val="005E718A"/>
    <w:rsid w:val="005F386F"/>
    <w:rsid w:val="005F42A0"/>
    <w:rsid w:val="006010C6"/>
    <w:rsid w:val="00601138"/>
    <w:rsid w:val="00602283"/>
    <w:rsid w:val="0060390D"/>
    <w:rsid w:val="00606132"/>
    <w:rsid w:val="0060692F"/>
    <w:rsid w:val="00606AAE"/>
    <w:rsid w:val="00610636"/>
    <w:rsid w:val="00610A7C"/>
    <w:rsid w:val="00610FC0"/>
    <w:rsid w:val="0061115D"/>
    <w:rsid w:val="0061127F"/>
    <w:rsid w:val="00611746"/>
    <w:rsid w:val="006129EF"/>
    <w:rsid w:val="006149AA"/>
    <w:rsid w:val="006149C0"/>
    <w:rsid w:val="00614A5A"/>
    <w:rsid w:val="00614CBF"/>
    <w:rsid w:val="006157A4"/>
    <w:rsid w:val="00616716"/>
    <w:rsid w:val="006167AC"/>
    <w:rsid w:val="00617254"/>
    <w:rsid w:val="0062018A"/>
    <w:rsid w:val="0062052B"/>
    <w:rsid w:val="006209D5"/>
    <w:rsid w:val="0062126E"/>
    <w:rsid w:val="00622BDC"/>
    <w:rsid w:val="0062398A"/>
    <w:rsid w:val="00625A53"/>
    <w:rsid w:val="006260FF"/>
    <w:rsid w:val="00631F62"/>
    <w:rsid w:val="00632D49"/>
    <w:rsid w:val="0063406B"/>
    <w:rsid w:val="006360EE"/>
    <w:rsid w:val="006402A2"/>
    <w:rsid w:val="006409EC"/>
    <w:rsid w:val="0064309B"/>
    <w:rsid w:val="00643CF6"/>
    <w:rsid w:val="00644223"/>
    <w:rsid w:val="006455A5"/>
    <w:rsid w:val="00647042"/>
    <w:rsid w:val="00647CC3"/>
    <w:rsid w:val="00650E9F"/>
    <w:rsid w:val="00651267"/>
    <w:rsid w:val="006512D6"/>
    <w:rsid w:val="0065140F"/>
    <w:rsid w:val="006516AB"/>
    <w:rsid w:val="006535D5"/>
    <w:rsid w:val="00654FF4"/>
    <w:rsid w:val="00656DAC"/>
    <w:rsid w:val="00660440"/>
    <w:rsid w:val="00660CFE"/>
    <w:rsid w:val="00660F28"/>
    <w:rsid w:val="00665142"/>
    <w:rsid w:val="0066529F"/>
    <w:rsid w:val="00665935"/>
    <w:rsid w:val="00665CED"/>
    <w:rsid w:val="00665E27"/>
    <w:rsid w:val="00665E47"/>
    <w:rsid w:val="00666C3C"/>
    <w:rsid w:val="0066786F"/>
    <w:rsid w:val="00667CC0"/>
    <w:rsid w:val="0067064B"/>
    <w:rsid w:val="006729C7"/>
    <w:rsid w:val="006734E8"/>
    <w:rsid w:val="00677B62"/>
    <w:rsid w:val="00681A96"/>
    <w:rsid w:val="00681B50"/>
    <w:rsid w:val="00681B8B"/>
    <w:rsid w:val="00682FC9"/>
    <w:rsid w:val="00683131"/>
    <w:rsid w:val="006836B2"/>
    <w:rsid w:val="006840C4"/>
    <w:rsid w:val="006851BA"/>
    <w:rsid w:val="00686192"/>
    <w:rsid w:val="00686294"/>
    <w:rsid w:val="00686681"/>
    <w:rsid w:val="00690579"/>
    <w:rsid w:val="00690AB2"/>
    <w:rsid w:val="00690BE4"/>
    <w:rsid w:val="00691858"/>
    <w:rsid w:val="0069190B"/>
    <w:rsid w:val="0069285D"/>
    <w:rsid w:val="0069291D"/>
    <w:rsid w:val="00692F01"/>
    <w:rsid w:val="00697010"/>
    <w:rsid w:val="006975AF"/>
    <w:rsid w:val="00697674"/>
    <w:rsid w:val="006A0550"/>
    <w:rsid w:val="006A2E0B"/>
    <w:rsid w:val="006A3E34"/>
    <w:rsid w:val="006A5B9D"/>
    <w:rsid w:val="006A7546"/>
    <w:rsid w:val="006A7A12"/>
    <w:rsid w:val="006B0AD0"/>
    <w:rsid w:val="006B0E08"/>
    <w:rsid w:val="006B1ED5"/>
    <w:rsid w:val="006B2581"/>
    <w:rsid w:val="006B2669"/>
    <w:rsid w:val="006B3026"/>
    <w:rsid w:val="006B3D19"/>
    <w:rsid w:val="006B43A8"/>
    <w:rsid w:val="006B59E9"/>
    <w:rsid w:val="006B6857"/>
    <w:rsid w:val="006B6E43"/>
    <w:rsid w:val="006B7EE3"/>
    <w:rsid w:val="006C0A92"/>
    <w:rsid w:val="006C10E3"/>
    <w:rsid w:val="006C1640"/>
    <w:rsid w:val="006C2DE4"/>
    <w:rsid w:val="006C2FF5"/>
    <w:rsid w:val="006C3139"/>
    <w:rsid w:val="006C443B"/>
    <w:rsid w:val="006C71A7"/>
    <w:rsid w:val="006C7D1E"/>
    <w:rsid w:val="006D05C0"/>
    <w:rsid w:val="006D080E"/>
    <w:rsid w:val="006D0A40"/>
    <w:rsid w:val="006D0CD1"/>
    <w:rsid w:val="006D21CC"/>
    <w:rsid w:val="006D23D6"/>
    <w:rsid w:val="006D2779"/>
    <w:rsid w:val="006D2CD2"/>
    <w:rsid w:val="006D3485"/>
    <w:rsid w:val="006D42B2"/>
    <w:rsid w:val="006D4C19"/>
    <w:rsid w:val="006D7CEB"/>
    <w:rsid w:val="006E16EF"/>
    <w:rsid w:val="006E3108"/>
    <w:rsid w:val="006E4264"/>
    <w:rsid w:val="006E5659"/>
    <w:rsid w:val="006E5834"/>
    <w:rsid w:val="006F0869"/>
    <w:rsid w:val="006F10E9"/>
    <w:rsid w:val="006F52E6"/>
    <w:rsid w:val="006F5FE1"/>
    <w:rsid w:val="006F5FF1"/>
    <w:rsid w:val="006F6882"/>
    <w:rsid w:val="006F72DE"/>
    <w:rsid w:val="007000D9"/>
    <w:rsid w:val="00700FA1"/>
    <w:rsid w:val="00702D58"/>
    <w:rsid w:val="00703257"/>
    <w:rsid w:val="007033B5"/>
    <w:rsid w:val="007042ED"/>
    <w:rsid w:val="00705BC3"/>
    <w:rsid w:val="0070623A"/>
    <w:rsid w:val="00706482"/>
    <w:rsid w:val="00706C18"/>
    <w:rsid w:val="0070711B"/>
    <w:rsid w:val="007103B3"/>
    <w:rsid w:val="00710418"/>
    <w:rsid w:val="00711765"/>
    <w:rsid w:val="00712932"/>
    <w:rsid w:val="007131DE"/>
    <w:rsid w:val="00714BA0"/>
    <w:rsid w:val="00714EE0"/>
    <w:rsid w:val="007153BE"/>
    <w:rsid w:val="00717364"/>
    <w:rsid w:val="00720716"/>
    <w:rsid w:val="00721327"/>
    <w:rsid w:val="00722468"/>
    <w:rsid w:val="007229B0"/>
    <w:rsid w:val="007229B5"/>
    <w:rsid w:val="007238A7"/>
    <w:rsid w:val="00726EFE"/>
    <w:rsid w:val="00726FD3"/>
    <w:rsid w:val="00727655"/>
    <w:rsid w:val="00730658"/>
    <w:rsid w:val="007306D0"/>
    <w:rsid w:val="00733037"/>
    <w:rsid w:val="00734E05"/>
    <w:rsid w:val="00735F60"/>
    <w:rsid w:val="00736143"/>
    <w:rsid w:val="00736D5C"/>
    <w:rsid w:val="007374C4"/>
    <w:rsid w:val="00737C5F"/>
    <w:rsid w:val="00740D86"/>
    <w:rsid w:val="00741318"/>
    <w:rsid w:val="007425D1"/>
    <w:rsid w:val="007425DD"/>
    <w:rsid w:val="00742897"/>
    <w:rsid w:val="0074359F"/>
    <w:rsid w:val="00743F74"/>
    <w:rsid w:val="00743F9D"/>
    <w:rsid w:val="00745111"/>
    <w:rsid w:val="00745559"/>
    <w:rsid w:val="00747701"/>
    <w:rsid w:val="00747AD6"/>
    <w:rsid w:val="00747BA7"/>
    <w:rsid w:val="00751457"/>
    <w:rsid w:val="00751461"/>
    <w:rsid w:val="0075316D"/>
    <w:rsid w:val="007532F1"/>
    <w:rsid w:val="0075470A"/>
    <w:rsid w:val="007566F2"/>
    <w:rsid w:val="00757A20"/>
    <w:rsid w:val="00757B3C"/>
    <w:rsid w:val="007603BB"/>
    <w:rsid w:val="007611AF"/>
    <w:rsid w:val="007611CB"/>
    <w:rsid w:val="00762398"/>
    <w:rsid w:val="007629D3"/>
    <w:rsid w:val="00763DA9"/>
    <w:rsid w:val="007658F0"/>
    <w:rsid w:val="00765C80"/>
    <w:rsid w:val="00766340"/>
    <w:rsid w:val="00766B69"/>
    <w:rsid w:val="0076729C"/>
    <w:rsid w:val="0076773A"/>
    <w:rsid w:val="007677B1"/>
    <w:rsid w:val="00770A43"/>
    <w:rsid w:val="0077134E"/>
    <w:rsid w:val="00772334"/>
    <w:rsid w:val="007723C5"/>
    <w:rsid w:val="0077265D"/>
    <w:rsid w:val="00772D42"/>
    <w:rsid w:val="0077476B"/>
    <w:rsid w:val="00776559"/>
    <w:rsid w:val="007770C5"/>
    <w:rsid w:val="00777C42"/>
    <w:rsid w:val="00780B14"/>
    <w:rsid w:val="00780FDB"/>
    <w:rsid w:val="0078249C"/>
    <w:rsid w:val="00783551"/>
    <w:rsid w:val="00783640"/>
    <w:rsid w:val="00783C91"/>
    <w:rsid w:val="00783DA5"/>
    <w:rsid w:val="007842F5"/>
    <w:rsid w:val="00784D5C"/>
    <w:rsid w:val="0078528E"/>
    <w:rsid w:val="0078535A"/>
    <w:rsid w:val="007853FA"/>
    <w:rsid w:val="007877A6"/>
    <w:rsid w:val="0079130E"/>
    <w:rsid w:val="007941F2"/>
    <w:rsid w:val="00794616"/>
    <w:rsid w:val="0079475E"/>
    <w:rsid w:val="00794BA4"/>
    <w:rsid w:val="00797BC5"/>
    <w:rsid w:val="007A11AD"/>
    <w:rsid w:val="007A2676"/>
    <w:rsid w:val="007A2DB1"/>
    <w:rsid w:val="007A3A5F"/>
    <w:rsid w:val="007A40A7"/>
    <w:rsid w:val="007A42AD"/>
    <w:rsid w:val="007A656A"/>
    <w:rsid w:val="007A672D"/>
    <w:rsid w:val="007B0822"/>
    <w:rsid w:val="007B0D45"/>
    <w:rsid w:val="007B0EDD"/>
    <w:rsid w:val="007B27F1"/>
    <w:rsid w:val="007B3414"/>
    <w:rsid w:val="007B3D95"/>
    <w:rsid w:val="007B5271"/>
    <w:rsid w:val="007B5572"/>
    <w:rsid w:val="007B5650"/>
    <w:rsid w:val="007B6B5D"/>
    <w:rsid w:val="007B7CC7"/>
    <w:rsid w:val="007C1D86"/>
    <w:rsid w:val="007C2358"/>
    <w:rsid w:val="007C24E8"/>
    <w:rsid w:val="007C28E7"/>
    <w:rsid w:val="007C3AE6"/>
    <w:rsid w:val="007C59D5"/>
    <w:rsid w:val="007C78A2"/>
    <w:rsid w:val="007C7969"/>
    <w:rsid w:val="007D0D1A"/>
    <w:rsid w:val="007D2050"/>
    <w:rsid w:val="007D29D8"/>
    <w:rsid w:val="007D4607"/>
    <w:rsid w:val="007D53FE"/>
    <w:rsid w:val="007D6115"/>
    <w:rsid w:val="007D749D"/>
    <w:rsid w:val="007D7BE7"/>
    <w:rsid w:val="007D7D79"/>
    <w:rsid w:val="007E187A"/>
    <w:rsid w:val="007E18BF"/>
    <w:rsid w:val="007E1A4B"/>
    <w:rsid w:val="007E1E6E"/>
    <w:rsid w:val="007E227A"/>
    <w:rsid w:val="007E2DB0"/>
    <w:rsid w:val="007E3557"/>
    <w:rsid w:val="007E6303"/>
    <w:rsid w:val="007E6939"/>
    <w:rsid w:val="007E7143"/>
    <w:rsid w:val="007E72EE"/>
    <w:rsid w:val="007F14C0"/>
    <w:rsid w:val="007F2030"/>
    <w:rsid w:val="007F298B"/>
    <w:rsid w:val="007F53AE"/>
    <w:rsid w:val="007F54D6"/>
    <w:rsid w:val="007F6102"/>
    <w:rsid w:val="007F61E1"/>
    <w:rsid w:val="007F6714"/>
    <w:rsid w:val="007F6CA1"/>
    <w:rsid w:val="008005CF"/>
    <w:rsid w:val="0080187B"/>
    <w:rsid w:val="00802BE3"/>
    <w:rsid w:val="00802F1E"/>
    <w:rsid w:val="00803947"/>
    <w:rsid w:val="00803D69"/>
    <w:rsid w:val="00803DEA"/>
    <w:rsid w:val="008047DE"/>
    <w:rsid w:val="0080488C"/>
    <w:rsid w:val="00810565"/>
    <w:rsid w:val="00811399"/>
    <w:rsid w:val="00811DE5"/>
    <w:rsid w:val="0081260A"/>
    <w:rsid w:val="008126F1"/>
    <w:rsid w:val="008162F8"/>
    <w:rsid w:val="0081651F"/>
    <w:rsid w:val="00816856"/>
    <w:rsid w:val="00817BF4"/>
    <w:rsid w:val="00820697"/>
    <w:rsid w:val="00820CCB"/>
    <w:rsid w:val="008214DE"/>
    <w:rsid w:val="00821CFE"/>
    <w:rsid w:val="00822395"/>
    <w:rsid w:val="00822BED"/>
    <w:rsid w:val="00822F1C"/>
    <w:rsid w:val="00823304"/>
    <w:rsid w:val="00823ED3"/>
    <w:rsid w:val="00823FA2"/>
    <w:rsid w:val="00826C18"/>
    <w:rsid w:val="00827169"/>
    <w:rsid w:val="00827472"/>
    <w:rsid w:val="008305E6"/>
    <w:rsid w:val="008312DF"/>
    <w:rsid w:val="008318FC"/>
    <w:rsid w:val="00831EF7"/>
    <w:rsid w:val="008320E0"/>
    <w:rsid w:val="008332C3"/>
    <w:rsid w:val="008345B5"/>
    <w:rsid w:val="00834695"/>
    <w:rsid w:val="00834EC1"/>
    <w:rsid w:val="008357AF"/>
    <w:rsid w:val="00835A3E"/>
    <w:rsid w:val="00836748"/>
    <w:rsid w:val="00836B53"/>
    <w:rsid w:val="00836FCE"/>
    <w:rsid w:val="00841024"/>
    <w:rsid w:val="0084141A"/>
    <w:rsid w:val="00842C39"/>
    <w:rsid w:val="00844249"/>
    <w:rsid w:val="008450C1"/>
    <w:rsid w:val="008464E1"/>
    <w:rsid w:val="00847313"/>
    <w:rsid w:val="008473B1"/>
    <w:rsid w:val="0084793F"/>
    <w:rsid w:val="00847C3C"/>
    <w:rsid w:val="00850691"/>
    <w:rsid w:val="00851D69"/>
    <w:rsid w:val="00851F56"/>
    <w:rsid w:val="008553E9"/>
    <w:rsid w:val="00855758"/>
    <w:rsid w:val="008600AD"/>
    <w:rsid w:val="00860CFA"/>
    <w:rsid w:val="00860FB5"/>
    <w:rsid w:val="008633FA"/>
    <w:rsid w:val="00863C87"/>
    <w:rsid w:val="00865222"/>
    <w:rsid w:val="00865270"/>
    <w:rsid w:val="008655C0"/>
    <w:rsid w:val="00866506"/>
    <w:rsid w:val="00866ED8"/>
    <w:rsid w:val="00870418"/>
    <w:rsid w:val="008704B8"/>
    <w:rsid w:val="00871338"/>
    <w:rsid w:val="008716A1"/>
    <w:rsid w:val="008716B7"/>
    <w:rsid w:val="0087371D"/>
    <w:rsid w:val="008740A0"/>
    <w:rsid w:val="008745B2"/>
    <w:rsid w:val="0087661C"/>
    <w:rsid w:val="00876BDD"/>
    <w:rsid w:val="008806D2"/>
    <w:rsid w:val="00880E1B"/>
    <w:rsid w:val="00882071"/>
    <w:rsid w:val="00882996"/>
    <w:rsid w:val="00883FF2"/>
    <w:rsid w:val="008859B1"/>
    <w:rsid w:val="00885B90"/>
    <w:rsid w:val="00891C60"/>
    <w:rsid w:val="00893DDE"/>
    <w:rsid w:val="00895C35"/>
    <w:rsid w:val="008968A5"/>
    <w:rsid w:val="008A066F"/>
    <w:rsid w:val="008A30C0"/>
    <w:rsid w:val="008A5340"/>
    <w:rsid w:val="008A58D1"/>
    <w:rsid w:val="008A6218"/>
    <w:rsid w:val="008A6673"/>
    <w:rsid w:val="008A78FB"/>
    <w:rsid w:val="008B10AA"/>
    <w:rsid w:val="008B3700"/>
    <w:rsid w:val="008B4ED6"/>
    <w:rsid w:val="008B56F4"/>
    <w:rsid w:val="008B5FFF"/>
    <w:rsid w:val="008B73E7"/>
    <w:rsid w:val="008C0AFB"/>
    <w:rsid w:val="008C2CB1"/>
    <w:rsid w:val="008C4193"/>
    <w:rsid w:val="008C4699"/>
    <w:rsid w:val="008C7103"/>
    <w:rsid w:val="008D009D"/>
    <w:rsid w:val="008D0964"/>
    <w:rsid w:val="008D2876"/>
    <w:rsid w:val="008D290F"/>
    <w:rsid w:val="008D30F9"/>
    <w:rsid w:val="008D3262"/>
    <w:rsid w:val="008D3C44"/>
    <w:rsid w:val="008D53B2"/>
    <w:rsid w:val="008D5447"/>
    <w:rsid w:val="008D7D46"/>
    <w:rsid w:val="008E0927"/>
    <w:rsid w:val="008E0C24"/>
    <w:rsid w:val="008E1406"/>
    <w:rsid w:val="008E163B"/>
    <w:rsid w:val="008E1648"/>
    <w:rsid w:val="008E37B1"/>
    <w:rsid w:val="008E5361"/>
    <w:rsid w:val="008E5EC1"/>
    <w:rsid w:val="008E72A0"/>
    <w:rsid w:val="008E777E"/>
    <w:rsid w:val="008F1F48"/>
    <w:rsid w:val="008F227E"/>
    <w:rsid w:val="008F74B8"/>
    <w:rsid w:val="008F7726"/>
    <w:rsid w:val="008F7EBF"/>
    <w:rsid w:val="00900496"/>
    <w:rsid w:val="00900902"/>
    <w:rsid w:val="009014A7"/>
    <w:rsid w:val="009031FA"/>
    <w:rsid w:val="00903480"/>
    <w:rsid w:val="00904BC1"/>
    <w:rsid w:val="009064D9"/>
    <w:rsid w:val="00906915"/>
    <w:rsid w:val="00907D86"/>
    <w:rsid w:val="00910365"/>
    <w:rsid w:val="00910CDE"/>
    <w:rsid w:val="00910EB0"/>
    <w:rsid w:val="00911485"/>
    <w:rsid w:val="00912169"/>
    <w:rsid w:val="00912F24"/>
    <w:rsid w:val="0091327F"/>
    <w:rsid w:val="00916E78"/>
    <w:rsid w:val="00917254"/>
    <w:rsid w:val="009173C8"/>
    <w:rsid w:val="0092037A"/>
    <w:rsid w:val="00920DB6"/>
    <w:rsid w:val="00921D29"/>
    <w:rsid w:val="00922024"/>
    <w:rsid w:val="00923936"/>
    <w:rsid w:val="009246AD"/>
    <w:rsid w:val="00924FD0"/>
    <w:rsid w:val="00926FBB"/>
    <w:rsid w:val="009301C8"/>
    <w:rsid w:val="009307D2"/>
    <w:rsid w:val="00930DC3"/>
    <w:rsid w:val="00935D2B"/>
    <w:rsid w:val="009363F6"/>
    <w:rsid w:val="00937214"/>
    <w:rsid w:val="0093739B"/>
    <w:rsid w:val="00937413"/>
    <w:rsid w:val="0093797E"/>
    <w:rsid w:val="00937F3F"/>
    <w:rsid w:val="00940BF6"/>
    <w:rsid w:val="00941BB5"/>
    <w:rsid w:val="00941F30"/>
    <w:rsid w:val="00942FF8"/>
    <w:rsid w:val="00943403"/>
    <w:rsid w:val="00945265"/>
    <w:rsid w:val="00945D0B"/>
    <w:rsid w:val="0094603C"/>
    <w:rsid w:val="00946340"/>
    <w:rsid w:val="00947D44"/>
    <w:rsid w:val="00955F66"/>
    <w:rsid w:val="00956053"/>
    <w:rsid w:val="00956178"/>
    <w:rsid w:val="009576B3"/>
    <w:rsid w:val="00957817"/>
    <w:rsid w:val="00960ECF"/>
    <w:rsid w:val="009613C8"/>
    <w:rsid w:val="00964A55"/>
    <w:rsid w:val="00964B2D"/>
    <w:rsid w:val="00966081"/>
    <w:rsid w:val="00967CD2"/>
    <w:rsid w:val="00970109"/>
    <w:rsid w:val="00971E9C"/>
    <w:rsid w:val="00972A9C"/>
    <w:rsid w:val="00972EC4"/>
    <w:rsid w:val="00973671"/>
    <w:rsid w:val="0098065D"/>
    <w:rsid w:val="00981654"/>
    <w:rsid w:val="009824BB"/>
    <w:rsid w:val="0098348F"/>
    <w:rsid w:val="00984A28"/>
    <w:rsid w:val="00984A4E"/>
    <w:rsid w:val="00984C06"/>
    <w:rsid w:val="00984C73"/>
    <w:rsid w:val="00984E6E"/>
    <w:rsid w:val="00985405"/>
    <w:rsid w:val="009857EF"/>
    <w:rsid w:val="00985B52"/>
    <w:rsid w:val="0098614F"/>
    <w:rsid w:val="00986A22"/>
    <w:rsid w:val="00991CC2"/>
    <w:rsid w:val="0099248D"/>
    <w:rsid w:val="0099297A"/>
    <w:rsid w:val="00992D9C"/>
    <w:rsid w:val="00992EDA"/>
    <w:rsid w:val="00993004"/>
    <w:rsid w:val="009950B4"/>
    <w:rsid w:val="00995246"/>
    <w:rsid w:val="009972B6"/>
    <w:rsid w:val="009A11D2"/>
    <w:rsid w:val="009A1CF5"/>
    <w:rsid w:val="009A1E5C"/>
    <w:rsid w:val="009A1FE1"/>
    <w:rsid w:val="009A2036"/>
    <w:rsid w:val="009A2114"/>
    <w:rsid w:val="009A2A7C"/>
    <w:rsid w:val="009A3F9C"/>
    <w:rsid w:val="009A476E"/>
    <w:rsid w:val="009A53D0"/>
    <w:rsid w:val="009A5407"/>
    <w:rsid w:val="009A55AD"/>
    <w:rsid w:val="009A5ECF"/>
    <w:rsid w:val="009A6C34"/>
    <w:rsid w:val="009B0EFB"/>
    <w:rsid w:val="009B13B3"/>
    <w:rsid w:val="009B15F7"/>
    <w:rsid w:val="009B18E4"/>
    <w:rsid w:val="009B1B1A"/>
    <w:rsid w:val="009B2492"/>
    <w:rsid w:val="009B2BD6"/>
    <w:rsid w:val="009B6425"/>
    <w:rsid w:val="009B719F"/>
    <w:rsid w:val="009B788B"/>
    <w:rsid w:val="009C081A"/>
    <w:rsid w:val="009C0FC6"/>
    <w:rsid w:val="009C2907"/>
    <w:rsid w:val="009C47DD"/>
    <w:rsid w:val="009C51DB"/>
    <w:rsid w:val="009C57EB"/>
    <w:rsid w:val="009C5A56"/>
    <w:rsid w:val="009D00D5"/>
    <w:rsid w:val="009D0320"/>
    <w:rsid w:val="009D1B6A"/>
    <w:rsid w:val="009D2E98"/>
    <w:rsid w:val="009D54A5"/>
    <w:rsid w:val="009D6788"/>
    <w:rsid w:val="009D793F"/>
    <w:rsid w:val="009E1892"/>
    <w:rsid w:val="009E1919"/>
    <w:rsid w:val="009E1EDA"/>
    <w:rsid w:val="009E2117"/>
    <w:rsid w:val="009E2E3B"/>
    <w:rsid w:val="009E353A"/>
    <w:rsid w:val="009E3D03"/>
    <w:rsid w:val="009E543C"/>
    <w:rsid w:val="009F01F5"/>
    <w:rsid w:val="009F0610"/>
    <w:rsid w:val="009F07C0"/>
    <w:rsid w:val="009F08D1"/>
    <w:rsid w:val="009F2BAD"/>
    <w:rsid w:val="009F2E7E"/>
    <w:rsid w:val="009F41FD"/>
    <w:rsid w:val="009F4648"/>
    <w:rsid w:val="009F4CF9"/>
    <w:rsid w:val="009F56C9"/>
    <w:rsid w:val="009F5852"/>
    <w:rsid w:val="009F72EF"/>
    <w:rsid w:val="009F7599"/>
    <w:rsid w:val="00A01D09"/>
    <w:rsid w:val="00A02636"/>
    <w:rsid w:val="00A02D62"/>
    <w:rsid w:val="00A04BE2"/>
    <w:rsid w:val="00A06AB5"/>
    <w:rsid w:val="00A10545"/>
    <w:rsid w:val="00A10567"/>
    <w:rsid w:val="00A10924"/>
    <w:rsid w:val="00A11FA5"/>
    <w:rsid w:val="00A12439"/>
    <w:rsid w:val="00A12B5A"/>
    <w:rsid w:val="00A137A2"/>
    <w:rsid w:val="00A13CD1"/>
    <w:rsid w:val="00A13DA2"/>
    <w:rsid w:val="00A161A2"/>
    <w:rsid w:val="00A166E2"/>
    <w:rsid w:val="00A16DA5"/>
    <w:rsid w:val="00A16ECB"/>
    <w:rsid w:val="00A16F84"/>
    <w:rsid w:val="00A17035"/>
    <w:rsid w:val="00A178CA"/>
    <w:rsid w:val="00A17AA5"/>
    <w:rsid w:val="00A17D92"/>
    <w:rsid w:val="00A20EB5"/>
    <w:rsid w:val="00A211A7"/>
    <w:rsid w:val="00A211CC"/>
    <w:rsid w:val="00A21E0D"/>
    <w:rsid w:val="00A2229D"/>
    <w:rsid w:val="00A231CC"/>
    <w:rsid w:val="00A2335D"/>
    <w:rsid w:val="00A24006"/>
    <w:rsid w:val="00A25711"/>
    <w:rsid w:val="00A2742C"/>
    <w:rsid w:val="00A279C3"/>
    <w:rsid w:val="00A31631"/>
    <w:rsid w:val="00A327A8"/>
    <w:rsid w:val="00A32923"/>
    <w:rsid w:val="00A330C7"/>
    <w:rsid w:val="00A35AA7"/>
    <w:rsid w:val="00A37AD2"/>
    <w:rsid w:val="00A4101D"/>
    <w:rsid w:val="00A42FFD"/>
    <w:rsid w:val="00A433B9"/>
    <w:rsid w:val="00A44136"/>
    <w:rsid w:val="00A441AE"/>
    <w:rsid w:val="00A44A83"/>
    <w:rsid w:val="00A44E82"/>
    <w:rsid w:val="00A454CC"/>
    <w:rsid w:val="00A45EE4"/>
    <w:rsid w:val="00A46804"/>
    <w:rsid w:val="00A46E05"/>
    <w:rsid w:val="00A472AC"/>
    <w:rsid w:val="00A51175"/>
    <w:rsid w:val="00A5199C"/>
    <w:rsid w:val="00A51CBA"/>
    <w:rsid w:val="00A52504"/>
    <w:rsid w:val="00A54F09"/>
    <w:rsid w:val="00A57330"/>
    <w:rsid w:val="00A60693"/>
    <w:rsid w:val="00A60B54"/>
    <w:rsid w:val="00A61B3B"/>
    <w:rsid w:val="00A61C7B"/>
    <w:rsid w:val="00A62081"/>
    <w:rsid w:val="00A627AD"/>
    <w:rsid w:val="00A65388"/>
    <w:rsid w:val="00A6587C"/>
    <w:rsid w:val="00A659D1"/>
    <w:rsid w:val="00A65F46"/>
    <w:rsid w:val="00A66537"/>
    <w:rsid w:val="00A67119"/>
    <w:rsid w:val="00A71799"/>
    <w:rsid w:val="00A71994"/>
    <w:rsid w:val="00A71C7D"/>
    <w:rsid w:val="00A73D5F"/>
    <w:rsid w:val="00A7639E"/>
    <w:rsid w:val="00A764EF"/>
    <w:rsid w:val="00A76D61"/>
    <w:rsid w:val="00A80053"/>
    <w:rsid w:val="00A800DF"/>
    <w:rsid w:val="00A83107"/>
    <w:rsid w:val="00A83A51"/>
    <w:rsid w:val="00A85792"/>
    <w:rsid w:val="00A8637E"/>
    <w:rsid w:val="00A86640"/>
    <w:rsid w:val="00A8712B"/>
    <w:rsid w:val="00A872C5"/>
    <w:rsid w:val="00A90831"/>
    <w:rsid w:val="00A912FC"/>
    <w:rsid w:val="00A9286C"/>
    <w:rsid w:val="00A9366D"/>
    <w:rsid w:val="00A9542A"/>
    <w:rsid w:val="00A962BE"/>
    <w:rsid w:val="00A972DF"/>
    <w:rsid w:val="00A97372"/>
    <w:rsid w:val="00A97F94"/>
    <w:rsid w:val="00A97FE0"/>
    <w:rsid w:val="00AA0113"/>
    <w:rsid w:val="00AA1459"/>
    <w:rsid w:val="00AA3B9E"/>
    <w:rsid w:val="00AA3FC0"/>
    <w:rsid w:val="00AA529F"/>
    <w:rsid w:val="00AA54C0"/>
    <w:rsid w:val="00AA657C"/>
    <w:rsid w:val="00AA7C56"/>
    <w:rsid w:val="00AA7EF8"/>
    <w:rsid w:val="00AB25DD"/>
    <w:rsid w:val="00AB2C4B"/>
    <w:rsid w:val="00AB2C53"/>
    <w:rsid w:val="00AB3170"/>
    <w:rsid w:val="00AB34C5"/>
    <w:rsid w:val="00AB361D"/>
    <w:rsid w:val="00AB4DA8"/>
    <w:rsid w:val="00AB614C"/>
    <w:rsid w:val="00AB678F"/>
    <w:rsid w:val="00AB6F85"/>
    <w:rsid w:val="00AC09EF"/>
    <w:rsid w:val="00AC0C86"/>
    <w:rsid w:val="00AC12C8"/>
    <w:rsid w:val="00AC1965"/>
    <w:rsid w:val="00AC2419"/>
    <w:rsid w:val="00AC2938"/>
    <w:rsid w:val="00AC2CCB"/>
    <w:rsid w:val="00AC39C2"/>
    <w:rsid w:val="00AC5CE8"/>
    <w:rsid w:val="00AD0CE9"/>
    <w:rsid w:val="00AD1475"/>
    <w:rsid w:val="00AD1F33"/>
    <w:rsid w:val="00AD29EC"/>
    <w:rsid w:val="00AD4F16"/>
    <w:rsid w:val="00AD580B"/>
    <w:rsid w:val="00AD5988"/>
    <w:rsid w:val="00AD6D62"/>
    <w:rsid w:val="00AD7453"/>
    <w:rsid w:val="00AD7F8E"/>
    <w:rsid w:val="00AE18C4"/>
    <w:rsid w:val="00AE2E09"/>
    <w:rsid w:val="00AE3722"/>
    <w:rsid w:val="00AE4C26"/>
    <w:rsid w:val="00AE4E91"/>
    <w:rsid w:val="00AE52DB"/>
    <w:rsid w:val="00AE6998"/>
    <w:rsid w:val="00AF2001"/>
    <w:rsid w:val="00AF3287"/>
    <w:rsid w:val="00AF4A5A"/>
    <w:rsid w:val="00AF4F6D"/>
    <w:rsid w:val="00AF7D20"/>
    <w:rsid w:val="00AF7EEE"/>
    <w:rsid w:val="00AF7F6A"/>
    <w:rsid w:val="00B0084D"/>
    <w:rsid w:val="00B00AC1"/>
    <w:rsid w:val="00B01B7C"/>
    <w:rsid w:val="00B01C09"/>
    <w:rsid w:val="00B01CD4"/>
    <w:rsid w:val="00B02BD1"/>
    <w:rsid w:val="00B046E5"/>
    <w:rsid w:val="00B04739"/>
    <w:rsid w:val="00B048C2"/>
    <w:rsid w:val="00B0588B"/>
    <w:rsid w:val="00B05A48"/>
    <w:rsid w:val="00B05A88"/>
    <w:rsid w:val="00B06D73"/>
    <w:rsid w:val="00B1003C"/>
    <w:rsid w:val="00B1021D"/>
    <w:rsid w:val="00B130A8"/>
    <w:rsid w:val="00B14F9D"/>
    <w:rsid w:val="00B1567B"/>
    <w:rsid w:val="00B17EE4"/>
    <w:rsid w:val="00B21A26"/>
    <w:rsid w:val="00B22BDF"/>
    <w:rsid w:val="00B23123"/>
    <w:rsid w:val="00B23F53"/>
    <w:rsid w:val="00B249EA"/>
    <w:rsid w:val="00B276B1"/>
    <w:rsid w:val="00B27CEE"/>
    <w:rsid w:val="00B304FB"/>
    <w:rsid w:val="00B30EDF"/>
    <w:rsid w:val="00B3123E"/>
    <w:rsid w:val="00B326A4"/>
    <w:rsid w:val="00B33F7B"/>
    <w:rsid w:val="00B3466C"/>
    <w:rsid w:val="00B34760"/>
    <w:rsid w:val="00B358E2"/>
    <w:rsid w:val="00B371E2"/>
    <w:rsid w:val="00B37865"/>
    <w:rsid w:val="00B404DA"/>
    <w:rsid w:val="00B40626"/>
    <w:rsid w:val="00B41446"/>
    <w:rsid w:val="00B41ECC"/>
    <w:rsid w:val="00B43EF4"/>
    <w:rsid w:val="00B44641"/>
    <w:rsid w:val="00B44E29"/>
    <w:rsid w:val="00B4506C"/>
    <w:rsid w:val="00B45A16"/>
    <w:rsid w:val="00B45F4E"/>
    <w:rsid w:val="00B46869"/>
    <w:rsid w:val="00B47FB4"/>
    <w:rsid w:val="00B50734"/>
    <w:rsid w:val="00B507E4"/>
    <w:rsid w:val="00B51DA5"/>
    <w:rsid w:val="00B51F87"/>
    <w:rsid w:val="00B545CD"/>
    <w:rsid w:val="00B56920"/>
    <w:rsid w:val="00B573ED"/>
    <w:rsid w:val="00B577A8"/>
    <w:rsid w:val="00B577F3"/>
    <w:rsid w:val="00B60772"/>
    <w:rsid w:val="00B61F9D"/>
    <w:rsid w:val="00B62BCA"/>
    <w:rsid w:val="00B63D29"/>
    <w:rsid w:val="00B63DC2"/>
    <w:rsid w:val="00B64B2F"/>
    <w:rsid w:val="00B66B9D"/>
    <w:rsid w:val="00B66DCF"/>
    <w:rsid w:val="00B678BC"/>
    <w:rsid w:val="00B702FE"/>
    <w:rsid w:val="00B70DCD"/>
    <w:rsid w:val="00B70F0B"/>
    <w:rsid w:val="00B7158D"/>
    <w:rsid w:val="00B72FF2"/>
    <w:rsid w:val="00B75AEE"/>
    <w:rsid w:val="00B7618D"/>
    <w:rsid w:val="00B77592"/>
    <w:rsid w:val="00B80DD9"/>
    <w:rsid w:val="00B82375"/>
    <w:rsid w:val="00B82986"/>
    <w:rsid w:val="00B83A39"/>
    <w:rsid w:val="00B84742"/>
    <w:rsid w:val="00B84CE0"/>
    <w:rsid w:val="00B84DED"/>
    <w:rsid w:val="00B84E12"/>
    <w:rsid w:val="00B864B1"/>
    <w:rsid w:val="00B904FD"/>
    <w:rsid w:val="00B920B6"/>
    <w:rsid w:val="00B92FAF"/>
    <w:rsid w:val="00B94D15"/>
    <w:rsid w:val="00B96DB0"/>
    <w:rsid w:val="00B97623"/>
    <w:rsid w:val="00BA0673"/>
    <w:rsid w:val="00BA102B"/>
    <w:rsid w:val="00BA127E"/>
    <w:rsid w:val="00BA2375"/>
    <w:rsid w:val="00BA296C"/>
    <w:rsid w:val="00BA3698"/>
    <w:rsid w:val="00BA3A66"/>
    <w:rsid w:val="00BA472C"/>
    <w:rsid w:val="00BA5616"/>
    <w:rsid w:val="00BA57E0"/>
    <w:rsid w:val="00BA5F41"/>
    <w:rsid w:val="00BA70FD"/>
    <w:rsid w:val="00BB1DCE"/>
    <w:rsid w:val="00BB2B34"/>
    <w:rsid w:val="00BB3CFD"/>
    <w:rsid w:val="00BB416B"/>
    <w:rsid w:val="00BB5962"/>
    <w:rsid w:val="00BB692C"/>
    <w:rsid w:val="00BC0145"/>
    <w:rsid w:val="00BC0841"/>
    <w:rsid w:val="00BC5F03"/>
    <w:rsid w:val="00BC621D"/>
    <w:rsid w:val="00BC6284"/>
    <w:rsid w:val="00BC6C6A"/>
    <w:rsid w:val="00BD2C44"/>
    <w:rsid w:val="00BD2DA6"/>
    <w:rsid w:val="00BD329C"/>
    <w:rsid w:val="00BD3E15"/>
    <w:rsid w:val="00BD4638"/>
    <w:rsid w:val="00BD50CC"/>
    <w:rsid w:val="00BD6731"/>
    <w:rsid w:val="00BD6ABC"/>
    <w:rsid w:val="00BD7891"/>
    <w:rsid w:val="00BE0E54"/>
    <w:rsid w:val="00BE1951"/>
    <w:rsid w:val="00BE50FB"/>
    <w:rsid w:val="00BE5204"/>
    <w:rsid w:val="00BE6C10"/>
    <w:rsid w:val="00BE7819"/>
    <w:rsid w:val="00BE7B2D"/>
    <w:rsid w:val="00BF048B"/>
    <w:rsid w:val="00BF0568"/>
    <w:rsid w:val="00BF1CF9"/>
    <w:rsid w:val="00BF2A12"/>
    <w:rsid w:val="00BF2E86"/>
    <w:rsid w:val="00BF32B4"/>
    <w:rsid w:val="00BF3A41"/>
    <w:rsid w:val="00BF40D5"/>
    <w:rsid w:val="00BF61C4"/>
    <w:rsid w:val="00BF68A9"/>
    <w:rsid w:val="00BF6F6D"/>
    <w:rsid w:val="00BF73DB"/>
    <w:rsid w:val="00C01508"/>
    <w:rsid w:val="00C01572"/>
    <w:rsid w:val="00C0275C"/>
    <w:rsid w:val="00C02A6E"/>
    <w:rsid w:val="00C037D1"/>
    <w:rsid w:val="00C038C8"/>
    <w:rsid w:val="00C04866"/>
    <w:rsid w:val="00C05ABB"/>
    <w:rsid w:val="00C06F2F"/>
    <w:rsid w:val="00C07630"/>
    <w:rsid w:val="00C07F45"/>
    <w:rsid w:val="00C10EE0"/>
    <w:rsid w:val="00C11383"/>
    <w:rsid w:val="00C113B6"/>
    <w:rsid w:val="00C11566"/>
    <w:rsid w:val="00C1240F"/>
    <w:rsid w:val="00C12556"/>
    <w:rsid w:val="00C12574"/>
    <w:rsid w:val="00C12AE8"/>
    <w:rsid w:val="00C1302B"/>
    <w:rsid w:val="00C14719"/>
    <w:rsid w:val="00C14EB8"/>
    <w:rsid w:val="00C1540B"/>
    <w:rsid w:val="00C15AA4"/>
    <w:rsid w:val="00C17EE0"/>
    <w:rsid w:val="00C207DD"/>
    <w:rsid w:val="00C20E76"/>
    <w:rsid w:val="00C21246"/>
    <w:rsid w:val="00C23E9A"/>
    <w:rsid w:val="00C24761"/>
    <w:rsid w:val="00C253CD"/>
    <w:rsid w:val="00C2597A"/>
    <w:rsid w:val="00C2723C"/>
    <w:rsid w:val="00C27BA8"/>
    <w:rsid w:val="00C308B8"/>
    <w:rsid w:val="00C31F22"/>
    <w:rsid w:val="00C36122"/>
    <w:rsid w:val="00C4097D"/>
    <w:rsid w:val="00C41078"/>
    <w:rsid w:val="00C414B8"/>
    <w:rsid w:val="00C41EDD"/>
    <w:rsid w:val="00C42E0E"/>
    <w:rsid w:val="00C439B8"/>
    <w:rsid w:val="00C4576B"/>
    <w:rsid w:val="00C46E82"/>
    <w:rsid w:val="00C47D00"/>
    <w:rsid w:val="00C51257"/>
    <w:rsid w:val="00C5292D"/>
    <w:rsid w:val="00C538EF"/>
    <w:rsid w:val="00C53A49"/>
    <w:rsid w:val="00C544FD"/>
    <w:rsid w:val="00C553D0"/>
    <w:rsid w:val="00C55EB1"/>
    <w:rsid w:val="00C5636B"/>
    <w:rsid w:val="00C565BD"/>
    <w:rsid w:val="00C5771B"/>
    <w:rsid w:val="00C57C0D"/>
    <w:rsid w:val="00C60371"/>
    <w:rsid w:val="00C6170A"/>
    <w:rsid w:val="00C618DF"/>
    <w:rsid w:val="00C61D57"/>
    <w:rsid w:val="00C62848"/>
    <w:rsid w:val="00C65397"/>
    <w:rsid w:val="00C65B6C"/>
    <w:rsid w:val="00C65CEA"/>
    <w:rsid w:val="00C6620C"/>
    <w:rsid w:val="00C669C4"/>
    <w:rsid w:val="00C673B5"/>
    <w:rsid w:val="00C67BB0"/>
    <w:rsid w:val="00C7175B"/>
    <w:rsid w:val="00C71AB0"/>
    <w:rsid w:val="00C769BF"/>
    <w:rsid w:val="00C77454"/>
    <w:rsid w:val="00C80945"/>
    <w:rsid w:val="00C80FE1"/>
    <w:rsid w:val="00C83A69"/>
    <w:rsid w:val="00C852BF"/>
    <w:rsid w:val="00C852D7"/>
    <w:rsid w:val="00C85745"/>
    <w:rsid w:val="00C8593D"/>
    <w:rsid w:val="00C85A56"/>
    <w:rsid w:val="00C85C31"/>
    <w:rsid w:val="00C86E48"/>
    <w:rsid w:val="00C9061B"/>
    <w:rsid w:val="00C909AB"/>
    <w:rsid w:val="00C933D3"/>
    <w:rsid w:val="00C942F6"/>
    <w:rsid w:val="00C94BEA"/>
    <w:rsid w:val="00C9571C"/>
    <w:rsid w:val="00C9671E"/>
    <w:rsid w:val="00C96C27"/>
    <w:rsid w:val="00C973B5"/>
    <w:rsid w:val="00C97600"/>
    <w:rsid w:val="00C97ED7"/>
    <w:rsid w:val="00CA0913"/>
    <w:rsid w:val="00CA11FB"/>
    <w:rsid w:val="00CA30A6"/>
    <w:rsid w:val="00CA33BB"/>
    <w:rsid w:val="00CA4AF9"/>
    <w:rsid w:val="00CB007A"/>
    <w:rsid w:val="00CB0466"/>
    <w:rsid w:val="00CB1334"/>
    <w:rsid w:val="00CB4910"/>
    <w:rsid w:val="00CB4BF9"/>
    <w:rsid w:val="00CB51AA"/>
    <w:rsid w:val="00CB637C"/>
    <w:rsid w:val="00CC0617"/>
    <w:rsid w:val="00CC2324"/>
    <w:rsid w:val="00CC5EA6"/>
    <w:rsid w:val="00CC74B9"/>
    <w:rsid w:val="00CD0410"/>
    <w:rsid w:val="00CD12C2"/>
    <w:rsid w:val="00CD1FCB"/>
    <w:rsid w:val="00CD404C"/>
    <w:rsid w:val="00CD53F6"/>
    <w:rsid w:val="00CD57D0"/>
    <w:rsid w:val="00CD634E"/>
    <w:rsid w:val="00CD7FA7"/>
    <w:rsid w:val="00CE14B5"/>
    <w:rsid w:val="00CE15D0"/>
    <w:rsid w:val="00CE4FB8"/>
    <w:rsid w:val="00CE5086"/>
    <w:rsid w:val="00CE7B1F"/>
    <w:rsid w:val="00CE7C95"/>
    <w:rsid w:val="00CE7D58"/>
    <w:rsid w:val="00CF185B"/>
    <w:rsid w:val="00CF1F8B"/>
    <w:rsid w:val="00CF3627"/>
    <w:rsid w:val="00CF46D4"/>
    <w:rsid w:val="00CF6F13"/>
    <w:rsid w:val="00CF7858"/>
    <w:rsid w:val="00CF7F83"/>
    <w:rsid w:val="00D008F6"/>
    <w:rsid w:val="00D0148A"/>
    <w:rsid w:val="00D019B1"/>
    <w:rsid w:val="00D038B1"/>
    <w:rsid w:val="00D043F0"/>
    <w:rsid w:val="00D04BB3"/>
    <w:rsid w:val="00D072F2"/>
    <w:rsid w:val="00D07619"/>
    <w:rsid w:val="00D07AE7"/>
    <w:rsid w:val="00D10CCD"/>
    <w:rsid w:val="00D115C1"/>
    <w:rsid w:val="00D1222C"/>
    <w:rsid w:val="00D12397"/>
    <w:rsid w:val="00D12BB1"/>
    <w:rsid w:val="00D133DC"/>
    <w:rsid w:val="00D136B5"/>
    <w:rsid w:val="00D151A8"/>
    <w:rsid w:val="00D15D8F"/>
    <w:rsid w:val="00D15E9F"/>
    <w:rsid w:val="00D16C3C"/>
    <w:rsid w:val="00D20001"/>
    <w:rsid w:val="00D2016B"/>
    <w:rsid w:val="00D209A7"/>
    <w:rsid w:val="00D22E51"/>
    <w:rsid w:val="00D24FB9"/>
    <w:rsid w:val="00D26615"/>
    <w:rsid w:val="00D317EB"/>
    <w:rsid w:val="00D318E5"/>
    <w:rsid w:val="00D320B5"/>
    <w:rsid w:val="00D32E24"/>
    <w:rsid w:val="00D33BB7"/>
    <w:rsid w:val="00D33CA9"/>
    <w:rsid w:val="00D33F83"/>
    <w:rsid w:val="00D33FF7"/>
    <w:rsid w:val="00D34360"/>
    <w:rsid w:val="00D35157"/>
    <w:rsid w:val="00D35264"/>
    <w:rsid w:val="00D36071"/>
    <w:rsid w:val="00D36115"/>
    <w:rsid w:val="00D36A74"/>
    <w:rsid w:val="00D4183C"/>
    <w:rsid w:val="00D4322B"/>
    <w:rsid w:val="00D44B36"/>
    <w:rsid w:val="00D454A1"/>
    <w:rsid w:val="00D46DDF"/>
    <w:rsid w:val="00D46FF1"/>
    <w:rsid w:val="00D50B7F"/>
    <w:rsid w:val="00D50FE5"/>
    <w:rsid w:val="00D52635"/>
    <w:rsid w:val="00D5264C"/>
    <w:rsid w:val="00D54BC6"/>
    <w:rsid w:val="00D54F40"/>
    <w:rsid w:val="00D55260"/>
    <w:rsid w:val="00D56CE1"/>
    <w:rsid w:val="00D57160"/>
    <w:rsid w:val="00D60010"/>
    <w:rsid w:val="00D63985"/>
    <w:rsid w:val="00D64991"/>
    <w:rsid w:val="00D705DF"/>
    <w:rsid w:val="00D71019"/>
    <w:rsid w:val="00D71AF5"/>
    <w:rsid w:val="00D7370D"/>
    <w:rsid w:val="00D74239"/>
    <w:rsid w:val="00D7491D"/>
    <w:rsid w:val="00D75AB4"/>
    <w:rsid w:val="00D763EC"/>
    <w:rsid w:val="00D7788E"/>
    <w:rsid w:val="00D77FCD"/>
    <w:rsid w:val="00D80056"/>
    <w:rsid w:val="00D80AEE"/>
    <w:rsid w:val="00D81AA7"/>
    <w:rsid w:val="00D8321F"/>
    <w:rsid w:val="00D84A31"/>
    <w:rsid w:val="00D8535E"/>
    <w:rsid w:val="00D903B8"/>
    <w:rsid w:val="00D9061F"/>
    <w:rsid w:val="00D91219"/>
    <w:rsid w:val="00D91D8C"/>
    <w:rsid w:val="00D93E57"/>
    <w:rsid w:val="00D9499B"/>
    <w:rsid w:val="00D9724A"/>
    <w:rsid w:val="00D97519"/>
    <w:rsid w:val="00DA03BE"/>
    <w:rsid w:val="00DA26B8"/>
    <w:rsid w:val="00DA2B7E"/>
    <w:rsid w:val="00DA2F08"/>
    <w:rsid w:val="00DA3318"/>
    <w:rsid w:val="00DA3903"/>
    <w:rsid w:val="00DA45EB"/>
    <w:rsid w:val="00DA4BF4"/>
    <w:rsid w:val="00DA5033"/>
    <w:rsid w:val="00DA5D9C"/>
    <w:rsid w:val="00DA5E3C"/>
    <w:rsid w:val="00DA6AE4"/>
    <w:rsid w:val="00DA6EB7"/>
    <w:rsid w:val="00DA7ECD"/>
    <w:rsid w:val="00DA7FA7"/>
    <w:rsid w:val="00DB1C83"/>
    <w:rsid w:val="00DB251A"/>
    <w:rsid w:val="00DB338C"/>
    <w:rsid w:val="00DB374F"/>
    <w:rsid w:val="00DB4D1F"/>
    <w:rsid w:val="00DB5534"/>
    <w:rsid w:val="00DB6621"/>
    <w:rsid w:val="00DB6F18"/>
    <w:rsid w:val="00DC0A18"/>
    <w:rsid w:val="00DC1CF3"/>
    <w:rsid w:val="00DC2B5C"/>
    <w:rsid w:val="00DC3746"/>
    <w:rsid w:val="00DC5704"/>
    <w:rsid w:val="00DC65F5"/>
    <w:rsid w:val="00DD05B2"/>
    <w:rsid w:val="00DD1ED9"/>
    <w:rsid w:val="00DD5266"/>
    <w:rsid w:val="00DD5618"/>
    <w:rsid w:val="00DD6DBB"/>
    <w:rsid w:val="00DD6E18"/>
    <w:rsid w:val="00DE0649"/>
    <w:rsid w:val="00DE0C40"/>
    <w:rsid w:val="00DE1466"/>
    <w:rsid w:val="00DE290D"/>
    <w:rsid w:val="00DE38C7"/>
    <w:rsid w:val="00DE47BE"/>
    <w:rsid w:val="00DE4FDB"/>
    <w:rsid w:val="00DE639A"/>
    <w:rsid w:val="00DE6A83"/>
    <w:rsid w:val="00DE6E43"/>
    <w:rsid w:val="00DE7199"/>
    <w:rsid w:val="00DE777E"/>
    <w:rsid w:val="00DF2970"/>
    <w:rsid w:val="00DF4D3C"/>
    <w:rsid w:val="00DF5244"/>
    <w:rsid w:val="00DF593D"/>
    <w:rsid w:val="00DF5F24"/>
    <w:rsid w:val="00DF6187"/>
    <w:rsid w:val="00DF67C0"/>
    <w:rsid w:val="00DF7330"/>
    <w:rsid w:val="00DF797F"/>
    <w:rsid w:val="00DF79FA"/>
    <w:rsid w:val="00E00420"/>
    <w:rsid w:val="00E00AB3"/>
    <w:rsid w:val="00E02C5D"/>
    <w:rsid w:val="00E02D69"/>
    <w:rsid w:val="00E0347A"/>
    <w:rsid w:val="00E03B90"/>
    <w:rsid w:val="00E047AE"/>
    <w:rsid w:val="00E06292"/>
    <w:rsid w:val="00E06F1E"/>
    <w:rsid w:val="00E074F2"/>
    <w:rsid w:val="00E0751D"/>
    <w:rsid w:val="00E078F6"/>
    <w:rsid w:val="00E11186"/>
    <w:rsid w:val="00E11296"/>
    <w:rsid w:val="00E11A5D"/>
    <w:rsid w:val="00E11B37"/>
    <w:rsid w:val="00E13331"/>
    <w:rsid w:val="00E133A3"/>
    <w:rsid w:val="00E13C4D"/>
    <w:rsid w:val="00E150AC"/>
    <w:rsid w:val="00E154D4"/>
    <w:rsid w:val="00E176D1"/>
    <w:rsid w:val="00E21917"/>
    <w:rsid w:val="00E22ECA"/>
    <w:rsid w:val="00E23A3F"/>
    <w:rsid w:val="00E243A0"/>
    <w:rsid w:val="00E24B75"/>
    <w:rsid w:val="00E25650"/>
    <w:rsid w:val="00E260B3"/>
    <w:rsid w:val="00E26B34"/>
    <w:rsid w:val="00E2793C"/>
    <w:rsid w:val="00E30280"/>
    <w:rsid w:val="00E305BE"/>
    <w:rsid w:val="00E31202"/>
    <w:rsid w:val="00E318B0"/>
    <w:rsid w:val="00E331EE"/>
    <w:rsid w:val="00E332A5"/>
    <w:rsid w:val="00E33578"/>
    <w:rsid w:val="00E3408B"/>
    <w:rsid w:val="00E36728"/>
    <w:rsid w:val="00E36B86"/>
    <w:rsid w:val="00E37121"/>
    <w:rsid w:val="00E40402"/>
    <w:rsid w:val="00E41B5A"/>
    <w:rsid w:val="00E4760F"/>
    <w:rsid w:val="00E47A9D"/>
    <w:rsid w:val="00E47DEA"/>
    <w:rsid w:val="00E50D0F"/>
    <w:rsid w:val="00E5228B"/>
    <w:rsid w:val="00E531B2"/>
    <w:rsid w:val="00E53788"/>
    <w:rsid w:val="00E5454B"/>
    <w:rsid w:val="00E546DA"/>
    <w:rsid w:val="00E554ED"/>
    <w:rsid w:val="00E55EDA"/>
    <w:rsid w:val="00E56305"/>
    <w:rsid w:val="00E567EF"/>
    <w:rsid w:val="00E56ED4"/>
    <w:rsid w:val="00E571C1"/>
    <w:rsid w:val="00E6287A"/>
    <w:rsid w:val="00E62FCD"/>
    <w:rsid w:val="00E64716"/>
    <w:rsid w:val="00E65ED7"/>
    <w:rsid w:val="00E6639A"/>
    <w:rsid w:val="00E66FAE"/>
    <w:rsid w:val="00E67371"/>
    <w:rsid w:val="00E70191"/>
    <w:rsid w:val="00E72F8C"/>
    <w:rsid w:val="00E72FB9"/>
    <w:rsid w:val="00E74175"/>
    <w:rsid w:val="00E74DEA"/>
    <w:rsid w:val="00E75036"/>
    <w:rsid w:val="00E751BD"/>
    <w:rsid w:val="00E75298"/>
    <w:rsid w:val="00E75CFB"/>
    <w:rsid w:val="00E7730B"/>
    <w:rsid w:val="00E81B79"/>
    <w:rsid w:val="00E82266"/>
    <w:rsid w:val="00E8435A"/>
    <w:rsid w:val="00E85A9C"/>
    <w:rsid w:val="00E85C78"/>
    <w:rsid w:val="00E860E1"/>
    <w:rsid w:val="00E87036"/>
    <w:rsid w:val="00E874DD"/>
    <w:rsid w:val="00E90D14"/>
    <w:rsid w:val="00E91482"/>
    <w:rsid w:val="00E91B56"/>
    <w:rsid w:val="00E91CA1"/>
    <w:rsid w:val="00E91FCE"/>
    <w:rsid w:val="00E93907"/>
    <w:rsid w:val="00E93D74"/>
    <w:rsid w:val="00E9438C"/>
    <w:rsid w:val="00E9572A"/>
    <w:rsid w:val="00E95BBE"/>
    <w:rsid w:val="00E96302"/>
    <w:rsid w:val="00E96881"/>
    <w:rsid w:val="00EA029C"/>
    <w:rsid w:val="00EA05A2"/>
    <w:rsid w:val="00EA1D29"/>
    <w:rsid w:val="00EA1E42"/>
    <w:rsid w:val="00EA5706"/>
    <w:rsid w:val="00EA6281"/>
    <w:rsid w:val="00EA6BE2"/>
    <w:rsid w:val="00EA70C4"/>
    <w:rsid w:val="00EA7FA7"/>
    <w:rsid w:val="00EB00BC"/>
    <w:rsid w:val="00EB0515"/>
    <w:rsid w:val="00EB3513"/>
    <w:rsid w:val="00EB41CB"/>
    <w:rsid w:val="00EB4D47"/>
    <w:rsid w:val="00EB5B44"/>
    <w:rsid w:val="00EB7C1A"/>
    <w:rsid w:val="00EB7CE6"/>
    <w:rsid w:val="00EC1652"/>
    <w:rsid w:val="00EC3958"/>
    <w:rsid w:val="00EC42FA"/>
    <w:rsid w:val="00EC44A3"/>
    <w:rsid w:val="00EC5610"/>
    <w:rsid w:val="00EC6CC0"/>
    <w:rsid w:val="00EC7498"/>
    <w:rsid w:val="00EC7765"/>
    <w:rsid w:val="00ED1BC8"/>
    <w:rsid w:val="00ED38E5"/>
    <w:rsid w:val="00ED4DC9"/>
    <w:rsid w:val="00ED5183"/>
    <w:rsid w:val="00ED6FAE"/>
    <w:rsid w:val="00EE06B7"/>
    <w:rsid w:val="00EE0BC2"/>
    <w:rsid w:val="00EE2BA1"/>
    <w:rsid w:val="00EE30A9"/>
    <w:rsid w:val="00EE33F4"/>
    <w:rsid w:val="00EE6CAA"/>
    <w:rsid w:val="00EE710F"/>
    <w:rsid w:val="00EF0114"/>
    <w:rsid w:val="00EF0A4E"/>
    <w:rsid w:val="00EF1BAE"/>
    <w:rsid w:val="00EF3ED9"/>
    <w:rsid w:val="00EF5301"/>
    <w:rsid w:val="00EF5CF6"/>
    <w:rsid w:val="00EF6015"/>
    <w:rsid w:val="00EF61BE"/>
    <w:rsid w:val="00EF6731"/>
    <w:rsid w:val="00EF7394"/>
    <w:rsid w:val="00F0091B"/>
    <w:rsid w:val="00F02488"/>
    <w:rsid w:val="00F029D3"/>
    <w:rsid w:val="00F02E23"/>
    <w:rsid w:val="00F03F71"/>
    <w:rsid w:val="00F0426F"/>
    <w:rsid w:val="00F05305"/>
    <w:rsid w:val="00F05F4D"/>
    <w:rsid w:val="00F0608C"/>
    <w:rsid w:val="00F06954"/>
    <w:rsid w:val="00F07503"/>
    <w:rsid w:val="00F10F4E"/>
    <w:rsid w:val="00F11459"/>
    <w:rsid w:val="00F11D86"/>
    <w:rsid w:val="00F134F5"/>
    <w:rsid w:val="00F1469B"/>
    <w:rsid w:val="00F20488"/>
    <w:rsid w:val="00F24737"/>
    <w:rsid w:val="00F24DD4"/>
    <w:rsid w:val="00F25F43"/>
    <w:rsid w:val="00F31378"/>
    <w:rsid w:val="00F31FAD"/>
    <w:rsid w:val="00F343CE"/>
    <w:rsid w:val="00F34855"/>
    <w:rsid w:val="00F35D5D"/>
    <w:rsid w:val="00F3684F"/>
    <w:rsid w:val="00F36895"/>
    <w:rsid w:val="00F36E77"/>
    <w:rsid w:val="00F378A2"/>
    <w:rsid w:val="00F400F5"/>
    <w:rsid w:val="00F40782"/>
    <w:rsid w:val="00F4141D"/>
    <w:rsid w:val="00F43584"/>
    <w:rsid w:val="00F439D7"/>
    <w:rsid w:val="00F44142"/>
    <w:rsid w:val="00F44DAB"/>
    <w:rsid w:val="00F46B2F"/>
    <w:rsid w:val="00F4754E"/>
    <w:rsid w:val="00F4756D"/>
    <w:rsid w:val="00F47B85"/>
    <w:rsid w:val="00F50323"/>
    <w:rsid w:val="00F51616"/>
    <w:rsid w:val="00F51D6C"/>
    <w:rsid w:val="00F5388A"/>
    <w:rsid w:val="00F5497F"/>
    <w:rsid w:val="00F54BDD"/>
    <w:rsid w:val="00F5645C"/>
    <w:rsid w:val="00F61386"/>
    <w:rsid w:val="00F6214B"/>
    <w:rsid w:val="00F62F3F"/>
    <w:rsid w:val="00F63353"/>
    <w:rsid w:val="00F647BA"/>
    <w:rsid w:val="00F6562A"/>
    <w:rsid w:val="00F66666"/>
    <w:rsid w:val="00F666CD"/>
    <w:rsid w:val="00F670CC"/>
    <w:rsid w:val="00F672BB"/>
    <w:rsid w:val="00F70350"/>
    <w:rsid w:val="00F71624"/>
    <w:rsid w:val="00F71AAE"/>
    <w:rsid w:val="00F730E7"/>
    <w:rsid w:val="00F73C63"/>
    <w:rsid w:val="00F74ABB"/>
    <w:rsid w:val="00F75611"/>
    <w:rsid w:val="00F75666"/>
    <w:rsid w:val="00F7607C"/>
    <w:rsid w:val="00F763A4"/>
    <w:rsid w:val="00F77AC6"/>
    <w:rsid w:val="00F80D26"/>
    <w:rsid w:val="00F81BB0"/>
    <w:rsid w:val="00F81D70"/>
    <w:rsid w:val="00F82442"/>
    <w:rsid w:val="00F8255A"/>
    <w:rsid w:val="00F83E7B"/>
    <w:rsid w:val="00F84A62"/>
    <w:rsid w:val="00F86207"/>
    <w:rsid w:val="00F86EAA"/>
    <w:rsid w:val="00F87483"/>
    <w:rsid w:val="00F87D8E"/>
    <w:rsid w:val="00F91020"/>
    <w:rsid w:val="00F923D0"/>
    <w:rsid w:val="00F92BF9"/>
    <w:rsid w:val="00F9582D"/>
    <w:rsid w:val="00F96648"/>
    <w:rsid w:val="00FA0FA6"/>
    <w:rsid w:val="00FA225A"/>
    <w:rsid w:val="00FA29DB"/>
    <w:rsid w:val="00FA3C51"/>
    <w:rsid w:val="00FA3EBF"/>
    <w:rsid w:val="00FA4E7B"/>
    <w:rsid w:val="00FA7DAA"/>
    <w:rsid w:val="00FB042F"/>
    <w:rsid w:val="00FB0C7C"/>
    <w:rsid w:val="00FB164A"/>
    <w:rsid w:val="00FB1770"/>
    <w:rsid w:val="00FB239D"/>
    <w:rsid w:val="00FB2552"/>
    <w:rsid w:val="00FB311E"/>
    <w:rsid w:val="00FB55BC"/>
    <w:rsid w:val="00FB61A3"/>
    <w:rsid w:val="00FB6235"/>
    <w:rsid w:val="00FC01B0"/>
    <w:rsid w:val="00FC252C"/>
    <w:rsid w:val="00FC3C88"/>
    <w:rsid w:val="00FC4095"/>
    <w:rsid w:val="00FC540F"/>
    <w:rsid w:val="00FC576E"/>
    <w:rsid w:val="00FC643F"/>
    <w:rsid w:val="00FC7235"/>
    <w:rsid w:val="00FC7574"/>
    <w:rsid w:val="00FD0405"/>
    <w:rsid w:val="00FD07DA"/>
    <w:rsid w:val="00FD1C87"/>
    <w:rsid w:val="00FD251A"/>
    <w:rsid w:val="00FD543F"/>
    <w:rsid w:val="00FD5903"/>
    <w:rsid w:val="00FD5A20"/>
    <w:rsid w:val="00FD5C2E"/>
    <w:rsid w:val="00FD6112"/>
    <w:rsid w:val="00FD6283"/>
    <w:rsid w:val="00FD65D8"/>
    <w:rsid w:val="00FD7383"/>
    <w:rsid w:val="00FE0491"/>
    <w:rsid w:val="00FE0FA8"/>
    <w:rsid w:val="00FE17ED"/>
    <w:rsid w:val="00FE21F6"/>
    <w:rsid w:val="00FE2E62"/>
    <w:rsid w:val="00FE3258"/>
    <w:rsid w:val="00FE4257"/>
    <w:rsid w:val="00FE499D"/>
    <w:rsid w:val="00FE5256"/>
    <w:rsid w:val="00FE5C24"/>
    <w:rsid w:val="00FE6219"/>
    <w:rsid w:val="00FE6E33"/>
    <w:rsid w:val="00FE731A"/>
    <w:rsid w:val="00FE7A65"/>
    <w:rsid w:val="00FF11D1"/>
    <w:rsid w:val="00FF1C31"/>
    <w:rsid w:val="00FF1CA3"/>
    <w:rsid w:val="00FF25BF"/>
    <w:rsid w:val="00FF2BBE"/>
    <w:rsid w:val="00FF2D4B"/>
    <w:rsid w:val="00FF3836"/>
    <w:rsid w:val="00FF56ED"/>
    <w:rsid w:val="00FF64F2"/>
    <w:rsid w:val="00FF7E9E"/>
    <w:rsid w:val="015D169F"/>
    <w:rsid w:val="017566A6"/>
    <w:rsid w:val="018EB69D"/>
    <w:rsid w:val="029C5E71"/>
    <w:rsid w:val="03EED89D"/>
    <w:rsid w:val="0734676C"/>
    <w:rsid w:val="07480F3C"/>
    <w:rsid w:val="091ACB21"/>
    <w:rsid w:val="0B57B8FD"/>
    <w:rsid w:val="0B8EDA02"/>
    <w:rsid w:val="0C692A66"/>
    <w:rsid w:val="0CB620DD"/>
    <w:rsid w:val="0D2358BC"/>
    <w:rsid w:val="0D8607F8"/>
    <w:rsid w:val="0E69EDAA"/>
    <w:rsid w:val="0F20A4D0"/>
    <w:rsid w:val="0F2C0415"/>
    <w:rsid w:val="0F4B5AB9"/>
    <w:rsid w:val="12AC21AD"/>
    <w:rsid w:val="13A55419"/>
    <w:rsid w:val="17AD05F8"/>
    <w:rsid w:val="18D12D8C"/>
    <w:rsid w:val="196A8909"/>
    <w:rsid w:val="1B89911D"/>
    <w:rsid w:val="1CA775EE"/>
    <w:rsid w:val="1D6DEB33"/>
    <w:rsid w:val="1D91C26A"/>
    <w:rsid w:val="1ECA0835"/>
    <w:rsid w:val="1EF0E30E"/>
    <w:rsid w:val="1EF42224"/>
    <w:rsid w:val="1F305710"/>
    <w:rsid w:val="2078ABC5"/>
    <w:rsid w:val="21DBC99B"/>
    <w:rsid w:val="230A2DE4"/>
    <w:rsid w:val="23AEDD3F"/>
    <w:rsid w:val="2486B21B"/>
    <w:rsid w:val="24BDBE0F"/>
    <w:rsid w:val="24DB1C29"/>
    <w:rsid w:val="24E3C721"/>
    <w:rsid w:val="281DBA6C"/>
    <w:rsid w:val="285F097F"/>
    <w:rsid w:val="2BD70D5D"/>
    <w:rsid w:val="2EA0504A"/>
    <w:rsid w:val="2EEE73BA"/>
    <w:rsid w:val="2F98F605"/>
    <w:rsid w:val="30126EEA"/>
    <w:rsid w:val="3141533B"/>
    <w:rsid w:val="315EE2ED"/>
    <w:rsid w:val="33BE372F"/>
    <w:rsid w:val="344806B0"/>
    <w:rsid w:val="348FA010"/>
    <w:rsid w:val="36125400"/>
    <w:rsid w:val="367EA959"/>
    <w:rsid w:val="37F8BBC9"/>
    <w:rsid w:val="395FD732"/>
    <w:rsid w:val="39FB3978"/>
    <w:rsid w:val="3AA4AB76"/>
    <w:rsid w:val="3BA82495"/>
    <w:rsid w:val="3F0955DC"/>
    <w:rsid w:val="3F140A3A"/>
    <w:rsid w:val="3F7D1EF1"/>
    <w:rsid w:val="3FB51DEB"/>
    <w:rsid w:val="444D7AD7"/>
    <w:rsid w:val="456C01DA"/>
    <w:rsid w:val="45E723F4"/>
    <w:rsid w:val="48295D1B"/>
    <w:rsid w:val="488504BD"/>
    <w:rsid w:val="4972EE31"/>
    <w:rsid w:val="49C42BDB"/>
    <w:rsid w:val="4A11CDBF"/>
    <w:rsid w:val="4B717C54"/>
    <w:rsid w:val="4C0DFFA3"/>
    <w:rsid w:val="4D3E2128"/>
    <w:rsid w:val="4E323F4E"/>
    <w:rsid w:val="4EC20327"/>
    <w:rsid w:val="4F1CFF91"/>
    <w:rsid w:val="4F680DD1"/>
    <w:rsid w:val="50DD37FA"/>
    <w:rsid w:val="52EE2200"/>
    <w:rsid w:val="5350C19A"/>
    <w:rsid w:val="55A3B72A"/>
    <w:rsid w:val="55F05084"/>
    <w:rsid w:val="57F5CFA3"/>
    <w:rsid w:val="58A72C15"/>
    <w:rsid w:val="58D2F5EB"/>
    <w:rsid w:val="59B5A473"/>
    <w:rsid w:val="5A1A21F8"/>
    <w:rsid w:val="5A2472EB"/>
    <w:rsid w:val="5A5BABAC"/>
    <w:rsid w:val="5B95D529"/>
    <w:rsid w:val="5BA8624D"/>
    <w:rsid w:val="5BD24085"/>
    <w:rsid w:val="5C8DB8BC"/>
    <w:rsid w:val="5F79351A"/>
    <w:rsid w:val="5FCDECE9"/>
    <w:rsid w:val="61093572"/>
    <w:rsid w:val="630863AD"/>
    <w:rsid w:val="635E82E4"/>
    <w:rsid w:val="646BA1C0"/>
    <w:rsid w:val="64915ED6"/>
    <w:rsid w:val="66DE0131"/>
    <w:rsid w:val="69381F50"/>
    <w:rsid w:val="6A296BDB"/>
    <w:rsid w:val="6BBBDCB7"/>
    <w:rsid w:val="6CE1E3B2"/>
    <w:rsid w:val="6D1E1B4E"/>
    <w:rsid w:val="6FB4CD51"/>
    <w:rsid w:val="7051BF17"/>
    <w:rsid w:val="7116F509"/>
    <w:rsid w:val="714492E8"/>
    <w:rsid w:val="722035CA"/>
    <w:rsid w:val="7261432F"/>
    <w:rsid w:val="7387FF27"/>
    <w:rsid w:val="73E17721"/>
    <w:rsid w:val="73FA8D3C"/>
    <w:rsid w:val="74E8AE39"/>
    <w:rsid w:val="7884891C"/>
    <w:rsid w:val="79358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F15DC"/>
  <w15:docId w15:val="{008FE519-EE26-4CAF-AE01-910505D0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E31202"/>
    <w:pPr>
      <w:spacing w:before="120" w:after="60" w:line="480" w:lineRule="auto"/>
      <w:jc w:val="left"/>
    </w:pPr>
    <w:rPr>
      <w:bCs/>
    </w:rPr>
  </w:style>
  <w:style w:type="character" w:customStyle="1" w:styleId="FAAuthorInfoSubtitleChar">
    <w:name w:val="FA_Author_Info_Subtitle Char"/>
    <w:link w:val="FAAuthorInfoSubtitle"/>
    <w:rsid w:val="00E31202"/>
    <w:rPr>
      <w:rFonts w:ascii="Times" w:hAnsi="Times"/>
      <w:bCs/>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FE4257"/>
    <w:rPr>
      <w:color w:val="666666"/>
    </w:rPr>
  </w:style>
  <w:style w:type="character" w:styleId="CommentReference">
    <w:name w:val="annotation reference"/>
    <w:basedOn w:val="DefaultParagraphFont"/>
    <w:uiPriority w:val="99"/>
    <w:unhideWhenUsed/>
    <w:rsid w:val="00BA296C"/>
    <w:rPr>
      <w:sz w:val="16"/>
      <w:szCs w:val="16"/>
    </w:rPr>
  </w:style>
  <w:style w:type="paragraph" w:styleId="CommentText">
    <w:name w:val="annotation text"/>
    <w:basedOn w:val="Normal"/>
    <w:link w:val="CommentTextChar"/>
    <w:uiPriority w:val="99"/>
    <w:unhideWhenUsed/>
    <w:rsid w:val="00BA296C"/>
    <w:pPr>
      <w:spacing w:after="160"/>
      <w:jc w:val="left"/>
    </w:pPr>
    <w:rPr>
      <w:rFonts w:asciiTheme="minorHAnsi" w:eastAsia="MS Mincho" w:hAnsiTheme="minorHAnsi" w:cstheme="minorBidi"/>
      <w:sz w:val="20"/>
      <w:lang w:val="en-GB"/>
    </w:rPr>
  </w:style>
  <w:style w:type="character" w:customStyle="1" w:styleId="CommentTextChar">
    <w:name w:val="Comment Text Char"/>
    <w:basedOn w:val="DefaultParagraphFont"/>
    <w:link w:val="CommentText"/>
    <w:uiPriority w:val="99"/>
    <w:rsid w:val="00BA296C"/>
    <w:rPr>
      <w:rFonts w:asciiTheme="minorHAnsi" w:eastAsia="MS Mincho" w:hAnsiTheme="minorHAnsi" w:cstheme="minorBidi"/>
      <w:lang w:val="en-GB"/>
    </w:rPr>
  </w:style>
  <w:style w:type="table" w:styleId="TableGrid">
    <w:name w:val="Table Grid"/>
    <w:basedOn w:val="TableNormal"/>
    <w:uiPriority w:val="39"/>
    <w:rsid w:val="002420EA"/>
    <w:rPr>
      <w:rFonts w:asciiTheme="minorHAnsi" w:eastAsia="MS Mincho"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20EA"/>
    <w:pPr>
      <w:jc w:val="left"/>
    </w:pPr>
    <w:rPr>
      <w:rFonts w:asciiTheme="minorHAnsi" w:eastAsia="MS Mincho" w:hAnsiTheme="minorHAnsi" w:cstheme="minorBidi"/>
      <w:i/>
      <w:iCs/>
      <w:color w:val="1F497D" w:themeColor="text2"/>
      <w:sz w:val="18"/>
      <w:szCs w:val="18"/>
      <w:lang w:val="en-GB"/>
    </w:rPr>
  </w:style>
  <w:style w:type="paragraph" w:styleId="CommentSubject">
    <w:name w:val="annotation subject"/>
    <w:basedOn w:val="CommentText"/>
    <w:next w:val="CommentText"/>
    <w:link w:val="CommentSubjectChar"/>
    <w:rsid w:val="00783C91"/>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rsid w:val="00783C91"/>
    <w:rPr>
      <w:rFonts w:ascii="Times" w:eastAsia="MS Mincho" w:hAnsi="Times" w:cstheme="minorBidi"/>
      <w:b/>
      <w:bCs/>
      <w:lang w:val="en-GB"/>
    </w:rPr>
  </w:style>
  <w:style w:type="character" w:styleId="UnresolvedMention">
    <w:name w:val="Unresolved Mention"/>
    <w:basedOn w:val="DefaultParagraphFont"/>
    <w:uiPriority w:val="99"/>
    <w:semiHidden/>
    <w:unhideWhenUsed/>
    <w:rsid w:val="00943403"/>
    <w:rPr>
      <w:color w:val="605E5C"/>
      <w:shd w:val="clear" w:color="auto" w:fill="E1DFDD"/>
    </w:rPr>
  </w:style>
  <w:style w:type="paragraph" w:styleId="Revision">
    <w:name w:val="Revision"/>
    <w:hidden/>
    <w:uiPriority w:val="99"/>
    <w:semiHidden/>
    <w:rsid w:val="0062126E"/>
    <w:rPr>
      <w:rFonts w:ascii="Times" w:hAnsi="Times"/>
      <w:sz w:val="24"/>
    </w:rPr>
  </w:style>
  <w:style w:type="paragraph" w:styleId="Header">
    <w:name w:val="header"/>
    <w:basedOn w:val="Normal"/>
    <w:link w:val="HeaderChar"/>
    <w:rsid w:val="00BF3A41"/>
    <w:pPr>
      <w:tabs>
        <w:tab w:val="center" w:pos="4536"/>
        <w:tab w:val="right" w:pos="9072"/>
      </w:tabs>
      <w:spacing w:after="0"/>
    </w:pPr>
  </w:style>
  <w:style w:type="character" w:customStyle="1" w:styleId="HeaderChar">
    <w:name w:val="Header Char"/>
    <w:basedOn w:val="DefaultParagraphFont"/>
    <w:link w:val="Header"/>
    <w:rsid w:val="00BF3A41"/>
    <w:rPr>
      <w:rFonts w:ascii="Times" w:hAnsi="Times"/>
      <w:sz w:val="24"/>
    </w:rPr>
  </w:style>
  <w:style w:type="paragraph" w:styleId="Subtitle">
    <w:name w:val="Subtitle"/>
    <w:basedOn w:val="Normal"/>
    <w:next w:val="Normal"/>
    <w:link w:val="SubtitleChar"/>
    <w:uiPriority w:val="11"/>
    <w:qFormat/>
    <w:rsid w:val="00F02488"/>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02488"/>
    <w:rPr>
      <w:rFonts w:asciiTheme="minorHAnsi" w:eastAsiaTheme="majorEastAsia" w:hAnsiTheme="minorHAnsi" w:cstheme="majorBidi"/>
      <w:color w:val="595959" w:themeColor="text1" w:themeTint="A6"/>
      <w:spacing w:val="15"/>
      <w:kern w:val="2"/>
      <w:sz w:val="28"/>
      <w:szCs w:val="28"/>
      <w14:ligatures w14:val="standardContextual"/>
    </w:rPr>
  </w:style>
  <w:style w:type="character" w:styleId="LineNumber">
    <w:name w:val="line number"/>
    <w:basedOn w:val="DefaultParagraphFont"/>
    <w:rsid w:val="00452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466280">
      <w:bodyDiv w:val="1"/>
      <w:marLeft w:val="0"/>
      <w:marRight w:val="0"/>
      <w:marTop w:val="0"/>
      <w:marBottom w:val="0"/>
      <w:divBdr>
        <w:top w:val="none" w:sz="0" w:space="0" w:color="auto"/>
        <w:left w:val="none" w:sz="0" w:space="0" w:color="auto"/>
        <w:bottom w:val="none" w:sz="0" w:space="0" w:color="auto"/>
        <w:right w:val="none" w:sz="0" w:space="0" w:color="auto"/>
      </w:divBdr>
    </w:div>
    <w:div w:id="353652131">
      <w:bodyDiv w:val="1"/>
      <w:marLeft w:val="0"/>
      <w:marRight w:val="0"/>
      <w:marTop w:val="0"/>
      <w:marBottom w:val="0"/>
      <w:divBdr>
        <w:top w:val="none" w:sz="0" w:space="0" w:color="auto"/>
        <w:left w:val="none" w:sz="0" w:space="0" w:color="auto"/>
        <w:bottom w:val="none" w:sz="0" w:space="0" w:color="auto"/>
        <w:right w:val="none" w:sz="0" w:space="0" w:color="auto"/>
      </w:divBdr>
    </w:div>
    <w:div w:id="375929368">
      <w:bodyDiv w:val="1"/>
      <w:marLeft w:val="0"/>
      <w:marRight w:val="0"/>
      <w:marTop w:val="0"/>
      <w:marBottom w:val="0"/>
      <w:divBdr>
        <w:top w:val="none" w:sz="0" w:space="0" w:color="auto"/>
        <w:left w:val="none" w:sz="0" w:space="0" w:color="auto"/>
        <w:bottom w:val="none" w:sz="0" w:space="0" w:color="auto"/>
        <w:right w:val="none" w:sz="0" w:space="0" w:color="auto"/>
      </w:divBdr>
    </w:div>
    <w:div w:id="759906311">
      <w:bodyDiv w:val="1"/>
      <w:marLeft w:val="0"/>
      <w:marRight w:val="0"/>
      <w:marTop w:val="0"/>
      <w:marBottom w:val="0"/>
      <w:divBdr>
        <w:top w:val="none" w:sz="0" w:space="0" w:color="auto"/>
        <w:left w:val="none" w:sz="0" w:space="0" w:color="auto"/>
        <w:bottom w:val="none" w:sz="0" w:space="0" w:color="auto"/>
        <w:right w:val="none" w:sz="0" w:space="0" w:color="auto"/>
      </w:divBdr>
    </w:div>
    <w:div w:id="849300812">
      <w:bodyDiv w:val="1"/>
      <w:marLeft w:val="0"/>
      <w:marRight w:val="0"/>
      <w:marTop w:val="0"/>
      <w:marBottom w:val="0"/>
      <w:divBdr>
        <w:top w:val="none" w:sz="0" w:space="0" w:color="auto"/>
        <w:left w:val="none" w:sz="0" w:space="0" w:color="auto"/>
        <w:bottom w:val="none" w:sz="0" w:space="0" w:color="auto"/>
        <w:right w:val="none" w:sz="0" w:space="0" w:color="auto"/>
      </w:divBdr>
      <w:divsChild>
        <w:div w:id="1046678253">
          <w:marLeft w:val="0"/>
          <w:marRight w:val="0"/>
          <w:marTop w:val="0"/>
          <w:marBottom w:val="0"/>
          <w:divBdr>
            <w:top w:val="none" w:sz="0" w:space="0" w:color="auto"/>
            <w:left w:val="none" w:sz="0" w:space="0" w:color="auto"/>
            <w:bottom w:val="none" w:sz="0" w:space="0" w:color="auto"/>
            <w:right w:val="none" w:sz="0" w:space="0" w:color="auto"/>
          </w:divBdr>
          <w:divsChild>
            <w:div w:id="1734617676">
              <w:marLeft w:val="0"/>
              <w:marRight w:val="0"/>
              <w:marTop w:val="0"/>
              <w:marBottom w:val="0"/>
              <w:divBdr>
                <w:top w:val="none" w:sz="0" w:space="0" w:color="auto"/>
                <w:left w:val="none" w:sz="0" w:space="0" w:color="auto"/>
                <w:bottom w:val="none" w:sz="0" w:space="0" w:color="auto"/>
                <w:right w:val="none" w:sz="0" w:space="0" w:color="auto"/>
              </w:divBdr>
              <w:divsChild>
                <w:div w:id="308247607">
                  <w:marLeft w:val="0"/>
                  <w:marRight w:val="0"/>
                  <w:marTop w:val="0"/>
                  <w:marBottom w:val="0"/>
                  <w:divBdr>
                    <w:top w:val="none" w:sz="0" w:space="0" w:color="auto"/>
                    <w:left w:val="none" w:sz="0" w:space="0" w:color="auto"/>
                    <w:bottom w:val="none" w:sz="0" w:space="0" w:color="auto"/>
                    <w:right w:val="none" w:sz="0" w:space="0" w:color="auto"/>
                  </w:divBdr>
                  <w:divsChild>
                    <w:div w:id="10729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48071">
      <w:bodyDiv w:val="1"/>
      <w:marLeft w:val="0"/>
      <w:marRight w:val="0"/>
      <w:marTop w:val="0"/>
      <w:marBottom w:val="0"/>
      <w:divBdr>
        <w:top w:val="none" w:sz="0" w:space="0" w:color="auto"/>
        <w:left w:val="none" w:sz="0" w:space="0" w:color="auto"/>
        <w:bottom w:val="none" w:sz="0" w:space="0" w:color="auto"/>
        <w:right w:val="none" w:sz="0" w:space="0" w:color="auto"/>
      </w:divBdr>
      <w:divsChild>
        <w:div w:id="2039698433">
          <w:marLeft w:val="0"/>
          <w:marRight w:val="0"/>
          <w:marTop w:val="0"/>
          <w:marBottom w:val="0"/>
          <w:divBdr>
            <w:top w:val="none" w:sz="0" w:space="0" w:color="auto"/>
            <w:left w:val="none" w:sz="0" w:space="0" w:color="auto"/>
            <w:bottom w:val="none" w:sz="0" w:space="0" w:color="auto"/>
            <w:right w:val="none" w:sz="0" w:space="0" w:color="auto"/>
          </w:divBdr>
          <w:divsChild>
            <w:div w:id="1116170781">
              <w:marLeft w:val="0"/>
              <w:marRight w:val="0"/>
              <w:marTop w:val="0"/>
              <w:marBottom w:val="0"/>
              <w:divBdr>
                <w:top w:val="none" w:sz="0" w:space="0" w:color="auto"/>
                <w:left w:val="none" w:sz="0" w:space="0" w:color="auto"/>
                <w:bottom w:val="none" w:sz="0" w:space="0" w:color="auto"/>
                <w:right w:val="none" w:sz="0" w:space="0" w:color="auto"/>
              </w:divBdr>
              <w:divsChild>
                <w:div w:id="1408381120">
                  <w:marLeft w:val="0"/>
                  <w:marRight w:val="0"/>
                  <w:marTop w:val="0"/>
                  <w:marBottom w:val="0"/>
                  <w:divBdr>
                    <w:top w:val="none" w:sz="0" w:space="0" w:color="auto"/>
                    <w:left w:val="none" w:sz="0" w:space="0" w:color="auto"/>
                    <w:bottom w:val="none" w:sz="0" w:space="0" w:color="auto"/>
                    <w:right w:val="none" w:sz="0" w:space="0" w:color="auto"/>
                  </w:divBdr>
                  <w:divsChild>
                    <w:div w:id="10469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4899">
      <w:bodyDiv w:val="1"/>
      <w:marLeft w:val="0"/>
      <w:marRight w:val="0"/>
      <w:marTop w:val="0"/>
      <w:marBottom w:val="0"/>
      <w:divBdr>
        <w:top w:val="none" w:sz="0" w:space="0" w:color="auto"/>
        <w:left w:val="none" w:sz="0" w:space="0" w:color="auto"/>
        <w:bottom w:val="none" w:sz="0" w:space="0" w:color="auto"/>
        <w:right w:val="none" w:sz="0" w:space="0" w:color="auto"/>
      </w:divBdr>
    </w:div>
    <w:div w:id="1685934783">
      <w:bodyDiv w:val="1"/>
      <w:marLeft w:val="0"/>
      <w:marRight w:val="0"/>
      <w:marTop w:val="0"/>
      <w:marBottom w:val="0"/>
      <w:divBdr>
        <w:top w:val="none" w:sz="0" w:space="0" w:color="auto"/>
        <w:left w:val="none" w:sz="0" w:space="0" w:color="auto"/>
        <w:bottom w:val="none" w:sz="0" w:space="0" w:color="auto"/>
        <w:right w:val="none" w:sz="0" w:space="0" w:color="auto"/>
      </w:divBdr>
      <w:divsChild>
        <w:div w:id="282274805">
          <w:marLeft w:val="0"/>
          <w:marRight w:val="0"/>
          <w:marTop w:val="0"/>
          <w:marBottom w:val="0"/>
          <w:divBdr>
            <w:top w:val="none" w:sz="0" w:space="0" w:color="auto"/>
            <w:left w:val="none" w:sz="0" w:space="0" w:color="auto"/>
            <w:bottom w:val="none" w:sz="0" w:space="0" w:color="auto"/>
            <w:right w:val="none" w:sz="0" w:space="0" w:color="auto"/>
          </w:divBdr>
          <w:divsChild>
            <w:div w:id="1858423046">
              <w:marLeft w:val="0"/>
              <w:marRight w:val="0"/>
              <w:marTop w:val="0"/>
              <w:marBottom w:val="0"/>
              <w:divBdr>
                <w:top w:val="none" w:sz="0" w:space="0" w:color="auto"/>
                <w:left w:val="none" w:sz="0" w:space="0" w:color="auto"/>
                <w:bottom w:val="none" w:sz="0" w:space="0" w:color="auto"/>
                <w:right w:val="none" w:sz="0" w:space="0" w:color="auto"/>
              </w:divBdr>
              <w:divsChild>
                <w:div w:id="715739388">
                  <w:marLeft w:val="0"/>
                  <w:marRight w:val="0"/>
                  <w:marTop w:val="0"/>
                  <w:marBottom w:val="0"/>
                  <w:divBdr>
                    <w:top w:val="none" w:sz="0" w:space="0" w:color="auto"/>
                    <w:left w:val="none" w:sz="0" w:space="0" w:color="auto"/>
                    <w:bottom w:val="none" w:sz="0" w:space="0" w:color="auto"/>
                    <w:right w:val="none" w:sz="0" w:space="0" w:color="auto"/>
                  </w:divBdr>
                  <w:divsChild>
                    <w:div w:id="12261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4832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stijn.vancleuvenbergen@kuleuven.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tci.unamur.be/" TargetMode="External"/><Relationship Id="rId7" Type="http://schemas.openxmlformats.org/officeDocument/2006/relationships/settings" Target="settings.xml"/><Relationship Id="rId12" Type="http://schemas.openxmlformats.org/officeDocument/2006/relationships/hyperlink" Target="mailto:*benoit.champagne@unamur.b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ceci-hpc.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ijn.vancleuvenbergen@kuleuven.b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enoit.champagne@unamur.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doi.org/10.48804/XZHCP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137608\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7e306c-89b9-4506-ae2b-719c3661f9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1DA0F3916E074EBD55F0BB14078294" ma:contentTypeVersion="18" ma:contentTypeDescription="Create a new document." ma:contentTypeScope="" ma:versionID="7dcf388e397d87550b72f7e64d9efc12">
  <xsd:schema xmlns:xsd="http://www.w3.org/2001/XMLSchema" xmlns:xs="http://www.w3.org/2001/XMLSchema" xmlns:p="http://schemas.microsoft.com/office/2006/metadata/properties" xmlns:ns3="c13ace33-c334-411f-882f-0392191ebf05" xmlns:ns4="3b7e306c-89b9-4506-ae2b-719c3661f9b6" targetNamespace="http://schemas.microsoft.com/office/2006/metadata/properties" ma:root="true" ma:fieldsID="4a79c614e0b72cedcf4bbace4eb3c079" ns3:_="" ns4:_="">
    <xsd:import namespace="c13ace33-c334-411f-882f-0392191ebf05"/>
    <xsd:import namespace="3b7e306c-89b9-4506-ae2b-719c3661f9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ace33-c334-411f-882f-0392191ebf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7e306c-89b9-4506-ae2b-719c3661f9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A66452-CF58-4D66-825A-16B7538B2331}">
  <ds:schemaRefs>
    <ds:schemaRef ds:uri="http://schemas.microsoft.com/office/2006/metadata/properties"/>
    <ds:schemaRef ds:uri="http://schemas.microsoft.com/office/infopath/2007/PartnerControls"/>
    <ds:schemaRef ds:uri="3b7e306c-89b9-4506-ae2b-719c3661f9b6"/>
  </ds:schemaRefs>
</ds:datastoreItem>
</file>

<file path=customXml/itemProps2.xml><?xml version="1.0" encoding="utf-8"?>
<ds:datastoreItem xmlns:ds="http://schemas.openxmlformats.org/officeDocument/2006/customXml" ds:itemID="{1E445790-B1CB-45EA-9A8F-3830544DC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ace33-c334-411f-882f-0392191ebf05"/>
    <ds:schemaRef ds:uri="3b7e306c-89b9-4506-ae2b-719c3661f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61B198-386E-4B1D-8140-E0D73C97F791}">
  <ds:schemaRefs>
    <ds:schemaRef ds:uri="http://schemas.openxmlformats.org/officeDocument/2006/bibliography"/>
  </ds:schemaRefs>
</ds:datastoreItem>
</file>

<file path=customXml/itemProps4.xml><?xml version="1.0" encoding="utf-8"?>
<ds:datastoreItem xmlns:ds="http://schemas.openxmlformats.org/officeDocument/2006/customXml" ds:itemID="{858C53E9-0969-4F8C-AA0A-ED4590C41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acstemplate_msw2010</Template>
  <TotalTime>46</TotalTime>
  <Pages>41</Pages>
  <Words>37363</Words>
  <Characters>212974</Characters>
  <Application>Microsoft Office Word</Application>
  <DocSecurity>0</DocSecurity>
  <Lines>1774</Lines>
  <Paragraphs>499</Paragraphs>
  <ScaleCrop>false</ScaleCrop>
  <HeadingPairs>
    <vt:vector size="2" baseType="variant">
      <vt:variant>
        <vt:lpstr>Titre</vt:lpstr>
      </vt:variant>
      <vt:variant>
        <vt:i4>1</vt:i4>
      </vt:variant>
    </vt:vector>
  </HeadingPairs>
  <TitlesOfParts>
    <vt:vector size="1" baseType="lpstr">
      <vt:lpstr>Template for Electronic Submission to ACS Journals</vt:lpstr>
    </vt:vector>
  </TitlesOfParts>
  <Company>ACS</Company>
  <LinksUpToDate>false</LinksUpToDate>
  <CharactersWithSpaces>249838</CharactersWithSpaces>
  <SharedDoc>false</SharedDoc>
  <HLinks>
    <vt:vector size="42" baseType="variant">
      <vt:variant>
        <vt:i4>6619236</vt:i4>
      </vt:variant>
      <vt:variant>
        <vt:i4>180</vt:i4>
      </vt:variant>
      <vt:variant>
        <vt:i4>0</vt:i4>
      </vt:variant>
      <vt:variant>
        <vt:i4>5</vt:i4>
      </vt:variant>
      <vt:variant>
        <vt:lpwstr>https://doi.org/10.48804/XZHCPU</vt:lpwstr>
      </vt:variant>
      <vt:variant>
        <vt:lpwstr/>
      </vt:variant>
      <vt:variant>
        <vt:i4>2752615</vt:i4>
      </vt:variant>
      <vt:variant>
        <vt:i4>177</vt:i4>
      </vt:variant>
      <vt:variant>
        <vt:i4>0</vt:i4>
      </vt:variant>
      <vt:variant>
        <vt:i4>5</vt:i4>
      </vt:variant>
      <vt:variant>
        <vt:lpwstr>http://www.ptci.unamur.be/</vt:lpwstr>
      </vt:variant>
      <vt:variant>
        <vt:lpwstr/>
      </vt:variant>
      <vt:variant>
        <vt:i4>3997749</vt:i4>
      </vt:variant>
      <vt:variant>
        <vt:i4>174</vt:i4>
      </vt:variant>
      <vt:variant>
        <vt:i4>0</vt:i4>
      </vt:variant>
      <vt:variant>
        <vt:i4>5</vt:i4>
      </vt:variant>
      <vt:variant>
        <vt:lpwstr>http://www.ceci-hpc.be/</vt:lpwstr>
      </vt:variant>
      <vt:variant>
        <vt:lpwstr/>
      </vt:variant>
      <vt:variant>
        <vt:i4>7077976</vt:i4>
      </vt:variant>
      <vt:variant>
        <vt:i4>171</vt:i4>
      </vt:variant>
      <vt:variant>
        <vt:i4>0</vt:i4>
      </vt:variant>
      <vt:variant>
        <vt:i4>5</vt:i4>
      </vt:variant>
      <vt:variant>
        <vt:lpwstr>mailto:*benoit.champagne@unamur.be</vt:lpwstr>
      </vt:variant>
      <vt:variant>
        <vt:lpwstr/>
      </vt:variant>
      <vt:variant>
        <vt:i4>3604485</vt:i4>
      </vt:variant>
      <vt:variant>
        <vt:i4>168</vt:i4>
      </vt:variant>
      <vt:variant>
        <vt:i4>0</vt:i4>
      </vt:variant>
      <vt:variant>
        <vt:i4>5</vt:i4>
      </vt:variant>
      <vt:variant>
        <vt:lpwstr>mailto:*Stijn.vancleuvenbergen@kuleuven.be</vt:lpwstr>
      </vt:variant>
      <vt:variant>
        <vt:lpwstr/>
      </vt:variant>
      <vt:variant>
        <vt:i4>7077976</vt:i4>
      </vt:variant>
      <vt:variant>
        <vt:i4>3</vt:i4>
      </vt:variant>
      <vt:variant>
        <vt:i4>0</vt:i4>
      </vt:variant>
      <vt:variant>
        <vt:i4>5</vt:i4>
      </vt:variant>
      <vt:variant>
        <vt:lpwstr>mailto:*benoit.champagne@unamur.be</vt:lpwstr>
      </vt:variant>
      <vt:variant>
        <vt:lpwstr/>
      </vt:variant>
      <vt:variant>
        <vt:i4>3604485</vt:i4>
      </vt:variant>
      <vt:variant>
        <vt:i4>0</vt:i4>
      </vt:variant>
      <vt:variant>
        <vt:i4>0</vt:i4>
      </vt:variant>
      <vt:variant>
        <vt:i4>5</vt:i4>
      </vt:variant>
      <vt:variant>
        <vt:lpwstr>mailto:*stijn.vancleuvenbergen@kuleuven.be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Thibaut Legat</dc:creator>
  <cp:keywords/>
  <cp:lastModifiedBy>Thibaut Legat</cp:lastModifiedBy>
  <cp:revision>13</cp:revision>
  <cp:lastPrinted>2024-11-14T16:54:00Z</cp:lastPrinted>
  <dcterms:created xsi:type="dcterms:W3CDTF">2024-11-14T16:51:00Z</dcterms:created>
  <dcterms:modified xsi:type="dcterms:W3CDTF">2024-11-25T10:25:00Z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http://www.zotero.org/styles/chemistry-of-materials</vt:lpwstr>
  </property>
  <property fmtid="{D5CDD505-2E9C-101B-9397-08002B2CF9AE}" pid="9" name="Mendeley Recent Style Name 3_1">
    <vt:lpwstr>Chemistry of Materials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http://www.zotero.org/styles/journal-of-materials-chemistry-c</vt:lpwstr>
  </property>
  <property fmtid="{D5CDD505-2E9C-101B-9397-08002B2CF9AE}" pid="13" name="Mendeley Recent Style Name 5_1">
    <vt:lpwstr>Journal of Materials Chemistry C</vt:lpwstr>
  </property>
  <property fmtid="{D5CDD505-2E9C-101B-9397-08002B2CF9AE}" pid="14" name="Mendeley Recent Style Id 6_1">
    <vt:lpwstr>http://www.zotero.org/styles/lab-on-a-chip</vt:lpwstr>
  </property>
  <property fmtid="{D5CDD505-2E9C-101B-9397-08002B2CF9AE}" pid="15" name="Mendeley Recent Style Name 6_1">
    <vt:lpwstr>Lab on a Chip</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c660df0d-6758-34fe-9e98-2371b5eaf44b</vt:lpwstr>
  </property>
  <property fmtid="{D5CDD505-2E9C-101B-9397-08002B2CF9AE}" pid="24" name="Mendeley Citation Style_1">
    <vt:lpwstr>http://www.zotero.org/styles/chemistry-of-materials</vt:lpwstr>
  </property>
  <property fmtid="{D5CDD505-2E9C-101B-9397-08002B2CF9AE}" pid="25" name="ContentTypeId">
    <vt:lpwstr>0x010100161DA0F3916E074EBD55F0BB14078294</vt:lpwstr>
  </property>
</Properties>
</file>