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206AE" w:rsidRDefault="00AD355C" w:rsidP="00AF7696">
      <w:pPr>
        <w:spacing w:after="0" w:line="480" w:lineRule="auto"/>
        <w:jc w:val="center"/>
        <w:rPr>
          <w:rFonts w:ascii="Times New Roman" w:hAnsi="Times New Roman" w:cs="Times New Roman"/>
          <w:b/>
        </w:rPr>
      </w:pPr>
      <w:r w:rsidRPr="00686DB7">
        <w:rPr>
          <w:rFonts w:ascii="Times New Roman" w:hAnsi="Times New Roman" w:cs="Times New Roman"/>
          <w:b/>
        </w:rPr>
        <w:t>Becoming Chris</w:t>
      </w:r>
      <w:r w:rsidR="00316420">
        <w:rPr>
          <w:rFonts w:ascii="Times New Roman" w:hAnsi="Times New Roman" w:cs="Times New Roman"/>
          <w:b/>
        </w:rPr>
        <w:t>tian in the Late Antique West (3</w:t>
      </w:r>
      <w:r w:rsidR="00316420" w:rsidRPr="00316420">
        <w:rPr>
          <w:rFonts w:ascii="Times New Roman" w:hAnsi="Times New Roman" w:cs="Times New Roman"/>
          <w:b/>
          <w:vertAlign w:val="superscript"/>
        </w:rPr>
        <w:t>rd</w:t>
      </w:r>
      <w:r w:rsidRPr="00686DB7">
        <w:rPr>
          <w:rFonts w:ascii="Times New Roman" w:hAnsi="Times New Roman" w:cs="Times New Roman"/>
          <w:b/>
        </w:rPr>
        <w:t>-6</w:t>
      </w:r>
      <w:r w:rsidRPr="00686DB7">
        <w:rPr>
          <w:rFonts w:ascii="Times New Roman" w:hAnsi="Times New Roman" w:cs="Times New Roman"/>
          <w:b/>
          <w:vertAlign w:val="superscript"/>
        </w:rPr>
        <w:t>th</w:t>
      </w:r>
      <w:r w:rsidRPr="00686DB7">
        <w:rPr>
          <w:rFonts w:ascii="Times New Roman" w:hAnsi="Times New Roman" w:cs="Times New Roman"/>
          <w:b/>
        </w:rPr>
        <w:t xml:space="preserve"> centuries): introduction</w:t>
      </w:r>
    </w:p>
    <w:p w:rsidR="00AF7696" w:rsidRDefault="00787740" w:rsidP="00394169">
      <w:pPr>
        <w:spacing w:after="0" w:line="360" w:lineRule="auto"/>
        <w:jc w:val="center"/>
        <w:rPr>
          <w:rFonts w:ascii="Times New Roman" w:hAnsi="Times New Roman" w:cs="Times New Roman"/>
        </w:rPr>
      </w:pPr>
      <w:r w:rsidRPr="00686DB7">
        <w:rPr>
          <w:rFonts w:ascii="Times New Roman" w:eastAsia="Times New Roman" w:hAnsi="Times New Roman" w:cs="Times New Roman"/>
        </w:rPr>
        <w:t>Ariane Bodin</w:t>
      </w:r>
      <w:r w:rsidR="005D6237">
        <w:rPr>
          <w:rFonts w:ascii="Times New Roman" w:eastAsia="Times New Roman" w:hAnsi="Times New Roman" w:cs="Times New Roman"/>
        </w:rPr>
        <w:t xml:space="preserve"> (Paris Ouest Nanterre La Défense)</w:t>
      </w:r>
      <w:r w:rsidRPr="00686DB7">
        <w:rPr>
          <w:rFonts w:ascii="Times New Roman" w:eastAsia="Times New Roman" w:hAnsi="Times New Roman" w:cs="Times New Roman"/>
        </w:rPr>
        <w:t>, Camille Gerzaguet</w:t>
      </w:r>
      <w:r w:rsidR="005D6237">
        <w:rPr>
          <w:rFonts w:ascii="Times New Roman" w:eastAsia="Times New Roman" w:hAnsi="Times New Roman" w:cs="Times New Roman"/>
        </w:rPr>
        <w:t xml:space="preserve"> (Fondation Thiers-CNRS/Sources chrétiennes)</w:t>
      </w:r>
      <w:r w:rsidRPr="00686DB7">
        <w:rPr>
          <w:rFonts w:ascii="Times New Roman" w:eastAsia="Times New Roman" w:hAnsi="Times New Roman" w:cs="Times New Roman"/>
        </w:rPr>
        <w:t>, Matthieu Pignot</w:t>
      </w:r>
      <w:r w:rsidR="005D6237">
        <w:rPr>
          <w:rFonts w:ascii="Times New Roman" w:eastAsia="Times New Roman" w:hAnsi="Times New Roman" w:cs="Times New Roman"/>
        </w:rPr>
        <w:t xml:space="preserve"> (University</w:t>
      </w:r>
      <w:r w:rsidR="007C7D9B">
        <w:rPr>
          <w:rFonts w:ascii="Times New Roman" w:eastAsia="Times New Roman" w:hAnsi="Times New Roman" w:cs="Times New Roman"/>
        </w:rPr>
        <w:t xml:space="preserve"> of Oxford</w:t>
      </w:r>
      <w:r w:rsidR="005D6237">
        <w:rPr>
          <w:rFonts w:ascii="Times New Roman" w:eastAsia="Times New Roman" w:hAnsi="Times New Roman" w:cs="Times New Roman"/>
        </w:rPr>
        <w:t>)</w:t>
      </w:r>
    </w:p>
    <w:p w:rsidR="00394169" w:rsidRPr="00686DB7" w:rsidRDefault="00394169" w:rsidP="00394169">
      <w:pPr>
        <w:spacing w:after="0" w:line="480" w:lineRule="auto"/>
        <w:jc w:val="center"/>
        <w:rPr>
          <w:rFonts w:ascii="Times New Roman" w:hAnsi="Times New Roman" w:cs="Times New Roman"/>
        </w:rPr>
      </w:pPr>
    </w:p>
    <w:p w:rsidR="009206AE" w:rsidRDefault="00AD355C" w:rsidP="00AF7696">
      <w:pPr>
        <w:spacing w:after="0" w:line="480" w:lineRule="auto"/>
        <w:jc w:val="both"/>
        <w:rPr>
          <w:rFonts w:ascii="Times New Roman" w:hAnsi="Times New Roman" w:cs="Times New Roman"/>
        </w:rPr>
      </w:pPr>
      <w:r w:rsidRPr="00686DB7">
        <w:rPr>
          <w:rFonts w:ascii="Times New Roman" w:hAnsi="Times New Roman" w:cs="Times New Roman"/>
        </w:rPr>
        <w:tab/>
        <w:t xml:space="preserve">This workshop </w:t>
      </w:r>
      <w:r w:rsidRPr="00686DB7">
        <w:rPr>
          <w:rFonts w:ascii="Times New Roman" w:eastAsia="Times New Roman" w:hAnsi="Times New Roman" w:cs="Times New Roman"/>
        </w:rPr>
        <w:t>aims to contribute to the scholarly debate on so vast and crucial a theme as the conversion to Christianity and the Christianisation of the Roman world in the late antique West.</w:t>
      </w:r>
      <w:r w:rsidRPr="00686DB7">
        <w:rPr>
          <w:rFonts w:ascii="Times New Roman" w:hAnsi="Times New Roman" w:cs="Times New Roman"/>
        </w:rPr>
        <w:t xml:space="preserve"> </w:t>
      </w:r>
      <w:r w:rsidRPr="00686DB7">
        <w:rPr>
          <w:rFonts w:ascii="Times New Roman" w:eastAsia="Times New Roman" w:hAnsi="Times New Roman" w:cs="Times New Roman"/>
        </w:rPr>
        <w:t>Let us begin by drawing an overview on some essential literature on the theme, before presenting the aims and main results of the workshop.</w:t>
      </w:r>
    </w:p>
    <w:p w:rsidR="00AF7696" w:rsidRPr="00686DB7" w:rsidRDefault="00AF7696" w:rsidP="00AF7696">
      <w:pPr>
        <w:spacing w:after="0" w:line="480" w:lineRule="auto"/>
        <w:jc w:val="both"/>
        <w:rPr>
          <w:rFonts w:ascii="Times New Roman" w:hAnsi="Times New Roman" w:cs="Times New Roman"/>
        </w:rPr>
      </w:pPr>
    </w:p>
    <w:p w:rsidR="002B1FD7" w:rsidRPr="00686DB7" w:rsidRDefault="00AD355C" w:rsidP="00686DB7">
      <w:pPr>
        <w:spacing w:after="0" w:line="480" w:lineRule="auto"/>
        <w:jc w:val="both"/>
        <w:rPr>
          <w:rFonts w:ascii="Times New Roman" w:hAnsi="Times New Roman" w:cs="Times New Roman"/>
        </w:rPr>
      </w:pPr>
      <w:r w:rsidRPr="00686DB7">
        <w:rPr>
          <w:rFonts w:ascii="Times New Roman" w:eastAsia="Times New Roman" w:hAnsi="Times New Roman" w:cs="Times New Roman"/>
          <w:b/>
        </w:rPr>
        <w:t>Literature overview</w:t>
      </w:r>
      <w:r w:rsidR="002B1FD7" w:rsidRPr="00686DB7">
        <w:rPr>
          <w:rFonts w:ascii="Times New Roman" w:eastAsia="Times New Roman" w:hAnsi="Times New Roman" w:cs="Times New Roman"/>
          <w:vertAlign w:val="superscript"/>
        </w:rPr>
        <w:endnoteReference w:id="1"/>
      </w:r>
    </w:p>
    <w:p w:rsidR="002B1FD7" w:rsidRPr="00686DB7" w:rsidRDefault="002B1FD7" w:rsidP="00686DB7">
      <w:pPr>
        <w:tabs>
          <w:tab w:val="left" w:pos="505"/>
        </w:tabs>
        <w:spacing w:after="0" w:line="480" w:lineRule="auto"/>
        <w:ind w:firstLine="357"/>
        <w:jc w:val="both"/>
        <w:rPr>
          <w:rFonts w:ascii="Times New Roman" w:hAnsi="Times New Roman" w:cs="Times New Roman"/>
        </w:rPr>
      </w:pPr>
      <w:r w:rsidRPr="00686DB7">
        <w:rPr>
          <w:rFonts w:ascii="Times New Roman" w:eastAsia="Times New Roman" w:hAnsi="Times New Roman" w:cs="Times New Roman"/>
        </w:rPr>
        <w:t>Until recently, conversion to Christianity was mainly studied in a twofold perspective: from a theological and a psychological point of view and from a political perspective, by analysing the Christianisation of the empire entailed by Christian emperors.</w:t>
      </w:r>
      <w:r w:rsidRPr="00686DB7">
        <w:rPr>
          <w:rFonts w:ascii="Times New Roman" w:eastAsia="Times New Roman" w:hAnsi="Times New Roman" w:cs="Times New Roman"/>
          <w:vertAlign w:val="superscript"/>
        </w:rPr>
        <w:endnoteReference w:id="2"/>
      </w:r>
    </w:p>
    <w:p w:rsidR="002B1FD7" w:rsidRPr="00686DB7" w:rsidRDefault="002B1FD7" w:rsidP="002B1FD7">
      <w:pPr>
        <w:tabs>
          <w:tab w:val="left" w:pos="505"/>
        </w:tabs>
        <w:spacing w:after="0" w:line="480" w:lineRule="auto"/>
        <w:ind w:firstLine="357"/>
        <w:jc w:val="both"/>
        <w:rPr>
          <w:rFonts w:ascii="Times New Roman" w:hAnsi="Times New Roman" w:cs="Times New Roman"/>
        </w:rPr>
      </w:pPr>
      <w:r w:rsidRPr="00686DB7">
        <w:rPr>
          <w:rFonts w:ascii="Times New Roman" w:eastAsia="Times New Roman" w:hAnsi="Times New Roman" w:cs="Times New Roman"/>
        </w:rPr>
        <w:t>In 1933, Arthur Darby Nock devoted a whole book to religious conversion.</w:t>
      </w:r>
      <w:r w:rsidRPr="00686DB7">
        <w:rPr>
          <w:rFonts w:ascii="Times New Roman" w:eastAsia="Times New Roman" w:hAnsi="Times New Roman" w:cs="Times New Roman"/>
          <w:vertAlign w:val="superscript"/>
        </w:rPr>
        <w:endnoteReference w:id="3"/>
      </w:r>
      <w:r w:rsidRPr="00686DB7">
        <w:rPr>
          <w:rFonts w:ascii="Times New Roman" w:eastAsia="Times New Roman" w:hAnsi="Times New Roman" w:cs="Times New Roman"/>
        </w:rPr>
        <w:t xml:space="preserve"> In the first chapter, the notion of religious conversion is defined as ‘the reorientation of the soul of an individual, his deliberate turning from indifference or from an earlier form of piety to another, a turning which implies a consciousness that a great change is involved, that the old was wrong and the new is right.’</w:t>
      </w:r>
      <w:r w:rsidRPr="00686DB7">
        <w:rPr>
          <w:rFonts w:ascii="Times New Roman" w:eastAsia="Times New Roman" w:hAnsi="Times New Roman" w:cs="Times New Roman"/>
          <w:vertAlign w:val="superscript"/>
        </w:rPr>
        <w:endnoteReference w:id="4"/>
      </w:r>
      <w:r w:rsidRPr="00686DB7">
        <w:rPr>
          <w:rFonts w:ascii="Times New Roman" w:eastAsia="Times New Roman" w:hAnsi="Times New Roman" w:cs="Times New Roman"/>
        </w:rPr>
        <w:t xml:space="preserve"> This transformation implies the awareness of a real change, as the new convert becomes able to distinguish his new knowledge from his former, by applying a new system of values. As a consequence, the neophyte rejects former thoughts, since new beliefs are now regarded as the only good ones.</w:t>
      </w:r>
      <w:r w:rsidRPr="00686DB7">
        <w:rPr>
          <w:rFonts w:ascii="Times New Roman" w:eastAsia="Times New Roman" w:hAnsi="Times New Roman" w:cs="Times New Roman"/>
          <w:vertAlign w:val="superscript"/>
        </w:rPr>
        <w:endnoteReference w:id="5"/>
      </w:r>
      <w:r w:rsidRPr="00686DB7">
        <w:rPr>
          <w:rFonts w:ascii="Times New Roman" w:eastAsia="Times New Roman" w:hAnsi="Times New Roman" w:cs="Times New Roman"/>
        </w:rPr>
        <w:t xml:space="preserve"> However, A. D. Nock studied the phenomenon of conversion in its broadest framework, including the traditional religions of the Roman Empire together with Judaism and Christianity. Inspired by William James,</w:t>
      </w:r>
      <w:r w:rsidRPr="00686DB7">
        <w:rPr>
          <w:rFonts w:ascii="Times New Roman" w:eastAsia="Times New Roman" w:hAnsi="Times New Roman" w:cs="Times New Roman"/>
          <w:vertAlign w:val="superscript"/>
        </w:rPr>
        <w:endnoteReference w:id="6"/>
      </w:r>
      <w:r w:rsidRPr="00686DB7">
        <w:rPr>
          <w:rFonts w:ascii="Times New Roman" w:eastAsia="Times New Roman" w:hAnsi="Times New Roman" w:cs="Times New Roman"/>
        </w:rPr>
        <w:t xml:space="preserve"> his method was based on psychology and examined religious behaviour by analysing some relevant examples from Alexander the Great to Augustine of Hippo. Though stimulating, this </w:t>
      </w:r>
      <w:r w:rsidRPr="00686DB7">
        <w:rPr>
          <w:rFonts w:ascii="Times New Roman" w:eastAsia="Times New Roman" w:hAnsi="Times New Roman" w:cs="Times New Roman"/>
        </w:rPr>
        <w:lastRenderedPageBreak/>
        <w:t>work was neither interested in understanding issues related to the manifestations of conversion, nor did it focus on the group dynamics of Christianisation in the late Roman society.</w:t>
      </w:r>
      <w:r w:rsidRPr="00686DB7">
        <w:rPr>
          <w:rFonts w:ascii="Times New Roman" w:eastAsia="Times New Roman" w:hAnsi="Times New Roman" w:cs="Times New Roman"/>
          <w:vertAlign w:val="superscript"/>
        </w:rPr>
        <w:endnoteReference w:id="7"/>
      </w:r>
      <w:r w:rsidRPr="00686DB7">
        <w:rPr>
          <w:rFonts w:ascii="Times New Roman" w:eastAsia="Times New Roman" w:hAnsi="Times New Roman" w:cs="Times New Roman"/>
        </w:rPr>
        <w:t xml:space="preserve"> Moreover, his theory of conversion brought several generations of historians to consider the superiority of monotheistic religions over pagan cults, since, according to him</w:t>
      </w:r>
      <w:r>
        <w:rPr>
          <w:rFonts w:ascii="Times New Roman" w:eastAsia="Times New Roman" w:hAnsi="Times New Roman" w:cs="Times New Roman"/>
        </w:rPr>
        <w:t>,</w:t>
      </w:r>
      <w:r w:rsidRPr="00686DB7">
        <w:rPr>
          <w:rFonts w:ascii="Times New Roman" w:eastAsia="Times New Roman" w:hAnsi="Times New Roman" w:cs="Times New Roman"/>
        </w:rPr>
        <w:t xml:space="preserve"> Judaism or Christianity ‘demanded renunciation and a new </w:t>
      </w:r>
      <w:r>
        <w:rPr>
          <w:rFonts w:ascii="Times New Roman" w:eastAsia="Times New Roman" w:hAnsi="Times New Roman" w:cs="Times New Roman"/>
        </w:rPr>
        <w:t xml:space="preserve">start. They required not merely </w:t>
      </w:r>
      <w:r w:rsidRPr="00686DB7">
        <w:rPr>
          <w:rFonts w:ascii="Times New Roman" w:eastAsia="Times New Roman" w:hAnsi="Times New Roman" w:cs="Times New Roman"/>
        </w:rPr>
        <w:t>acceptance of a rite, but the adhesion of the will to a theology, in a word faith.’</w:t>
      </w:r>
      <w:r w:rsidRPr="00686DB7">
        <w:rPr>
          <w:rFonts w:ascii="Times New Roman" w:eastAsia="Times New Roman" w:hAnsi="Times New Roman" w:cs="Times New Roman"/>
          <w:vertAlign w:val="superscript"/>
        </w:rPr>
        <w:endnoteReference w:id="8"/>
      </w:r>
      <w:r w:rsidRPr="00686DB7">
        <w:rPr>
          <w:rFonts w:ascii="Times New Roman" w:eastAsia="Times New Roman" w:hAnsi="Times New Roman" w:cs="Times New Roman"/>
        </w:rPr>
        <w:t xml:space="preserve"> As a consequence, until today, historians often distinguish conversion to Christianity or Judaism and adhesion to pagan cults, </w:t>
      </w:r>
      <w:r>
        <w:rPr>
          <w:rFonts w:ascii="Times New Roman" w:eastAsia="Times New Roman" w:hAnsi="Times New Roman" w:cs="Times New Roman"/>
        </w:rPr>
        <w:t>Judaism or Christianity assuming</w:t>
      </w:r>
      <w:r w:rsidRPr="00686DB7">
        <w:rPr>
          <w:rFonts w:ascii="Times New Roman" w:eastAsia="Times New Roman" w:hAnsi="Times New Roman" w:cs="Times New Roman"/>
        </w:rPr>
        <w:t xml:space="preserve"> strong exclusivist features.</w:t>
      </w:r>
      <w:r w:rsidRPr="00686DB7">
        <w:rPr>
          <w:rFonts w:ascii="Times New Roman" w:eastAsia="Times New Roman" w:hAnsi="Times New Roman" w:cs="Times New Roman"/>
          <w:vertAlign w:val="superscript"/>
        </w:rPr>
        <w:endnoteReference w:id="9"/>
      </w:r>
      <w:r>
        <w:rPr>
          <w:rFonts w:ascii="Times New Roman" w:eastAsia="Times New Roman" w:hAnsi="Times New Roman" w:cs="Times New Roman"/>
        </w:rPr>
        <w:t xml:space="preserve"> However, since</w:t>
      </w:r>
      <w:r w:rsidRPr="00686DB7">
        <w:rPr>
          <w:rFonts w:ascii="Times New Roman" w:eastAsia="Times New Roman" w:hAnsi="Times New Roman" w:cs="Times New Roman"/>
        </w:rPr>
        <w:t xml:space="preserve"> the phenomenon of conversion should not necessarily be seen as one-dimensional, A. D. Nock's </w:t>
      </w:r>
      <w:r>
        <w:rPr>
          <w:rFonts w:ascii="Times New Roman" w:eastAsia="Times New Roman" w:hAnsi="Times New Roman" w:cs="Times New Roman"/>
        </w:rPr>
        <w:t>study</w:t>
      </w:r>
      <w:r w:rsidRPr="00686DB7">
        <w:rPr>
          <w:rFonts w:ascii="Times New Roman" w:eastAsia="Times New Roman" w:hAnsi="Times New Roman" w:cs="Times New Roman"/>
        </w:rPr>
        <w:t xml:space="preserve"> left many issues open.</w:t>
      </w:r>
    </w:p>
    <w:p w:rsidR="002B1FD7" w:rsidRPr="00686DB7" w:rsidRDefault="002B1FD7" w:rsidP="00686DB7">
      <w:pPr>
        <w:tabs>
          <w:tab w:val="left" w:pos="505"/>
        </w:tabs>
        <w:spacing w:after="0" w:line="480" w:lineRule="auto"/>
        <w:ind w:firstLine="357"/>
        <w:jc w:val="both"/>
        <w:rPr>
          <w:rFonts w:ascii="Times New Roman" w:hAnsi="Times New Roman" w:cs="Times New Roman"/>
        </w:rPr>
      </w:pPr>
      <w:r w:rsidRPr="00686DB7">
        <w:rPr>
          <w:rFonts w:ascii="Times New Roman" w:eastAsia="Times New Roman" w:hAnsi="Times New Roman" w:cs="Times New Roman"/>
        </w:rPr>
        <w:t>Sixteen years after A. D. Nock's work was published, Gustave Bardy released a book specifically devoted to individual conversion to Christianity.</w:t>
      </w:r>
      <w:r w:rsidRPr="00686DB7">
        <w:rPr>
          <w:rFonts w:ascii="Times New Roman" w:eastAsia="Times New Roman" w:hAnsi="Times New Roman" w:cs="Times New Roman"/>
          <w:vertAlign w:val="superscript"/>
        </w:rPr>
        <w:endnoteReference w:id="10"/>
      </w:r>
      <w:r w:rsidRPr="00686DB7">
        <w:rPr>
          <w:rFonts w:ascii="Times New Roman" w:eastAsia="Times New Roman" w:hAnsi="Times New Roman" w:cs="Times New Roman"/>
        </w:rPr>
        <w:t xml:space="preserve"> Before tackling this topic, Gustave Bardy enumerated the different forms of conversion in Antiquity namely to traditional religions, philosophy and Judaism. He understood the mechanism of conversion in a twofold perspective, first trying to highlight the motivations of converts and pointing out the difficulties that could confront new believers, then listing the strategies of integration that the Church could offer to new Christians. </w:t>
      </w:r>
    </w:p>
    <w:p w:rsidR="002B1FD7" w:rsidRPr="00686DB7" w:rsidRDefault="002B1FD7" w:rsidP="00686DB7">
      <w:pPr>
        <w:tabs>
          <w:tab w:val="left" w:pos="505"/>
        </w:tabs>
        <w:spacing w:after="0" w:line="480" w:lineRule="auto"/>
        <w:ind w:firstLine="357"/>
        <w:jc w:val="both"/>
        <w:rPr>
          <w:rFonts w:ascii="Times New Roman" w:hAnsi="Times New Roman" w:cs="Times New Roman"/>
        </w:rPr>
      </w:pPr>
      <w:r w:rsidRPr="00686DB7">
        <w:rPr>
          <w:rFonts w:ascii="Times New Roman" w:eastAsia="Times New Roman" w:hAnsi="Times New Roman" w:cs="Times New Roman"/>
        </w:rPr>
        <w:t xml:space="preserve"> In 1963, Paul Aubin also dealt with the issue of conversion to early Christianity.</w:t>
      </w:r>
      <w:r w:rsidRPr="00686DB7">
        <w:rPr>
          <w:rFonts w:ascii="Times New Roman" w:eastAsia="Times New Roman" w:hAnsi="Times New Roman" w:cs="Times New Roman"/>
          <w:vertAlign w:val="superscript"/>
        </w:rPr>
        <w:endnoteReference w:id="11"/>
      </w:r>
      <w:r w:rsidRPr="00686DB7">
        <w:rPr>
          <w:rFonts w:ascii="Times New Roman" w:eastAsia="Times New Roman" w:hAnsi="Times New Roman" w:cs="Times New Roman"/>
        </w:rPr>
        <w:t xml:space="preserve"> He started with an analysis of the vocabulary used to describe conversion to Christianity in comparison with the same lexicon in a philosophical context. He then investigated the meanings of the term </w:t>
      </w:r>
      <w:r w:rsidRPr="00686DB7">
        <w:rPr>
          <w:rFonts w:ascii="Times New Roman" w:eastAsia="Times New Roman" w:hAnsi="Times New Roman" w:cs="Times New Roman"/>
          <w:i/>
        </w:rPr>
        <w:t>conversion</w:t>
      </w:r>
      <w:r w:rsidRPr="00686DB7">
        <w:rPr>
          <w:rFonts w:ascii="Times New Roman" w:eastAsia="Times New Roman" w:hAnsi="Times New Roman" w:cs="Times New Roman"/>
        </w:rPr>
        <w:t xml:space="preserve"> in Judaism. Paul Aubin believed that the Christian origin of the term conversion should be looked for in the </w:t>
      </w:r>
      <w:r w:rsidRPr="00686DB7">
        <w:rPr>
          <w:rFonts w:ascii="Times New Roman" w:eastAsia="Times New Roman" w:hAnsi="Times New Roman" w:cs="Times New Roman"/>
          <w:i/>
        </w:rPr>
        <w:t>Septuagint.</w:t>
      </w:r>
      <w:r w:rsidRPr="00686DB7">
        <w:rPr>
          <w:rFonts w:ascii="Times New Roman" w:eastAsia="Times New Roman" w:hAnsi="Times New Roman" w:cs="Times New Roman"/>
        </w:rPr>
        <w:t xml:space="preserve"> His work particularly argued that conversion to Christianity and to philosophy did not imply the same consequences. Paul Aubin made a distinction between ‘the Christian conversion towards God and the conve</w:t>
      </w:r>
      <w:r>
        <w:rPr>
          <w:rFonts w:ascii="Times New Roman" w:eastAsia="Times New Roman" w:hAnsi="Times New Roman" w:cs="Times New Roman"/>
        </w:rPr>
        <w:t xml:space="preserve">rsion </w:t>
      </w:r>
      <w:r>
        <w:rPr>
          <w:rFonts w:ascii="Times New Roman" w:eastAsia="Times New Roman" w:hAnsi="Times New Roman" w:cs="Times New Roman"/>
        </w:rPr>
        <w:lastRenderedPageBreak/>
        <w:t>to philosophy towards one’</w:t>
      </w:r>
      <w:r w:rsidRPr="00686DB7">
        <w:rPr>
          <w:rFonts w:ascii="Times New Roman" w:eastAsia="Times New Roman" w:hAnsi="Times New Roman" w:cs="Times New Roman"/>
        </w:rPr>
        <w:t>s self.’</w:t>
      </w:r>
      <w:r w:rsidRPr="00686DB7">
        <w:rPr>
          <w:rFonts w:ascii="Times New Roman" w:eastAsia="Times New Roman" w:hAnsi="Times New Roman" w:cs="Times New Roman"/>
          <w:vertAlign w:val="superscript"/>
        </w:rPr>
        <w:endnoteReference w:id="12"/>
      </w:r>
      <w:r w:rsidRPr="00686DB7">
        <w:rPr>
          <w:rFonts w:ascii="Times New Roman" w:eastAsia="Times New Roman" w:hAnsi="Times New Roman" w:cs="Times New Roman"/>
        </w:rPr>
        <w:t xml:space="preserve"> This analysis highlighted the sharp opposition that existed between these two groups, as early Christians and philosophers, especially the Neoplatonists, though sharing a same wording (ἐπιστρέφειν, ‘turning’), conceived divinity and the relationship to the divine in radically different ways. It also pointed out that the Fathers were eager to defend the biblical origin of the notion against philosophers. Thus, this philological work highlighted for the first time the specificity of the vocabulary used to deal with Christian conversion.</w:t>
      </w:r>
    </w:p>
    <w:p w:rsidR="002B1FD7" w:rsidRPr="00686DB7" w:rsidRDefault="002B1FD7" w:rsidP="00686DB7">
      <w:pPr>
        <w:tabs>
          <w:tab w:val="left" w:pos="505"/>
        </w:tabs>
        <w:spacing w:after="0" w:line="480" w:lineRule="auto"/>
        <w:ind w:firstLine="357"/>
        <w:jc w:val="both"/>
        <w:rPr>
          <w:rFonts w:ascii="Times New Roman" w:hAnsi="Times New Roman" w:cs="Times New Roman"/>
        </w:rPr>
      </w:pPr>
      <w:r w:rsidRPr="00686DB7">
        <w:rPr>
          <w:rFonts w:ascii="Times New Roman" w:eastAsia="Times New Roman" w:hAnsi="Times New Roman" w:cs="Times New Roman"/>
        </w:rPr>
        <w:t>A number of important studies by Peter Brown published from the 1960s to the 1990s  should here be briefly evoked, since they dramatically changed the historical perspective on the Christianisation of Roman imperial society. Peter Brown analysed the dynamics behind the conversion and the Christianisation of the Roman aristocracy in 1961</w:t>
      </w:r>
      <w:r w:rsidRPr="00686DB7">
        <w:rPr>
          <w:rFonts w:ascii="Times New Roman" w:eastAsia="Times New Roman" w:hAnsi="Times New Roman" w:cs="Times New Roman"/>
          <w:vertAlign w:val="superscript"/>
        </w:rPr>
        <w:endnoteReference w:id="13"/>
      </w:r>
      <w:r w:rsidRPr="00686DB7">
        <w:rPr>
          <w:rFonts w:ascii="Times New Roman" w:eastAsia="Times New Roman" w:hAnsi="Times New Roman" w:cs="Times New Roman"/>
        </w:rPr>
        <w:t xml:space="preserve"> and his study dedicated to the second conversion – </w:t>
      </w:r>
      <w:r w:rsidRPr="009B63E9">
        <w:rPr>
          <w:rFonts w:ascii="Times New Roman" w:eastAsia="Times New Roman" w:hAnsi="Times New Roman" w:cs="Times New Roman"/>
          <w:iCs/>
        </w:rPr>
        <w:t>i.e.</w:t>
      </w:r>
      <w:r w:rsidRPr="00686DB7">
        <w:rPr>
          <w:rFonts w:ascii="Times New Roman" w:eastAsia="Times New Roman" w:hAnsi="Times New Roman" w:cs="Times New Roman"/>
        </w:rPr>
        <w:t xml:space="preserve"> conversion to asceticism</w:t>
      </w:r>
      <w:r w:rsidRPr="00686DB7">
        <w:rPr>
          <w:rFonts w:ascii="Times New Roman" w:eastAsia="Times New Roman" w:hAnsi="Times New Roman" w:cs="Times New Roman"/>
          <w:vertAlign w:val="superscript"/>
        </w:rPr>
        <w:endnoteReference w:id="14"/>
      </w:r>
      <w:r w:rsidR="003157E4">
        <w:rPr>
          <w:rFonts w:ascii="Times New Roman" w:eastAsia="Times New Roman" w:hAnsi="Times New Roman" w:cs="Times New Roman"/>
        </w:rPr>
        <w:t> – inspired by Michel Foucault’</w:t>
      </w:r>
      <w:r w:rsidRPr="00686DB7">
        <w:rPr>
          <w:rFonts w:ascii="Times New Roman" w:eastAsia="Times New Roman" w:hAnsi="Times New Roman" w:cs="Times New Roman"/>
        </w:rPr>
        <w:t>s philosophy, induced a shift in the studies of conversion and Christianisation from the mind to the body. While Peter Brown’s scope was initially restricted to one category of Christians, considered as athletes of Christ, he successfully examined their relationships and social networks.</w:t>
      </w:r>
      <w:r w:rsidRPr="00686DB7">
        <w:rPr>
          <w:rFonts w:ascii="Times New Roman" w:eastAsia="Times New Roman" w:hAnsi="Times New Roman" w:cs="Times New Roman"/>
          <w:vertAlign w:val="superscript"/>
        </w:rPr>
        <w:endnoteReference w:id="15"/>
      </w:r>
      <w:r w:rsidRPr="00686DB7">
        <w:rPr>
          <w:rFonts w:ascii="Times New Roman" w:eastAsia="Times New Roman" w:hAnsi="Times New Roman" w:cs="Times New Roman"/>
        </w:rPr>
        <w:t xml:space="preserve"> As a consequence, Christians and the second conversion were both studied within the framework of Roman society. In the autumn of 1999, a symposium specifically devoted to conversion organised by Susanna Elm and Peter Brown was held at Princeton University.</w:t>
      </w:r>
      <w:r w:rsidRPr="00686DB7">
        <w:rPr>
          <w:rFonts w:ascii="Times New Roman" w:eastAsia="Times New Roman" w:hAnsi="Times New Roman" w:cs="Times New Roman"/>
          <w:vertAlign w:val="superscript"/>
        </w:rPr>
        <w:endnoteReference w:id="16"/>
      </w:r>
      <w:r w:rsidRPr="00686DB7">
        <w:rPr>
          <w:rFonts w:ascii="Times New Roman" w:eastAsia="Times New Roman" w:hAnsi="Times New Roman" w:cs="Times New Roman"/>
        </w:rPr>
        <w:t xml:space="preserve"> This meeting proposed both a thematic approach to the social manifestations of conversion and an analysis of the converts’ faith. In 2002, Michele Renée Salzman published a book devoted to </w:t>
      </w:r>
      <w:r w:rsidRPr="00686DB7">
        <w:rPr>
          <w:rFonts w:ascii="Times New Roman" w:eastAsia="Times New Roman" w:hAnsi="Times New Roman" w:cs="Times New Roman"/>
          <w:highlight w:val="white"/>
        </w:rPr>
        <w:t>the making and transformation of the late Roman aristocracy</w:t>
      </w:r>
      <w:r w:rsidRPr="00686DB7">
        <w:rPr>
          <w:rFonts w:ascii="Times New Roman" w:eastAsia="Times New Roman" w:hAnsi="Times New Roman" w:cs="Times New Roman"/>
          <w:vertAlign w:val="superscript"/>
        </w:rPr>
        <w:endnoteReference w:id="17"/>
      </w:r>
      <w:r w:rsidRPr="00686DB7">
        <w:rPr>
          <w:rFonts w:ascii="Times New Roman" w:eastAsia="Times New Roman" w:hAnsi="Times New Roman" w:cs="Times New Roman"/>
        </w:rPr>
        <w:t xml:space="preserve">, focusing on the impact of Christianity </w:t>
      </w:r>
      <w:r w:rsidRPr="00686DB7">
        <w:rPr>
          <w:rFonts w:ascii="Times New Roman" w:eastAsia="Times New Roman" w:hAnsi="Times New Roman" w:cs="Times New Roman"/>
          <w:highlight w:val="white"/>
        </w:rPr>
        <w:t xml:space="preserve">on the development of Western society. </w:t>
      </w:r>
    </w:p>
    <w:p w:rsidR="002B1FD7" w:rsidRPr="00686DB7" w:rsidRDefault="002B1FD7" w:rsidP="00686DB7">
      <w:pPr>
        <w:tabs>
          <w:tab w:val="left" w:pos="505"/>
        </w:tabs>
        <w:spacing w:after="0" w:line="480" w:lineRule="auto"/>
        <w:ind w:firstLine="357"/>
        <w:jc w:val="both"/>
        <w:rPr>
          <w:rFonts w:ascii="Times New Roman" w:hAnsi="Times New Roman" w:cs="Times New Roman"/>
        </w:rPr>
      </w:pPr>
      <w:r w:rsidRPr="00686DB7">
        <w:rPr>
          <w:rFonts w:ascii="Times New Roman" w:eastAsia="Times New Roman" w:hAnsi="Times New Roman" w:cs="Times New Roman"/>
        </w:rPr>
        <w:t>In May 2008, a symposium was held at the University of Paris Ouest Nanterre La Défense</w:t>
      </w:r>
      <w:r w:rsidR="006D3C72">
        <w:rPr>
          <w:rFonts w:ascii="Times New Roman" w:eastAsia="Times New Roman" w:hAnsi="Times New Roman" w:cs="Times New Roman"/>
        </w:rPr>
        <w:t>,</w:t>
      </w:r>
      <w:r w:rsidRPr="00686DB7">
        <w:rPr>
          <w:rFonts w:ascii="Times New Roman" w:eastAsia="Times New Roman" w:hAnsi="Times New Roman" w:cs="Times New Roman"/>
        </w:rPr>
        <w:t xml:space="preserve"> </w:t>
      </w:r>
      <w:r w:rsidR="006D3C72" w:rsidRPr="00686DB7">
        <w:rPr>
          <w:rFonts w:ascii="Times New Roman" w:eastAsia="Times New Roman" w:hAnsi="Times New Roman" w:cs="Times New Roman"/>
        </w:rPr>
        <w:t>organised by Sylvain Destephen, Bruno Dumézil and Hervé Inglebert</w:t>
      </w:r>
      <w:r w:rsidR="006D3C72">
        <w:rPr>
          <w:rFonts w:ascii="Times New Roman" w:eastAsia="Times New Roman" w:hAnsi="Times New Roman" w:cs="Times New Roman"/>
        </w:rPr>
        <w:t xml:space="preserve">, </w:t>
      </w:r>
      <w:r w:rsidRPr="00686DB7">
        <w:rPr>
          <w:rFonts w:ascii="Times New Roman" w:eastAsia="Times New Roman" w:hAnsi="Times New Roman" w:cs="Times New Roman"/>
        </w:rPr>
        <w:t xml:space="preserve">entitled </w:t>
      </w:r>
      <w:r w:rsidRPr="00686DB7">
        <w:rPr>
          <w:rFonts w:ascii="Times New Roman" w:eastAsia="Times New Roman" w:hAnsi="Times New Roman" w:cs="Times New Roman"/>
          <w:i/>
        </w:rPr>
        <w:t xml:space="preserve">Quid </w:t>
      </w:r>
      <w:r w:rsidRPr="00686DB7">
        <w:rPr>
          <w:rFonts w:ascii="Times New Roman" w:eastAsia="Times New Roman" w:hAnsi="Times New Roman" w:cs="Times New Roman"/>
          <w:i/>
        </w:rPr>
        <w:lastRenderedPageBreak/>
        <w:t>est christianum esse ?</w:t>
      </w:r>
      <w:r w:rsidRPr="00686DB7">
        <w:rPr>
          <w:rFonts w:ascii="Times New Roman" w:eastAsia="Times New Roman" w:hAnsi="Times New Roman" w:cs="Times New Roman"/>
        </w:rPr>
        <w:t xml:space="preserve"> </w:t>
      </w:r>
      <w:r w:rsidRPr="00686DB7">
        <w:rPr>
          <w:rFonts w:ascii="Times New Roman" w:eastAsia="Times New Roman" w:hAnsi="Times New Roman" w:cs="Times New Roman"/>
          <w:i/>
        </w:rPr>
        <w:t>Le problème de la ch</w:t>
      </w:r>
      <w:r w:rsidR="006D3C72">
        <w:rPr>
          <w:rFonts w:ascii="Times New Roman" w:eastAsia="Times New Roman" w:hAnsi="Times New Roman" w:cs="Times New Roman"/>
          <w:i/>
        </w:rPr>
        <w:t>ristianisation du monde antique</w:t>
      </w:r>
      <w:r w:rsidRPr="00686DB7">
        <w:rPr>
          <w:rFonts w:ascii="Times New Roman" w:eastAsia="Times New Roman" w:hAnsi="Times New Roman" w:cs="Times New Roman"/>
        </w:rPr>
        <w:t>. The purpose of this meeting was to study the phenomenon of conversion through a historical approach by using other methodologies, for instance philology.</w:t>
      </w:r>
      <w:r w:rsidRPr="00686DB7">
        <w:rPr>
          <w:rFonts w:ascii="Times New Roman" w:eastAsia="Times New Roman" w:hAnsi="Times New Roman" w:cs="Times New Roman"/>
          <w:vertAlign w:val="superscript"/>
        </w:rPr>
        <w:endnoteReference w:id="18"/>
      </w:r>
      <w:r w:rsidRPr="00686DB7">
        <w:rPr>
          <w:rFonts w:ascii="Times New Roman" w:eastAsia="Times New Roman" w:hAnsi="Times New Roman" w:cs="Times New Roman"/>
        </w:rPr>
        <w:t xml:space="preserve"> Various papers also studied the phenomenon of conversion from a social history perspective, providing an academic overview of the current state of knowledge. Peter Brown wrote brilliant concluding remarks, showing that the historian of the Church has to take into account the social and economic history of the period studied as well as local specificities to compare them with other historical periods offering other interpretations.</w:t>
      </w:r>
      <w:r w:rsidRPr="00686DB7">
        <w:rPr>
          <w:rFonts w:ascii="Times New Roman" w:eastAsia="Times New Roman" w:hAnsi="Times New Roman" w:cs="Times New Roman"/>
          <w:vertAlign w:val="superscript"/>
        </w:rPr>
        <w:endnoteReference w:id="19"/>
      </w:r>
    </w:p>
    <w:p w:rsidR="002B1FD7" w:rsidRPr="00686DB7" w:rsidRDefault="002B1FD7" w:rsidP="00686DB7">
      <w:pPr>
        <w:tabs>
          <w:tab w:val="left" w:pos="505"/>
        </w:tabs>
        <w:spacing w:after="0" w:line="480" w:lineRule="auto"/>
        <w:ind w:firstLine="357"/>
        <w:jc w:val="both"/>
        <w:rPr>
          <w:rFonts w:ascii="Times New Roman" w:hAnsi="Times New Roman" w:cs="Times New Roman"/>
        </w:rPr>
      </w:pPr>
      <w:r w:rsidRPr="00686DB7">
        <w:rPr>
          <w:rFonts w:ascii="Times New Roman" w:eastAsia="Times New Roman" w:hAnsi="Times New Roman" w:cs="Times New Roman"/>
        </w:rPr>
        <w:t>Most recently, a volume edited by Arietta Papaconstantinou, Neil McLynn and Daniel Schwartz entitled</w:t>
      </w:r>
      <w:r w:rsidRPr="00686DB7">
        <w:rPr>
          <w:rFonts w:ascii="Times New Roman" w:eastAsia="Times New Roman" w:hAnsi="Times New Roman" w:cs="Times New Roman"/>
          <w:color w:val="FF0000"/>
        </w:rPr>
        <w:t xml:space="preserve"> </w:t>
      </w:r>
      <w:r w:rsidRPr="00686DB7">
        <w:rPr>
          <w:rFonts w:ascii="Times New Roman" w:eastAsia="Times New Roman" w:hAnsi="Times New Roman" w:cs="Times New Roman"/>
          <w:i/>
        </w:rPr>
        <w:t xml:space="preserve">Conversion in Late Antiquity: Christianity, Islam, and Beyond </w:t>
      </w:r>
      <w:r w:rsidRPr="00686DB7">
        <w:rPr>
          <w:rFonts w:ascii="Times New Roman" w:eastAsia="Times New Roman" w:hAnsi="Times New Roman" w:cs="Times New Roman"/>
        </w:rPr>
        <w:t>was published.</w:t>
      </w:r>
      <w:r w:rsidRPr="00686DB7">
        <w:rPr>
          <w:rFonts w:ascii="Times New Roman" w:eastAsia="Times New Roman" w:hAnsi="Times New Roman" w:cs="Times New Roman"/>
          <w:vertAlign w:val="superscript"/>
        </w:rPr>
        <w:endnoteReference w:id="20"/>
      </w:r>
      <w:r w:rsidRPr="00686DB7">
        <w:rPr>
          <w:rFonts w:ascii="Times New Roman" w:eastAsia="Times New Roman" w:hAnsi="Times New Roman" w:cs="Times New Roman"/>
          <w:i/>
        </w:rPr>
        <w:t xml:space="preserve"> </w:t>
      </w:r>
      <w:r w:rsidRPr="00686DB7">
        <w:rPr>
          <w:rFonts w:ascii="Times New Roman" w:eastAsia="Times New Roman" w:hAnsi="Times New Roman" w:cs="Times New Roman"/>
        </w:rPr>
        <w:t>Averil Cameron’s introduction offers a broad overview, first focusing on the historiographical issues raised by conversion</w:t>
      </w:r>
      <w:r w:rsidRPr="00686DB7">
        <w:rPr>
          <w:rFonts w:ascii="Times New Roman" w:eastAsia="Times New Roman" w:hAnsi="Times New Roman" w:cs="Times New Roman"/>
          <w:i/>
        </w:rPr>
        <w:t xml:space="preserve">, </w:t>
      </w:r>
      <w:r w:rsidRPr="00686DB7">
        <w:rPr>
          <w:rFonts w:ascii="Times New Roman" w:eastAsia="Times New Roman" w:hAnsi="Times New Roman" w:cs="Times New Roman"/>
        </w:rPr>
        <w:t>and then introducing the long-lasting debate concerning the periodisation of Late Antiquity.</w:t>
      </w:r>
      <w:r w:rsidRPr="00686DB7">
        <w:rPr>
          <w:rFonts w:ascii="Times New Roman" w:eastAsia="Times New Roman" w:hAnsi="Times New Roman" w:cs="Times New Roman"/>
          <w:vertAlign w:val="superscript"/>
        </w:rPr>
        <w:endnoteReference w:id="21"/>
      </w:r>
      <w:r w:rsidRPr="00686DB7">
        <w:rPr>
          <w:rFonts w:ascii="Times New Roman" w:eastAsia="Times New Roman" w:hAnsi="Times New Roman" w:cs="Times New Roman"/>
        </w:rPr>
        <w:t xml:space="preserve"> Finally, another volume edited in 2014 by </w:t>
      </w:r>
      <w:r w:rsidRPr="00686DB7">
        <w:rPr>
          <w:rFonts w:ascii="Times New Roman" w:eastAsia="Times New Roman" w:hAnsi="Times New Roman" w:cs="Times New Roman"/>
          <w:color w:val="222222"/>
          <w:highlight w:val="white"/>
        </w:rPr>
        <w:t xml:space="preserve">Birgitte Secher </w:t>
      </w:r>
      <w:r w:rsidRPr="00686DB7">
        <w:rPr>
          <w:rFonts w:ascii="Times New Roman" w:eastAsia="Times New Roman" w:hAnsi="Times New Roman" w:cs="Times New Roman"/>
        </w:rPr>
        <w:t>Bøgh</w:t>
      </w:r>
      <w:r w:rsidRPr="00686DB7">
        <w:rPr>
          <w:rFonts w:ascii="Times New Roman" w:eastAsia="Times New Roman" w:hAnsi="Times New Roman" w:cs="Times New Roman"/>
          <w:color w:val="222222"/>
          <w:highlight w:val="white"/>
        </w:rPr>
        <w:t xml:space="preserve"> </w:t>
      </w:r>
      <w:r w:rsidRPr="00686DB7">
        <w:rPr>
          <w:rFonts w:ascii="Times New Roman" w:eastAsia="Times New Roman" w:hAnsi="Times New Roman" w:cs="Times New Roman"/>
        </w:rPr>
        <w:t>specifically investigated the experience of individual transformation in initiations and conversions within Abrahamic religions and pagan cults of the Roman world.</w:t>
      </w:r>
      <w:r w:rsidRPr="00686DB7">
        <w:rPr>
          <w:rFonts w:ascii="Times New Roman" w:eastAsia="Times New Roman" w:hAnsi="Times New Roman" w:cs="Times New Roman"/>
          <w:vertAlign w:val="superscript"/>
        </w:rPr>
        <w:endnoteReference w:id="22"/>
      </w:r>
      <w:r w:rsidRPr="00686DB7">
        <w:rPr>
          <w:rFonts w:ascii="Times New Roman" w:eastAsia="Times New Roman" w:hAnsi="Times New Roman" w:cs="Times New Roman"/>
        </w:rPr>
        <w:t xml:space="preserve"> Thus, in the wake of this recent reassessment of the notion of conversion, the contributors to this workshop aim at presenting it in a broader perspective, considerably nuancing A. D. Nock's approach.</w:t>
      </w:r>
    </w:p>
    <w:p w:rsidR="00D42F6E" w:rsidRDefault="00D42F6E" w:rsidP="00686DB7">
      <w:pPr>
        <w:spacing w:after="0" w:line="480" w:lineRule="auto"/>
        <w:jc w:val="both"/>
        <w:rPr>
          <w:rFonts w:ascii="Times New Roman" w:hAnsi="Times New Roman" w:cs="Times New Roman"/>
        </w:rPr>
      </w:pPr>
    </w:p>
    <w:p w:rsidR="002B1FD7" w:rsidRDefault="002B1FD7" w:rsidP="00D42F6E">
      <w:pPr>
        <w:spacing w:after="0" w:line="480" w:lineRule="auto"/>
        <w:jc w:val="both"/>
        <w:rPr>
          <w:rFonts w:ascii="Times New Roman" w:hAnsi="Times New Roman" w:cs="Times New Roman"/>
        </w:rPr>
      </w:pPr>
      <w:r w:rsidRPr="00686DB7">
        <w:rPr>
          <w:rFonts w:ascii="Times New Roman" w:eastAsia="Times New Roman" w:hAnsi="Times New Roman" w:cs="Times New Roman"/>
          <w:b/>
        </w:rPr>
        <w:t>Becoming Christian in Late Antiquity : aims, issues and methodology</w:t>
      </w:r>
    </w:p>
    <w:p w:rsidR="00D42F6E" w:rsidRPr="00686DB7" w:rsidRDefault="00D42F6E" w:rsidP="00D42F6E">
      <w:pPr>
        <w:spacing w:after="0" w:line="480" w:lineRule="auto"/>
        <w:jc w:val="both"/>
        <w:rPr>
          <w:rFonts w:ascii="Times New Roman" w:hAnsi="Times New Roman" w:cs="Times New Roman"/>
        </w:rPr>
      </w:pPr>
    </w:p>
    <w:p w:rsidR="002B1FD7" w:rsidRPr="00686DB7" w:rsidRDefault="002B1FD7" w:rsidP="00686DB7">
      <w:pPr>
        <w:tabs>
          <w:tab w:val="left" w:pos="505"/>
        </w:tabs>
        <w:spacing w:after="0" w:line="480" w:lineRule="auto"/>
        <w:jc w:val="both"/>
        <w:rPr>
          <w:rFonts w:ascii="Times New Roman" w:hAnsi="Times New Roman" w:cs="Times New Roman"/>
        </w:rPr>
      </w:pPr>
      <w:r w:rsidRPr="00686DB7">
        <w:rPr>
          <w:rFonts w:ascii="Times New Roman" w:eastAsia="Times New Roman" w:hAnsi="Times New Roman" w:cs="Times New Roman"/>
        </w:rPr>
        <w:tab/>
        <w:t xml:space="preserve">During the long span of time covered by this workshop, the Roman Empire experienced deep changes in many aspects of life and, as a result, converting to Christianity entailed various consequences depending on different socio-political contexts, which may be here </w:t>
      </w:r>
      <w:r w:rsidR="00414AE0">
        <w:rPr>
          <w:rFonts w:ascii="Times New Roman" w:eastAsia="Times New Roman" w:hAnsi="Times New Roman" w:cs="Times New Roman"/>
        </w:rPr>
        <w:lastRenderedPageBreak/>
        <w:t>briefly summarised. Before the edict of Toleration issued by Galerius in 311</w:t>
      </w:r>
      <w:r w:rsidRPr="00686DB7">
        <w:rPr>
          <w:rFonts w:ascii="Times New Roman" w:eastAsia="Times New Roman" w:hAnsi="Times New Roman" w:cs="Times New Roman"/>
        </w:rPr>
        <w:t xml:space="preserve"> AD, the </w:t>
      </w:r>
      <w:r w:rsidR="00853BB4">
        <w:rPr>
          <w:rFonts w:ascii="Times New Roman" w:eastAsia="Times New Roman" w:hAnsi="Times New Roman" w:cs="Times New Roman"/>
        </w:rPr>
        <w:t xml:space="preserve"> </w:t>
      </w:r>
      <w:r w:rsidRPr="00686DB7">
        <w:rPr>
          <w:rFonts w:ascii="Times New Roman" w:eastAsia="Times New Roman" w:hAnsi="Times New Roman" w:cs="Times New Roman"/>
        </w:rPr>
        <w:t xml:space="preserve">Christian Church progressively grew, but Christianity did not generally evolve in a favourable context as traditional Roman cults still dominated social life and persecutions occurred (such as the Great Persecution under Diocletian). Conversion to Christianity thus implied at that time a great shift and breaking from </w:t>
      </w:r>
      <w:r w:rsidR="001F0828">
        <w:rPr>
          <w:rFonts w:ascii="Times New Roman" w:eastAsia="Times New Roman" w:hAnsi="Times New Roman" w:cs="Times New Roman"/>
        </w:rPr>
        <w:t>social rules. Secondly, from 312</w:t>
      </w:r>
      <w:r w:rsidR="00A16ABA">
        <w:rPr>
          <w:rFonts w:ascii="Times New Roman" w:eastAsia="Times New Roman" w:hAnsi="Times New Roman" w:cs="Times New Roman"/>
        </w:rPr>
        <w:t xml:space="preserve"> AD to c</w:t>
      </w:r>
      <w:r w:rsidRPr="00686DB7">
        <w:rPr>
          <w:rFonts w:ascii="Times New Roman" w:eastAsia="Times New Roman" w:hAnsi="Times New Roman" w:cs="Times New Roman"/>
        </w:rPr>
        <w:t>. 395 AD, Christianity expanded within the Empire and the number of Christians dramatically increased, as Emperors</w:t>
      </w:r>
      <w:r w:rsidR="002A46A4">
        <w:rPr>
          <w:rFonts w:ascii="Times New Roman" w:eastAsia="Times New Roman" w:hAnsi="Times New Roman" w:cs="Times New Roman"/>
        </w:rPr>
        <w:t xml:space="preserve"> – </w:t>
      </w:r>
      <w:r w:rsidR="00317F67">
        <w:rPr>
          <w:rFonts w:ascii="Times New Roman" w:eastAsia="Times New Roman" w:hAnsi="Times New Roman" w:cs="Times New Roman"/>
        </w:rPr>
        <w:t>starting with</w:t>
      </w:r>
      <w:r w:rsidR="002A46A4">
        <w:rPr>
          <w:rFonts w:ascii="Times New Roman" w:eastAsia="Times New Roman" w:hAnsi="Times New Roman" w:cs="Times New Roman"/>
        </w:rPr>
        <w:t xml:space="preserve"> Constantine</w:t>
      </w:r>
      <w:r w:rsidR="001F0828">
        <w:rPr>
          <w:rFonts w:ascii="Times New Roman" w:eastAsia="Times New Roman" w:hAnsi="Times New Roman" w:cs="Times New Roman"/>
        </w:rPr>
        <w:t xml:space="preserve"> in 313</w:t>
      </w:r>
      <w:r w:rsidR="002A46A4">
        <w:rPr>
          <w:rFonts w:ascii="Times New Roman" w:eastAsia="Times New Roman" w:hAnsi="Times New Roman" w:cs="Times New Roman"/>
        </w:rPr>
        <w:t> –</w:t>
      </w:r>
      <w:r w:rsidRPr="00686DB7">
        <w:rPr>
          <w:rFonts w:ascii="Times New Roman" w:eastAsia="Times New Roman" w:hAnsi="Times New Roman" w:cs="Times New Roman"/>
        </w:rPr>
        <w:t xml:space="preserve"> regularly supported and funded churches. However, the political decline of traditional pagan cults was not achieved at least until laws banning the public practice of traditional Roman cults were passed by Theodosius in 391 AD and 392</w:t>
      </w:r>
      <w:r w:rsidR="00A16ABA">
        <w:rPr>
          <w:rFonts w:ascii="Times New Roman" w:eastAsia="Times New Roman" w:hAnsi="Times New Roman" w:cs="Times New Roman"/>
        </w:rPr>
        <w:t xml:space="preserve"> AD. Thirdly, the period from c</w:t>
      </w:r>
      <w:r w:rsidRPr="00686DB7">
        <w:rPr>
          <w:rFonts w:ascii="Times New Roman" w:eastAsia="Times New Roman" w:hAnsi="Times New Roman" w:cs="Times New Roman"/>
        </w:rPr>
        <w:t xml:space="preserve">. </w:t>
      </w:r>
      <w:r w:rsidR="00C07536">
        <w:rPr>
          <w:rFonts w:ascii="Times New Roman" w:eastAsia="Times New Roman" w:hAnsi="Times New Roman" w:cs="Times New Roman"/>
        </w:rPr>
        <w:t>395 AD to the beginning of the six</w:t>
      </w:r>
      <w:r w:rsidRPr="00686DB7">
        <w:rPr>
          <w:rFonts w:ascii="Times New Roman" w:eastAsia="Times New Roman" w:hAnsi="Times New Roman" w:cs="Times New Roman"/>
        </w:rPr>
        <w:t>th century corresponds to the rise and development of Christendom, a process still in its infancy, with increasingly widespread Christian presence in society. During this period, there were different degrees of implication from opportunistic ways of being Christian to people choosing to convert to asceticism, hence drastically changing their way of life.</w:t>
      </w:r>
      <w:r w:rsidRPr="00686DB7">
        <w:rPr>
          <w:rStyle w:val="EndnoteReference"/>
          <w:rFonts w:ascii="Times New Roman" w:eastAsia="Times New Roman" w:hAnsi="Times New Roman" w:cs="Times New Roman"/>
        </w:rPr>
        <w:endnoteReference w:id="23"/>
      </w:r>
    </w:p>
    <w:p w:rsidR="002B1FD7" w:rsidRPr="00686DB7" w:rsidRDefault="002B1FD7" w:rsidP="00686DB7">
      <w:pPr>
        <w:tabs>
          <w:tab w:val="left" w:pos="505"/>
        </w:tabs>
        <w:spacing w:after="0" w:line="480" w:lineRule="auto"/>
        <w:jc w:val="both"/>
        <w:rPr>
          <w:rFonts w:ascii="Times New Roman" w:hAnsi="Times New Roman" w:cs="Times New Roman"/>
        </w:rPr>
      </w:pPr>
    </w:p>
    <w:p w:rsidR="002B1FD7" w:rsidRPr="00686DB7" w:rsidRDefault="002B1FD7" w:rsidP="00686DB7">
      <w:pPr>
        <w:tabs>
          <w:tab w:val="left" w:pos="505"/>
        </w:tabs>
        <w:spacing w:after="0" w:line="480" w:lineRule="auto"/>
        <w:jc w:val="both"/>
        <w:rPr>
          <w:rFonts w:ascii="Times New Roman" w:hAnsi="Times New Roman" w:cs="Times New Roman"/>
        </w:rPr>
      </w:pPr>
      <w:r w:rsidRPr="00686DB7">
        <w:rPr>
          <w:rFonts w:ascii="Times New Roman" w:eastAsia="Times New Roman" w:hAnsi="Times New Roman" w:cs="Times New Roman"/>
        </w:rPr>
        <w:tab/>
        <w:t xml:space="preserve">The objective of this workshop, bringing together early career researchers, was to investigate the processes of conversion and Christianisation in the West during centuries of crucial change, by adopting a wide chronological and geographical framework, through a number of different approaches (theological, philological, sociological, and historical). </w:t>
      </w:r>
      <w:r w:rsidRPr="00686DB7">
        <w:rPr>
          <w:rFonts w:ascii="Times New Roman" w:eastAsia="Times New Roman" w:hAnsi="Times New Roman" w:cs="Times New Roman"/>
          <w:highlight w:val="white"/>
        </w:rPr>
        <w:t>Our final aim was to address what becoming and being a Christian meant in the Roman society. This question is far from being straightforward, as Peter Brown stated ‘there were as many Christianizations as there were forms of Christianity itself.’</w:t>
      </w:r>
      <w:r w:rsidRPr="00686DB7">
        <w:rPr>
          <w:rFonts w:ascii="Times New Roman" w:eastAsia="Times New Roman" w:hAnsi="Times New Roman" w:cs="Times New Roman"/>
          <w:highlight w:val="white"/>
          <w:vertAlign w:val="superscript"/>
        </w:rPr>
        <w:endnoteReference w:id="24"/>
      </w:r>
    </w:p>
    <w:p w:rsidR="002B1FD7" w:rsidRPr="00686DB7" w:rsidRDefault="002B1FD7" w:rsidP="00686DB7">
      <w:pPr>
        <w:tabs>
          <w:tab w:val="left" w:pos="505"/>
        </w:tabs>
        <w:spacing w:after="0" w:line="480" w:lineRule="auto"/>
        <w:jc w:val="both"/>
        <w:rPr>
          <w:rFonts w:ascii="Times New Roman" w:hAnsi="Times New Roman" w:cs="Times New Roman"/>
        </w:rPr>
      </w:pPr>
    </w:p>
    <w:p w:rsidR="002B1FD7" w:rsidRPr="00686DB7" w:rsidRDefault="002B1FD7" w:rsidP="00686DB7">
      <w:pPr>
        <w:tabs>
          <w:tab w:val="left" w:pos="505"/>
        </w:tabs>
        <w:spacing w:after="0" w:line="480" w:lineRule="auto"/>
        <w:jc w:val="both"/>
        <w:rPr>
          <w:rFonts w:ascii="Times New Roman" w:hAnsi="Times New Roman" w:cs="Times New Roman"/>
        </w:rPr>
      </w:pPr>
      <w:r w:rsidRPr="00686DB7">
        <w:rPr>
          <w:rFonts w:ascii="Times New Roman" w:eastAsia="Times New Roman" w:hAnsi="Times New Roman" w:cs="Times New Roman"/>
        </w:rPr>
        <w:lastRenderedPageBreak/>
        <w:tab/>
        <w:t xml:space="preserve">The panel, entitled </w:t>
      </w:r>
      <w:r w:rsidRPr="00686DB7">
        <w:rPr>
          <w:rFonts w:ascii="Times New Roman" w:eastAsia="Times New Roman" w:hAnsi="Times New Roman" w:cs="Times New Roman"/>
          <w:i/>
        </w:rPr>
        <w:t>Becoming Christian</w:t>
      </w:r>
      <w:r w:rsidRPr="00686DB7">
        <w:rPr>
          <w:rFonts w:ascii="Times New Roman" w:eastAsia="Times New Roman" w:hAnsi="Times New Roman" w:cs="Times New Roman"/>
        </w:rPr>
        <w:t xml:space="preserve">, deals both with </w:t>
      </w:r>
      <w:r w:rsidRPr="00686DB7">
        <w:rPr>
          <w:rFonts w:ascii="Times New Roman" w:eastAsia="Times New Roman" w:hAnsi="Times New Roman" w:cs="Times New Roman"/>
          <w:i/>
        </w:rPr>
        <w:t xml:space="preserve">conversion </w:t>
      </w:r>
      <w:r w:rsidRPr="00686DB7">
        <w:rPr>
          <w:rFonts w:ascii="Times New Roman" w:eastAsia="Times New Roman" w:hAnsi="Times New Roman" w:cs="Times New Roman"/>
        </w:rPr>
        <w:t xml:space="preserve">and </w:t>
      </w:r>
      <w:r w:rsidRPr="00686DB7">
        <w:rPr>
          <w:rFonts w:ascii="Times New Roman" w:eastAsia="Times New Roman" w:hAnsi="Times New Roman" w:cs="Times New Roman"/>
          <w:i/>
        </w:rPr>
        <w:t xml:space="preserve">Christianisation. </w:t>
      </w:r>
      <w:r w:rsidRPr="00686DB7">
        <w:rPr>
          <w:rFonts w:ascii="Times New Roman" w:eastAsia="Times New Roman" w:hAnsi="Times New Roman" w:cs="Times New Roman"/>
        </w:rPr>
        <w:t xml:space="preserve">The term </w:t>
      </w:r>
      <w:r w:rsidRPr="00686DB7">
        <w:rPr>
          <w:rFonts w:ascii="Times New Roman" w:eastAsia="Times New Roman" w:hAnsi="Times New Roman" w:cs="Times New Roman"/>
          <w:i/>
        </w:rPr>
        <w:t xml:space="preserve">conversion, </w:t>
      </w:r>
      <w:r w:rsidRPr="00686DB7">
        <w:rPr>
          <w:rFonts w:ascii="Times New Roman" w:eastAsia="Times New Roman" w:hAnsi="Times New Roman" w:cs="Times New Roman"/>
        </w:rPr>
        <w:t>connected to religious belief,</w:t>
      </w:r>
      <w:r w:rsidRPr="00686DB7">
        <w:rPr>
          <w:rFonts w:ascii="Times New Roman" w:eastAsia="Times New Roman" w:hAnsi="Times New Roman" w:cs="Times New Roman"/>
          <w:i/>
        </w:rPr>
        <w:t xml:space="preserve"> </w:t>
      </w:r>
      <w:r w:rsidRPr="00686DB7">
        <w:rPr>
          <w:rFonts w:ascii="Times New Roman" w:eastAsia="Times New Roman" w:hAnsi="Times New Roman" w:cs="Times New Roman"/>
        </w:rPr>
        <w:t>may refer to individual or group dynamics,</w:t>
      </w:r>
      <w:r w:rsidRPr="00686DB7">
        <w:rPr>
          <w:rFonts w:ascii="Times New Roman" w:eastAsia="Times New Roman" w:hAnsi="Times New Roman" w:cs="Times New Roman"/>
          <w:vertAlign w:val="superscript"/>
        </w:rPr>
        <w:endnoteReference w:id="25"/>
      </w:r>
      <w:r w:rsidRPr="00686DB7">
        <w:rPr>
          <w:rFonts w:ascii="Times New Roman" w:eastAsia="Times New Roman" w:hAnsi="Times New Roman" w:cs="Times New Roman"/>
        </w:rPr>
        <w:t xml:space="preserve"> but it also pertains to personal consciousness.</w:t>
      </w:r>
      <w:r w:rsidRPr="00686DB7">
        <w:rPr>
          <w:rFonts w:ascii="Times New Roman" w:eastAsia="Times New Roman" w:hAnsi="Times New Roman" w:cs="Times New Roman"/>
          <w:vertAlign w:val="superscript"/>
        </w:rPr>
        <w:endnoteReference w:id="26"/>
      </w:r>
      <w:r w:rsidRPr="00686DB7">
        <w:rPr>
          <w:rFonts w:ascii="Times New Roman" w:eastAsia="Times New Roman" w:hAnsi="Times New Roman" w:cs="Times New Roman"/>
        </w:rPr>
        <w:t xml:space="preserve"> According to Marc David Baer, ‘until recently, historians have doubted the totalizing experience of conversion [...] Religious conversion entails both an event or events and a gradually unfolding, dynamic yet often incomplete process’.</w:t>
      </w:r>
      <w:r w:rsidRPr="00686DB7">
        <w:rPr>
          <w:rFonts w:ascii="Times New Roman" w:eastAsia="Times New Roman" w:hAnsi="Times New Roman" w:cs="Times New Roman"/>
          <w:vertAlign w:val="superscript"/>
        </w:rPr>
        <w:endnoteReference w:id="27"/>
      </w:r>
      <w:r w:rsidRPr="00686DB7">
        <w:rPr>
          <w:rFonts w:ascii="Times New Roman" w:eastAsia="Times New Roman" w:hAnsi="Times New Roman" w:cs="Times New Roman"/>
        </w:rPr>
        <w:t xml:space="preserve"> Indeed, the results of this workshop confirm that conversion was a gradual pro</w:t>
      </w:r>
      <w:r>
        <w:rPr>
          <w:rFonts w:ascii="Times New Roman" w:eastAsia="Times New Roman" w:hAnsi="Times New Roman" w:cs="Times New Roman"/>
        </w:rPr>
        <w:t>cess which involved negotiation</w:t>
      </w:r>
      <w:r w:rsidRPr="00686DB7">
        <w:rPr>
          <w:rFonts w:ascii="Times New Roman" w:eastAsia="Times New Roman" w:hAnsi="Times New Roman" w:cs="Times New Roman"/>
        </w:rPr>
        <w:t xml:space="preserve"> and a progressive change of status in which both the family and the Church played an important part. Clerics wrote, theorised and preached to bring individuals to conversion. However, single individuals, laymen, clergymen and various correspondents, had a crucial role to play as they interacted in a dialogue, often developing ideas on conversion as role models or members of Christian communities. They shaped the way conversion was understood and lived.</w:t>
      </w:r>
    </w:p>
    <w:p w:rsidR="002B1FD7" w:rsidRPr="00686DB7" w:rsidRDefault="002B1FD7" w:rsidP="00686DB7">
      <w:pPr>
        <w:tabs>
          <w:tab w:val="left" w:pos="505"/>
        </w:tabs>
        <w:spacing w:after="0" w:line="480" w:lineRule="auto"/>
        <w:ind w:firstLine="357"/>
        <w:jc w:val="both"/>
        <w:rPr>
          <w:rFonts w:ascii="Times New Roman" w:hAnsi="Times New Roman" w:cs="Times New Roman"/>
        </w:rPr>
      </w:pPr>
      <w:r w:rsidRPr="00686DB7">
        <w:rPr>
          <w:rFonts w:ascii="Times New Roman" w:eastAsia="Times New Roman" w:hAnsi="Times New Roman" w:cs="Times New Roman"/>
        </w:rPr>
        <w:t xml:space="preserve"> The notion of </w:t>
      </w:r>
      <w:r w:rsidRPr="00686DB7">
        <w:rPr>
          <w:rFonts w:ascii="Times New Roman" w:eastAsia="Times New Roman" w:hAnsi="Times New Roman" w:cs="Times New Roman"/>
          <w:i/>
        </w:rPr>
        <w:t>Christianisation</w:t>
      </w:r>
      <w:r w:rsidRPr="00686DB7">
        <w:rPr>
          <w:rFonts w:ascii="Times New Roman" w:eastAsia="Times New Roman" w:hAnsi="Times New Roman" w:cs="Times New Roman"/>
        </w:rPr>
        <w:t xml:space="preserve"> in this workshop refers to the consequence of the religious conversion of the Roman world in Late Antiquity. By the end of this process, the majority of the Roman population was converted to Christianity resulting in a dramatic shift in ideas and behaviours in the society over this period.</w:t>
      </w:r>
      <w:r w:rsidRPr="00686DB7">
        <w:rPr>
          <w:rFonts w:ascii="Times New Roman" w:eastAsia="Times New Roman" w:hAnsi="Times New Roman" w:cs="Times New Roman"/>
          <w:vertAlign w:val="superscript"/>
        </w:rPr>
        <w:endnoteReference w:id="28"/>
      </w:r>
      <w:r w:rsidRPr="00686DB7">
        <w:rPr>
          <w:rFonts w:ascii="Times New Roman" w:eastAsia="Times New Roman" w:hAnsi="Times New Roman" w:cs="Times New Roman"/>
        </w:rPr>
        <w:t xml:space="preserve"> This workshop shows that Christianisation was an even slower process, quite difficult to document precisely. Nevertheless, putting together studies on conversion and Christianisation opens a wealth of different perspectives which inform each other and add further nuances to explain how individuals became Christians in Late Antiquity. </w:t>
      </w:r>
    </w:p>
    <w:p w:rsidR="002B1FD7" w:rsidRPr="00686DB7" w:rsidRDefault="002B1FD7" w:rsidP="00686DB7">
      <w:pPr>
        <w:tabs>
          <w:tab w:val="left" w:pos="505"/>
        </w:tabs>
        <w:spacing w:after="0" w:line="480" w:lineRule="auto"/>
        <w:ind w:firstLine="357"/>
        <w:jc w:val="both"/>
        <w:rPr>
          <w:rFonts w:ascii="Times New Roman" w:hAnsi="Times New Roman" w:cs="Times New Roman"/>
        </w:rPr>
      </w:pPr>
      <w:r w:rsidRPr="00686DB7">
        <w:rPr>
          <w:rFonts w:ascii="Times New Roman" w:eastAsia="Times New Roman" w:hAnsi="Times New Roman" w:cs="Times New Roman"/>
        </w:rPr>
        <w:t xml:space="preserve">Furthermore, the process of becoming Christian, both referring to religious conversion and Christianisation, raises the problem of Christian identity. Becoming Christian did not only affect the converts, but also those who were raised as Christians. Such a perspective requires the study of groups as well as individuals in a holistic approach. </w:t>
      </w:r>
    </w:p>
    <w:p w:rsidR="002B1FD7" w:rsidRPr="00686DB7" w:rsidRDefault="002B1FD7" w:rsidP="00686DB7">
      <w:pPr>
        <w:tabs>
          <w:tab w:val="left" w:pos="505"/>
        </w:tabs>
        <w:spacing w:after="0" w:line="480" w:lineRule="auto"/>
        <w:jc w:val="both"/>
        <w:rPr>
          <w:rFonts w:ascii="Times New Roman" w:hAnsi="Times New Roman" w:cs="Times New Roman"/>
        </w:rPr>
      </w:pPr>
    </w:p>
    <w:p w:rsidR="002B1FD7" w:rsidRPr="00686DB7" w:rsidRDefault="002B1FD7" w:rsidP="00686DB7">
      <w:pPr>
        <w:tabs>
          <w:tab w:val="left" w:pos="505"/>
        </w:tabs>
        <w:spacing w:after="0" w:line="480" w:lineRule="auto"/>
        <w:jc w:val="both"/>
        <w:rPr>
          <w:rFonts w:ascii="Times New Roman" w:hAnsi="Times New Roman" w:cs="Times New Roman"/>
        </w:rPr>
      </w:pPr>
      <w:r w:rsidRPr="00686DB7">
        <w:rPr>
          <w:rFonts w:ascii="Times New Roman" w:eastAsia="Times New Roman" w:hAnsi="Times New Roman" w:cs="Times New Roman"/>
        </w:rPr>
        <w:tab/>
        <w:t xml:space="preserve">Thus, several issues relating to conversion and Christianisation were raised in the course of this workshop. First, papers focused, </w:t>
      </w:r>
      <w:r w:rsidRPr="00686DB7">
        <w:rPr>
          <w:rFonts w:ascii="Times New Roman" w:eastAsia="Times New Roman" w:hAnsi="Times New Roman" w:cs="Times New Roman"/>
          <w:highlight w:val="white"/>
        </w:rPr>
        <w:t>i</w:t>
      </w:r>
      <w:r w:rsidRPr="00686DB7">
        <w:rPr>
          <w:rFonts w:ascii="Times New Roman" w:eastAsia="Times New Roman" w:hAnsi="Times New Roman" w:cs="Times New Roman"/>
        </w:rPr>
        <w:t>n a rhetorical and literary perspective, on the question of the audience of preaching and the status of churchgoers who attend sermons, the external and internal points of view on Christian initiation, the place of childhood in texts on conversion, as well as the representation of conversion to Christianity in the Roman aristocracy. Second, the panel also approached a social analysis in a dual perspective. The first is the identification of Christians. Was it possible to recognise an average Christian in the Roman society through her or his behaviour, clothes, background, or ethnicity, during this period? Did the notion of a Christian identity make sense? The second concentrated on the significance of the family and the changes that affected it during the main period of Christianisation. The question at stake was then to determine the role</w:t>
      </w:r>
      <w:r w:rsidR="000631C4">
        <w:rPr>
          <w:rFonts w:ascii="Times New Roman" w:eastAsia="Times New Roman" w:hAnsi="Times New Roman" w:cs="Times New Roman"/>
        </w:rPr>
        <w:t>s</w:t>
      </w:r>
      <w:r w:rsidRPr="00686DB7">
        <w:rPr>
          <w:rFonts w:ascii="Times New Roman" w:eastAsia="Times New Roman" w:hAnsi="Times New Roman" w:cs="Times New Roman"/>
        </w:rPr>
        <w:t xml:space="preserve"> of the</w:t>
      </w:r>
      <w:r w:rsidR="004E337F">
        <w:rPr>
          <w:rFonts w:ascii="Times New Roman" w:eastAsia="Times New Roman" w:hAnsi="Times New Roman" w:cs="Times New Roman"/>
        </w:rPr>
        <w:t xml:space="preserve"> child and</w:t>
      </w:r>
      <w:r w:rsidR="00D31360">
        <w:rPr>
          <w:rFonts w:ascii="Times New Roman" w:eastAsia="Times New Roman" w:hAnsi="Times New Roman" w:cs="Times New Roman"/>
        </w:rPr>
        <w:t xml:space="preserve"> the</w:t>
      </w:r>
      <w:r w:rsidRPr="00686DB7">
        <w:rPr>
          <w:rFonts w:ascii="Times New Roman" w:eastAsia="Times New Roman" w:hAnsi="Times New Roman" w:cs="Times New Roman"/>
        </w:rPr>
        <w:t xml:space="preserve"> family in religious conversion.</w:t>
      </w:r>
    </w:p>
    <w:p w:rsidR="002B1FD7" w:rsidRPr="00686DB7" w:rsidRDefault="002B1FD7" w:rsidP="00686DB7">
      <w:pPr>
        <w:tabs>
          <w:tab w:val="left" w:pos="505"/>
        </w:tabs>
        <w:spacing w:after="0" w:line="480" w:lineRule="auto"/>
        <w:ind w:firstLine="357"/>
        <w:jc w:val="both"/>
        <w:rPr>
          <w:rFonts w:ascii="Times New Roman" w:hAnsi="Times New Roman" w:cs="Times New Roman"/>
        </w:rPr>
      </w:pPr>
    </w:p>
    <w:p w:rsidR="002B1FD7" w:rsidRPr="00686DB7" w:rsidRDefault="002B1FD7" w:rsidP="00686DB7">
      <w:pPr>
        <w:tabs>
          <w:tab w:val="left" w:pos="505"/>
        </w:tabs>
        <w:spacing w:after="0" w:line="480" w:lineRule="auto"/>
        <w:ind w:firstLine="357"/>
        <w:jc w:val="both"/>
        <w:rPr>
          <w:rFonts w:ascii="Times New Roman" w:hAnsi="Times New Roman" w:cs="Times New Roman"/>
        </w:rPr>
      </w:pPr>
      <w:r w:rsidRPr="00686DB7">
        <w:rPr>
          <w:rFonts w:ascii="Times New Roman" w:eastAsia="Times New Roman" w:hAnsi="Times New Roman" w:cs="Times New Roman"/>
          <w:b/>
        </w:rPr>
        <w:t>Presentation of the papers</w:t>
      </w:r>
    </w:p>
    <w:p w:rsidR="002B1FD7" w:rsidRPr="00686DB7" w:rsidRDefault="002B1FD7" w:rsidP="00686DB7">
      <w:pPr>
        <w:tabs>
          <w:tab w:val="left" w:pos="505"/>
        </w:tabs>
        <w:spacing w:after="0" w:line="480" w:lineRule="auto"/>
        <w:ind w:firstLine="357"/>
        <w:jc w:val="both"/>
        <w:rPr>
          <w:rFonts w:ascii="Times New Roman" w:hAnsi="Times New Roman" w:cs="Times New Roman"/>
        </w:rPr>
      </w:pPr>
    </w:p>
    <w:p w:rsidR="002B1FD7" w:rsidRPr="00686DB7" w:rsidRDefault="002B1FD7" w:rsidP="000A7F9B">
      <w:pPr>
        <w:tabs>
          <w:tab w:val="left" w:pos="505"/>
        </w:tabs>
        <w:spacing w:after="0" w:line="480" w:lineRule="auto"/>
        <w:ind w:firstLine="357"/>
        <w:jc w:val="both"/>
        <w:rPr>
          <w:rFonts w:ascii="Times New Roman" w:hAnsi="Times New Roman" w:cs="Times New Roman"/>
        </w:rPr>
      </w:pPr>
      <w:r w:rsidRPr="00686DB7">
        <w:rPr>
          <w:rFonts w:ascii="Times New Roman" w:eastAsia="Times New Roman" w:hAnsi="Times New Roman" w:cs="Times New Roman"/>
        </w:rPr>
        <w:t xml:space="preserve"> The papers can be divided into three different categories: two of them deal with religious conversion through the process of initiation and the catechumenate, three others analyse the rhetoric</w:t>
      </w:r>
      <w:r w:rsidR="00D31360">
        <w:rPr>
          <w:rFonts w:ascii="Times New Roman" w:eastAsia="Times New Roman" w:hAnsi="Times New Roman" w:cs="Times New Roman"/>
        </w:rPr>
        <w:t xml:space="preserve"> and </w:t>
      </w:r>
      <w:r w:rsidR="000A7F9B">
        <w:rPr>
          <w:rFonts w:ascii="Times New Roman" w:eastAsia="Times New Roman" w:hAnsi="Times New Roman" w:cs="Times New Roman"/>
        </w:rPr>
        <w:t>representation</w:t>
      </w:r>
      <w:r w:rsidRPr="00686DB7">
        <w:rPr>
          <w:rFonts w:ascii="Times New Roman" w:eastAsia="Times New Roman" w:hAnsi="Times New Roman" w:cs="Times New Roman"/>
        </w:rPr>
        <w:t xml:space="preserve"> of conversion, and two show the problems raised by the identification and the identity of Christians in the late antique society. </w:t>
      </w:r>
    </w:p>
    <w:p w:rsidR="002B1FD7" w:rsidRPr="00686DB7" w:rsidRDefault="002B1FD7" w:rsidP="00686DB7">
      <w:pPr>
        <w:spacing w:after="0" w:line="480" w:lineRule="auto"/>
        <w:jc w:val="both"/>
        <w:rPr>
          <w:rFonts w:ascii="Times New Roman" w:hAnsi="Times New Roman" w:cs="Times New Roman"/>
        </w:rPr>
      </w:pPr>
      <w:r w:rsidRPr="00686DB7">
        <w:rPr>
          <w:rFonts w:ascii="Times New Roman" w:eastAsia="Times New Roman" w:hAnsi="Times New Roman" w:cs="Times New Roman"/>
        </w:rPr>
        <w:tab/>
        <w:t xml:space="preserve">Matthieu Pignot's and Camille Gerzaguet's papers call for a more detailed analysis of preached texts for a better understanding of conversion. They insist on preaching both as a tool of integration and as an essential source to describe how conversion was </w:t>
      </w:r>
      <w:r w:rsidR="003029E1">
        <w:rPr>
          <w:rFonts w:ascii="Times New Roman" w:eastAsia="Times New Roman" w:hAnsi="Times New Roman" w:cs="Times New Roman"/>
        </w:rPr>
        <w:t>experienced in Late A</w:t>
      </w:r>
      <w:r w:rsidRPr="00686DB7">
        <w:rPr>
          <w:rFonts w:ascii="Times New Roman" w:eastAsia="Times New Roman" w:hAnsi="Times New Roman" w:cs="Times New Roman"/>
        </w:rPr>
        <w:t xml:space="preserve">ntiquity. Matthieu Pignot starts by underlining the significance of the catechumenate </w:t>
      </w:r>
      <w:r w:rsidRPr="00686DB7">
        <w:rPr>
          <w:rFonts w:ascii="Times New Roman" w:eastAsia="Times New Roman" w:hAnsi="Times New Roman" w:cs="Times New Roman"/>
        </w:rPr>
        <w:lastRenderedPageBreak/>
        <w:t xml:space="preserve">for a better understanding of Christian conversion, as a process enabling individuals to integrate Christianity very progressively. He argues that the long process of conversion took place </w:t>
      </w:r>
      <w:r>
        <w:rPr>
          <w:rFonts w:ascii="Times New Roman" w:eastAsia="Times New Roman" w:hAnsi="Times New Roman" w:cs="Times New Roman"/>
        </w:rPr>
        <w:t>during the catechumenate within a ritual context of</w:t>
      </w:r>
      <w:r w:rsidRPr="00686DB7">
        <w:rPr>
          <w:rFonts w:ascii="Times New Roman" w:eastAsia="Times New Roman" w:hAnsi="Times New Roman" w:cs="Times New Roman"/>
        </w:rPr>
        <w:t xml:space="preserve"> gradual integration with corresponding categories of Christians (</w:t>
      </w:r>
      <w:r w:rsidRPr="00686DB7">
        <w:rPr>
          <w:rFonts w:ascii="Times New Roman" w:eastAsia="Times New Roman" w:hAnsi="Times New Roman" w:cs="Times New Roman"/>
          <w:i/>
        </w:rPr>
        <w:t>catechumeni, competentes, fideles</w:t>
      </w:r>
      <w:r w:rsidRPr="00686DB7">
        <w:rPr>
          <w:rFonts w:ascii="Times New Roman" w:eastAsia="Times New Roman" w:hAnsi="Times New Roman" w:cs="Times New Roman"/>
        </w:rPr>
        <w:t>). Conversion and initiation were equated to a process of rebirth which transformed individuals, creating a new self and new bonds. His paper then particularly argues that more research is needed on anonymous sermons for the study of the catechumenate, reflects on methodological issues in dealing with such texts, and presents a couple of examples of these little-known sermons demonstrating that they may complement or even challenge our views on the organisation of the catechumenate and its rituals. The paper, for instance, introduces evidence in these sermons of often unnoticed practices like the teaching and learning of psalms before baptism. Focusing on a close reading of sermons, and a philological approach, Camille Gerzaguet analyses some Eastertide sermons of Zeno of Verona and Gaudentius of Brescia. As far as preaching activity is concerned, audience analysis is still in its infancy and the methodology is therefore still evolving. For example, it is still a complex issue to determine the social make-up of the audience. Her paper particularly emphasises the methodological problems pertaining to sermons, describing for instance how to best interpret and make use of titles of sermons to point to their intended audience.</w:t>
      </w:r>
      <w:r>
        <w:rPr>
          <w:rFonts w:ascii="Times New Roman" w:eastAsia="Times New Roman" w:hAnsi="Times New Roman" w:cs="Times New Roman"/>
        </w:rPr>
        <w:t xml:space="preserve"> </w:t>
      </w:r>
      <w:r w:rsidRPr="00686DB7">
        <w:rPr>
          <w:rFonts w:ascii="Times New Roman" w:eastAsia="Times New Roman" w:hAnsi="Times New Roman" w:cs="Times New Roman"/>
        </w:rPr>
        <w:t xml:space="preserve">As she examines the title of </w:t>
      </w:r>
      <w:r w:rsidRPr="00686DB7">
        <w:rPr>
          <w:rFonts w:ascii="Times New Roman" w:eastAsia="Times New Roman" w:hAnsi="Times New Roman" w:cs="Times New Roman"/>
          <w:i/>
        </w:rPr>
        <w:t xml:space="preserve">Tractatus </w:t>
      </w:r>
      <w:r w:rsidRPr="00A33739">
        <w:rPr>
          <w:rFonts w:ascii="Times New Roman" w:eastAsia="Times New Roman" w:hAnsi="Times New Roman" w:cs="Times New Roman"/>
          <w:iCs/>
        </w:rPr>
        <w:t>55</w:t>
      </w:r>
      <w:r w:rsidRPr="00686DB7">
        <w:rPr>
          <w:rFonts w:ascii="Times New Roman" w:eastAsia="Times New Roman" w:hAnsi="Times New Roman" w:cs="Times New Roman"/>
        </w:rPr>
        <w:t xml:space="preserve"> of Zeno </w:t>
      </w:r>
      <w:r w:rsidRPr="00686DB7">
        <w:rPr>
          <w:rFonts w:ascii="Times New Roman" w:eastAsia="Times New Roman" w:hAnsi="Times New Roman" w:cs="Times New Roman"/>
          <w:i/>
        </w:rPr>
        <w:t>Ad Neophytos</w:t>
      </w:r>
      <w:r>
        <w:rPr>
          <w:rFonts w:ascii="Times New Roman" w:eastAsia="Times New Roman" w:hAnsi="Times New Roman" w:cs="Times New Roman"/>
        </w:rPr>
        <w:t>, she questions its</w:t>
      </w:r>
      <w:r w:rsidRPr="00686DB7">
        <w:rPr>
          <w:rFonts w:ascii="Times New Roman" w:eastAsia="Times New Roman" w:hAnsi="Times New Roman" w:cs="Times New Roman"/>
        </w:rPr>
        <w:t xml:space="preserve"> relevance and suggests that it </w:t>
      </w:r>
      <w:r>
        <w:rPr>
          <w:rFonts w:ascii="Times New Roman" w:eastAsia="Times New Roman" w:hAnsi="Times New Roman" w:cs="Times New Roman"/>
        </w:rPr>
        <w:t>is a medieval interpolation, since</w:t>
      </w:r>
      <w:r w:rsidRPr="00686DB7">
        <w:rPr>
          <w:rFonts w:ascii="Times New Roman" w:eastAsia="Times New Roman" w:hAnsi="Times New Roman" w:cs="Times New Roman"/>
        </w:rPr>
        <w:t xml:space="preserve"> </w:t>
      </w:r>
      <w:r w:rsidRPr="00686DB7">
        <w:rPr>
          <w:rFonts w:ascii="Times New Roman" w:eastAsia="Times New Roman" w:hAnsi="Times New Roman" w:cs="Times New Roman"/>
          <w:i/>
        </w:rPr>
        <w:t xml:space="preserve">Tractatus </w:t>
      </w:r>
      <w:r w:rsidRPr="00E613C3">
        <w:rPr>
          <w:rFonts w:ascii="Times New Roman" w:eastAsia="Times New Roman" w:hAnsi="Times New Roman" w:cs="Times New Roman"/>
          <w:iCs/>
        </w:rPr>
        <w:t>55</w:t>
      </w:r>
      <w:r w:rsidRPr="00686DB7">
        <w:rPr>
          <w:rFonts w:ascii="Times New Roman" w:eastAsia="Times New Roman" w:hAnsi="Times New Roman" w:cs="Times New Roman"/>
        </w:rPr>
        <w:t xml:space="preserve"> is not, properly speaking, a sermon dedicated to neophytes but an </w:t>
      </w:r>
      <w:r w:rsidRPr="00686DB7">
        <w:rPr>
          <w:rFonts w:ascii="Times New Roman" w:eastAsia="Times New Roman" w:hAnsi="Times New Roman" w:cs="Times New Roman"/>
          <w:i/>
        </w:rPr>
        <w:t>Invitatio fontis</w:t>
      </w:r>
      <w:r w:rsidRPr="00686DB7">
        <w:rPr>
          <w:rFonts w:ascii="Times New Roman" w:eastAsia="Times New Roman" w:hAnsi="Times New Roman" w:cs="Times New Roman"/>
        </w:rPr>
        <w:t xml:space="preserve"> addressed to the </w:t>
      </w:r>
      <w:r w:rsidRPr="00686DB7">
        <w:rPr>
          <w:rFonts w:ascii="Times New Roman" w:eastAsia="Times New Roman" w:hAnsi="Times New Roman" w:cs="Times New Roman"/>
          <w:i/>
        </w:rPr>
        <w:t>competentes</w:t>
      </w:r>
      <w:r w:rsidRPr="00686DB7">
        <w:rPr>
          <w:rFonts w:ascii="Times New Roman" w:eastAsia="Times New Roman" w:hAnsi="Times New Roman" w:cs="Times New Roman"/>
        </w:rPr>
        <w:t xml:space="preserve">. Further detailed analysis of </w:t>
      </w:r>
      <w:r w:rsidRPr="00686DB7">
        <w:rPr>
          <w:rFonts w:ascii="Times New Roman" w:eastAsia="Times New Roman" w:hAnsi="Times New Roman" w:cs="Times New Roman"/>
          <w:i/>
        </w:rPr>
        <w:t xml:space="preserve">Tractatus </w:t>
      </w:r>
      <w:r w:rsidRPr="00236338">
        <w:rPr>
          <w:rFonts w:ascii="Times New Roman" w:eastAsia="Times New Roman" w:hAnsi="Times New Roman" w:cs="Times New Roman"/>
          <w:iCs/>
        </w:rPr>
        <w:t>2</w:t>
      </w:r>
      <w:r w:rsidRPr="00686DB7">
        <w:rPr>
          <w:rFonts w:ascii="Times New Roman" w:eastAsia="Times New Roman" w:hAnsi="Times New Roman" w:cs="Times New Roman"/>
          <w:i/>
        </w:rPr>
        <w:t xml:space="preserve"> </w:t>
      </w:r>
      <w:r w:rsidRPr="00686DB7">
        <w:rPr>
          <w:rFonts w:ascii="Times New Roman" w:eastAsia="Times New Roman" w:hAnsi="Times New Roman" w:cs="Times New Roman"/>
        </w:rPr>
        <w:t>and</w:t>
      </w:r>
      <w:r w:rsidRPr="00686DB7">
        <w:rPr>
          <w:rFonts w:ascii="Times New Roman" w:eastAsia="Times New Roman" w:hAnsi="Times New Roman" w:cs="Times New Roman"/>
          <w:i/>
        </w:rPr>
        <w:t xml:space="preserve"> </w:t>
      </w:r>
      <w:r w:rsidRPr="00236338">
        <w:rPr>
          <w:rFonts w:ascii="Times New Roman" w:eastAsia="Times New Roman" w:hAnsi="Times New Roman" w:cs="Times New Roman"/>
          <w:iCs/>
        </w:rPr>
        <w:t>5</w:t>
      </w:r>
      <w:r w:rsidRPr="00686DB7">
        <w:rPr>
          <w:rFonts w:ascii="Times New Roman" w:eastAsia="Times New Roman" w:hAnsi="Times New Roman" w:cs="Times New Roman"/>
        </w:rPr>
        <w:t xml:space="preserve"> of Gaudentius enables her to identify the audience, consisting of both </w:t>
      </w:r>
      <w:r w:rsidRPr="00686DB7">
        <w:rPr>
          <w:rFonts w:ascii="Times New Roman" w:eastAsia="Times New Roman" w:hAnsi="Times New Roman" w:cs="Times New Roman"/>
          <w:i/>
          <w:iCs/>
        </w:rPr>
        <w:t xml:space="preserve">neophyti </w:t>
      </w:r>
      <w:r w:rsidRPr="00686DB7">
        <w:rPr>
          <w:rFonts w:ascii="Times New Roman" w:eastAsia="Times New Roman" w:hAnsi="Times New Roman" w:cs="Times New Roman"/>
        </w:rPr>
        <w:t xml:space="preserve">(newly baptized) and already baptized faithful in the former and of the whole assembly (thus including catechumens) in the latter. More broadly, therefore, her paper demonstrates the need for more detailed study of </w:t>
      </w:r>
      <w:r w:rsidRPr="00686DB7">
        <w:rPr>
          <w:rFonts w:ascii="Times New Roman" w:eastAsia="Times New Roman" w:hAnsi="Times New Roman" w:cs="Times New Roman"/>
        </w:rPr>
        <w:lastRenderedPageBreak/>
        <w:t xml:space="preserve">each passage in sermons, and of the titles transmitted with sermons, making it possible to </w:t>
      </w:r>
      <w:r w:rsidRPr="002B1FD7">
        <w:rPr>
          <w:rFonts w:ascii="Times New Roman" w:eastAsia="Times New Roman" w:hAnsi="Times New Roman" w:cs="Times New Roman"/>
        </w:rPr>
        <w:t>point to</w:t>
      </w:r>
      <w:r w:rsidRPr="00686DB7">
        <w:rPr>
          <w:rFonts w:ascii="Times New Roman" w:eastAsia="Times New Roman" w:hAnsi="Times New Roman" w:cs="Times New Roman"/>
        </w:rPr>
        <w:t xml:space="preserve"> specific audiences. </w:t>
      </w:r>
    </w:p>
    <w:p w:rsidR="009206AE" w:rsidRPr="00686DB7" w:rsidRDefault="002B1FD7" w:rsidP="002B1FD7">
      <w:pPr>
        <w:spacing w:after="0" w:line="480" w:lineRule="auto"/>
        <w:jc w:val="both"/>
        <w:rPr>
          <w:rFonts w:ascii="Times New Roman" w:hAnsi="Times New Roman" w:cs="Times New Roman"/>
        </w:rPr>
      </w:pPr>
      <w:r w:rsidRPr="00686DB7">
        <w:rPr>
          <w:rFonts w:ascii="Times New Roman" w:eastAsia="Times New Roman" w:hAnsi="Times New Roman" w:cs="Times New Roman"/>
        </w:rPr>
        <w:tab/>
        <w:t xml:space="preserve">Adrian Brändli, Jarred Mercer and Rafal Toczko analyse the rhetoric and the representation of conversion. Adrian Brändli’s paper builds on recent work on the </w:t>
      </w:r>
      <w:r w:rsidRPr="00686DB7">
        <w:rPr>
          <w:rFonts w:ascii="Times New Roman" w:eastAsia="Times New Roman" w:hAnsi="Times New Roman" w:cs="Times New Roman"/>
          <w:i/>
        </w:rPr>
        <w:t>Passio of Perpetua</w:t>
      </w:r>
      <w:r w:rsidRPr="00686DB7">
        <w:rPr>
          <w:rFonts w:ascii="Times New Roman" w:eastAsia="Times New Roman" w:hAnsi="Times New Roman" w:cs="Times New Roman"/>
        </w:rPr>
        <w:t>, particularly a new edition and commentary published in 2012.</w:t>
      </w:r>
      <w:r w:rsidRPr="00686DB7">
        <w:rPr>
          <w:rFonts w:ascii="Times New Roman" w:eastAsia="Times New Roman" w:hAnsi="Times New Roman" w:cs="Times New Roman"/>
          <w:vertAlign w:val="superscript"/>
        </w:rPr>
        <w:endnoteReference w:id="29"/>
      </w:r>
      <w:r w:rsidRPr="00686DB7">
        <w:rPr>
          <w:rFonts w:ascii="Times New Roman" w:eastAsia="Times New Roman" w:hAnsi="Times New Roman" w:cs="Times New Roman"/>
        </w:rPr>
        <w:t xml:space="preserve"> </w:t>
      </w:r>
      <w:r w:rsidR="00AD355C" w:rsidRPr="00686DB7">
        <w:rPr>
          <w:rFonts w:ascii="Times New Roman" w:eastAsia="Times New Roman" w:hAnsi="Times New Roman" w:cs="Times New Roman"/>
        </w:rPr>
        <w:t>He studies the diary of Perpetua and its use of family language and metaphors to highlight Perpetua’s gradual attachment to God and rejection of family ties, notably the intriguing use of very similar terminology to describe both her household and God’s new household. He therefore investigates this shift from the family to the religious kinship of Christians, focusing on Perpetua’s dreams and the conflict between Perpetua and her father, who tried to keep her in the family and make her</w:t>
      </w:r>
      <w:r w:rsidR="00AD355C" w:rsidRPr="00A90D46">
        <w:rPr>
          <w:rFonts w:ascii="Times New Roman" w:eastAsia="Times New Roman" w:hAnsi="Times New Roman" w:cs="Times New Roman"/>
          <w:b/>
          <w:bCs/>
        </w:rPr>
        <w:t xml:space="preserve"> </w:t>
      </w:r>
      <w:r w:rsidR="00AD355C" w:rsidRPr="002B1FD7">
        <w:rPr>
          <w:rFonts w:ascii="Times New Roman" w:eastAsia="Times New Roman" w:hAnsi="Times New Roman" w:cs="Times New Roman"/>
        </w:rPr>
        <w:t>renounce</w:t>
      </w:r>
      <w:r w:rsidR="00AD355C" w:rsidRPr="00A90D46">
        <w:rPr>
          <w:rFonts w:ascii="Times New Roman" w:eastAsia="Times New Roman" w:hAnsi="Times New Roman" w:cs="Times New Roman"/>
          <w:b/>
          <w:bCs/>
        </w:rPr>
        <w:t xml:space="preserve"> </w:t>
      </w:r>
      <w:r w:rsidR="00AD355C" w:rsidRPr="00686DB7">
        <w:rPr>
          <w:rFonts w:ascii="Times New Roman" w:eastAsia="Times New Roman" w:hAnsi="Times New Roman" w:cs="Times New Roman"/>
        </w:rPr>
        <w:t>Christianity.</w:t>
      </w:r>
      <w:r w:rsidR="006121F5">
        <w:rPr>
          <w:rFonts w:ascii="Times New Roman" w:eastAsia="Times New Roman" w:hAnsi="Times New Roman" w:cs="Times New Roman"/>
        </w:rPr>
        <w:t xml:space="preserve"> </w:t>
      </w:r>
      <w:r w:rsidR="006121F5" w:rsidRPr="00441E6A">
        <w:rPr>
          <w:rFonts w:ascii="Times New Roman" w:eastAsia="Times New Roman" w:hAnsi="Times New Roman" w:cs="Times New Roman"/>
        </w:rPr>
        <w:t xml:space="preserve">He </w:t>
      </w:r>
      <w:r w:rsidR="00441E6A">
        <w:rPr>
          <w:rFonts w:ascii="Times New Roman" w:eastAsia="Times New Roman" w:hAnsi="Times New Roman" w:cs="Times New Roman"/>
        </w:rPr>
        <w:t>underlines</w:t>
      </w:r>
      <w:r w:rsidR="006121F5" w:rsidRPr="00441E6A">
        <w:rPr>
          <w:rFonts w:ascii="Times New Roman" w:eastAsia="Times New Roman" w:hAnsi="Times New Roman" w:cs="Times New Roman"/>
        </w:rPr>
        <w:t xml:space="preserve"> how </w:t>
      </w:r>
      <w:r w:rsidR="006121F5" w:rsidRPr="00441E6A">
        <w:rPr>
          <w:rFonts w:ascii="Times New Roman" w:hAnsi="Times New Roman" w:cs="Times New Roman"/>
        </w:rPr>
        <w:t>Perpetua presents her father, the current holder of paternal authority, as a contrasting foil to Christ who appears as an alternative father figure</w:t>
      </w:r>
      <w:r w:rsidR="00AD355C" w:rsidRPr="00441E6A">
        <w:rPr>
          <w:rFonts w:ascii="Times New Roman" w:eastAsia="Times New Roman" w:hAnsi="Times New Roman" w:cs="Times New Roman"/>
        </w:rPr>
        <w:t xml:space="preserve">. </w:t>
      </w:r>
      <w:r w:rsidR="006121F5" w:rsidRPr="00441E6A">
        <w:rPr>
          <w:rFonts w:ascii="Times New Roman" w:hAnsi="Times New Roman" w:cs="Times New Roman"/>
        </w:rPr>
        <w:t xml:space="preserve">Perpetua’s use of kinship imagery in connection </w:t>
      </w:r>
      <w:r w:rsidR="00E8041B" w:rsidRPr="00441E6A">
        <w:rPr>
          <w:rFonts w:ascii="Times New Roman" w:hAnsi="Times New Roman" w:cs="Times New Roman"/>
        </w:rPr>
        <w:t xml:space="preserve">to </w:t>
      </w:r>
      <w:r w:rsidR="006121F5" w:rsidRPr="00441E6A">
        <w:rPr>
          <w:rFonts w:ascii="Times New Roman" w:hAnsi="Times New Roman" w:cs="Times New Roman"/>
        </w:rPr>
        <w:t xml:space="preserve">religious practices such as baptism and martyrdom is also a striking feature of this </w:t>
      </w:r>
      <w:r w:rsidR="006121F5" w:rsidRPr="00441E6A">
        <w:rPr>
          <w:rFonts w:ascii="Times New Roman" w:hAnsi="Times New Roman" w:cs="Times New Roman"/>
          <w:i/>
        </w:rPr>
        <w:t>Passio</w:t>
      </w:r>
      <w:r w:rsidR="006121F5" w:rsidRPr="00441E6A">
        <w:rPr>
          <w:rFonts w:ascii="Times New Roman" w:hAnsi="Times New Roman" w:cs="Times New Roman"/>
        </w:rPr>
        <w:t>. The paper investigate</w:t>
      </w:r>
      <w:r w:rsidR="00E8041B" w:rsidRPr="00441E6A">
        <w:rPr>
          <w:rFonts w:ascii="Times New Roman" w:hAnsi="Times New Roman" w:cs="Times New Roman"/>
        </w:rPr>
        <w:t>s the conceptual links between the</w:t>
      </w:r>
      <w:r w:rsidR="006121F5" w:rsidRPr="00441E6A">
        <w:rPr>
          <w:rFonts w:ascii="Times New Roman" w:hAnsi="Times New Roman" w:cs="Times New Roman"/>
        </w:rPr>
        <w:t xml:space="preserve"> baptizand’s ini</w:t>
      </w:r>
      <w:r w:rsidR="00E8041B" w:rsidRPr="00441E6A">
        <w:rPr>
          <w:rFonts w:ascii="Times New Roman" w:hAnsi="Times New Roman" w:cs="Times New Roman"/>
        </w:rPr>
        <w:t>tiation into the community and the</w:t>
      </w:r>
      <w:r w:rsidR="006121F5" w:rsidRPr="00441E6A">
        <w:rPr>
          <w:rFonts w:ascii="Times New Roman" w:hAnsi="Times New Roman" w:cs="Times New Roman"/>
        </w:rPr>
        <w:t xml:space="preserve"> martyr’s death.</w:t>
      </w:r>
      <w:r w:rsidR="006121F5" w:rsidRPr="00686DB7">
        <w:rPr>
          <w:rFonts w:ascii="Times New Roman" w:eastAsia="Times New Roman" w:hAnsi="Times New Roman" w:cs="Times New Roman"/>
        </w:rPr>
        <w:t xml:space="preserve"> </w:t>
      </w:r>
      <w:r w:rsidR="00AD355C" w:rsidRPr="00686DB7">
        <w:rPr>
          <w:rFonts w:ascii="Times New Roman" w:eastAsia="Times New Roman" w:hAnsi="Times New Roman" w:cs="Times New Roman"/>
        </w:rPr>
        <w:t>Thus, Adrian Brändli offers a study of one of the earliest documents discussing Christian conversion and its bearing on the family. It is clear that the story of Perpetua takes place in an environment which differs strikingly from the later centuries, and in which conversion is closely associated to martyrdom</w:t>
      </w:r>
      <w:r w:rsidR="006121F5">
        <w:rPr>
          <w:rFonts w:ascii="Times New Roman" w:hAnsi="Times New Roman" w:cs="Times New Roman"/>
        </w:rPr>
        <w:t>.</w:t>
      </w:r>
      <w:r w:rsidR="00AD355C" w:rsidRPr="00686DB7">
        <w:rPr>
          <w:rFonts w:ascii="Times New Roman" w:eastAsia="Times New Roman" w:hAnsi="Times New Roman" w:cs="Times New Roman"/>
        </w:rPr>
        <w:t xml:space="preserve"> Conversion in opposition to the family, and particularly to the father figure, reinforces the idea that the </w:t>
      </w:r>
      <w:r w:rsidR="00AD355C" w:rsidRPr="00686DB7">
        <w:rPr>
          <w:rFonts w:ascii="Times New Roman" w:eastAsia="Times New Roman" w:hAnsi="Times New Roman" w:cs="Times New Roman"/>
          <w:i/>
        </w:rPr>
        <w:t>ecclesia</w:t>
      </w:r>
      <w:r w:rsidR="00AD355C" w:rsidRPr="00686DB7">
        <w:rPr>
          <w:rFonts w:ascii="Times New Roman" w:eastAsia="Times New Roman" w:hAnsi="Times New Roman" w:cs="Times New Roman"/>
        </w:rPr>
        <w:t xml:space="preserve"> offers a new family to the neophyte. </w:t>
      </w:r>
      <w:r w:rsidR="00686DB7" w:rsidRPr="00686DB7">
        <w:rPr>
          <w:rFonts w:ascii="Times New Roman" w:eastAsia="Times New Roman" w:hAnsi="Times New Roman" w:cs="Times New Roman"/>
        </w:rPr>
        <w:t xml:space="preserve">Jarred Mercer’s paper explores the use of children and </w:t>
      </w:r>
      <w:r w:rsidR="00AB457E">
        <w:rPr>
          <w:rFonts w:ascii="Times New Roman" w:eastAsia="Times New Roman" w:hAnsi="Times New Roman" w:cs="Times New Roman"/>
        </w:rPr>
        <w:t xml:space="preserve">of </w:t>
      </w:r>
      <w:r w:rsidR="00686DB7" w:rsidRPr="00686DB7">
        <w:rPr>
          <w:rFonts w:ascii="Times New Roman" w:eastAsia="Times New Roman" w:hAnsi="Times New Roman" w:cs="Times New Roman"/>
        </w:rPr>
        <w:t xml:space="preserve">the concept of childhood to describe conversion and Christian spirituality. He shows that Christians were expected to be and act like children, especially because of the moral innocence, simplicity and humility associated with childhood. </w:t>
      </w:r>
      <w:r w:rsidR="00B61CAE">
        <w:rPr>
          <w:rFonts w:ascii="Times New Roman" w:eastAsia="Times New Roman" w:hAnsi="Times New Roman" w:cs="Times New Roman"/>
        </w:rPr>
        <w:t>Moreover, h</w:t>
      </w:r>
      <w:r w:rsidR="009B5432">
        <w:rPr>
          <w:rFonts w:ascii="Times New Roman" w:eastAsia="Times New Roman" w:hAnsi="Times New Roman" w:cs="Times New Roman"/>
        </w:rPr>
        <w:t>is</w:t>
      </w:r>
      <w:r w:rsidR="00686DB7" w:rsidRPr="00686DB7">
        <w:rPr>
          <w:rFonts w:ascii="Times New Roman" w:eastAsia="Times New Roman" w:hAnsi="Times New Roman" w:cs="Times New Roman"/>
        </w:rPr>
        <w:t xml:space="preserve"> analysis of the </w:t>
      </w:r>
      <w:r w:rsidR="00686DB7" w:rsidRPr="00686DB7">
        <w:rPr>
          <w:rFonts w:ascii="Times New Roman" w:eastAsia="Times New Roman" w:hAnsi="Times New Roman" w:cs="Times New Roman"/>
          <w:i/>
        </w:rPr>
        <w:t>vox infantis</w:t>
      </w:r>
      <w:r w:rsidR="00686DB7" w:rsidRPr="00686DB7">
        <w:rPr>
          <w:rFonts w:ascii="Times New Roman" w:eastAsia="Times New Roman" w:hAnsi="Times New Roman" w:cs="Times New Roman"/>
        </w:rPr>
        <w:t xml:space="preserve"> in episcopal </w:t>
      </w:r>
      <w:r w:rsidR="00686DB7" w:rsidRPr="00686DB7">
        <w:rPr>
          <w:rFonts w:ascii="Times New Roman" w:eastAsia="Times New Roman" w:hAnsi="Times New Roman" w:cs="Times New Roman"/>
        </w:rPr>
        <w:lastRenderedPageBreak/>
        <w:t xml:space="preserve">elections and Augustine’s conversion in the </w:t>
      </w:r>
      <w:r w:rsidR="00686DB7" w:rsidRPr="00686DB7">
        <w:rPr>
          <w:rFonts w:ascii="Times New Roman" w:eastAsia="Times New Roman" w:hAnsi="Times New Roman" w:cs="Times New Roman"/>
          <w:i/>
          <w:iCs/>
        </w:rPr>
        <w:t xml:space="preserve">Confessions </w:t>
      </w:r>
      <w:r w:rsidR="00686DB7" w:rsidRPr="00686DB7">
        <w:rPr>
          <w:rFonts w:ascii="Times New Roman" w:eastAsia="Times New Roman" w:hAnsi="Times New Roman" w:cs="Times New Roman"/>
        </w:rPr>
        <w:t xml:space="preserve">suggests that early Christians equated the voice of </w:t>
      </w:r>
      <w:r w:rsidR="00B61CAE">
        <w:rPr>
          <w:rFonts w:ascii="Times New Roman" w:eastAsia="Times New Roman" w:hAnsi="Times New Roman" w:cs="Times New Roman"/>
        </w:rPr>
        <w:t>a child</w:t>
      </w:r>
      <w:r w:rsidR="00686DB7" w:rsidRPr="00686DB7">
        <w:rPr>
          <w:rFonts w:ascii="Times New Roman" w:eastAsia="Times New Roman" w:hAnsi="Times New Roman" w:cs="Times New Roman"/>
        </w:rPr>
        <w:t xml:space="preserve"> with the voice of God. </w:t>
      </w:r>
      <w:r w:rsidR="009B5432">
        <w:rPr>
          <w:rFonts w:ascii="Times New Roman" w:eastAsia="Times New Roman" w:hAnsi="Times New Roman" w:cs="Times New Roman"/>
        </w:rPr>
        <w:t>The</w:t>
      </w:r>
      <w:r w:rsidR="00686DB7" w:rsidRPr="00686DB7">
        <w:rPr>
          <w:rFonts w:ascii="Times New Roman" w:eastAsia="Times New Roman" w:hAnsi="Times New Roman" w:cs="Times New Roman"/>
        </w:rPr>
        <w:t xml:space="preserve"> paper </w:t>
      </w:r>
      <w:r w:rsidR="00B61CAE">
        <w:rPr>
          <w:rFonts w:ascii="Times New Roman" w:eastAsia="Times New Roman" w:hAnsi="Times New Roman" w:cs="Times New Roman"/>
        </w:rPr>
        <w:t xml:space="preserve">shows </w:t>
      </w:r>
      <w:r w:rsidR="00686DB7" w:rsidRPr="00686DB7">
        <w:rPr>
          <w:rFonts w:ascii="Times New Roman" w:eastAsia="Times New Roman" w:hAnsi="Times New Roman" w:cs="Times New Roman"/>
        </w:rPr>
        <w:t>that childhood and children are an essential key to understand</w:t>
      </w:r>
      <w:r w:rsidR="00A90D46">
        <w:rPr>
          <w:rFonts w:ascii="Times New Roman" w:eastAsia="Times New Roman" w:hAnsi="Times New Roman" w:cs="Times New Roman"/>
        </w:rPr>
        <w:t>ing</w:t>
      </w:r>
      <w:r w:rsidR="00686DB7" w:rsidRPr="00686DB7">
        <w:rPr>
          <w:rFonts w:ascii="Times New Roman" w:eastAsia="Times New Roman" w:hAnsi="Times New Roman" w:cs="Times New Roman"/>
        </w:rPr>
        <w:t xml:space="preserve"> how early Christians conceptualised conversion as a d</w:t>
      </w:r>
      <w:r w:rsidR="00322988">
        <w:rPr>
          <w:rFonts w:ascii="Times New Roman" w:eastAsia="Times New Roman" w:hAnsi="Times New Roman" w:cs="Times New Roman"/>
        </w:rPr>
        <w:t>eep transformation of the self,</w:t>
      </w:r>
      <w:r w:rsidR="00686DB7" w:rsidRPr="00686DB7">
        <w:rPr>
          <w:rFonts w:ascii="Times New Roman" w:eastAsia="Times New Roman" w:hAnsi="Times New Roman" w:cs="Times New Roman"/>
        </w:rPr>
        <w:t xml:space="preserve"> a rebirth through </w:t>
      </w:r>
      <w:r w:rsidR="00B61CAE">
        <w:rPr>
          <w:rFonts w:ascii="Times New Roman" w:eastAsia="Times New Roman" w:hAnsi="Times New Roman" w:cs="Times New Roman"/>
        </w:rPr>
        <w:t>the state of little children</w:t>
      </w:r>
      <w:r w:rsidR="00686DB7" w:rsidRPr="00686DB7">
        <w:rPr>
          <w:rFonts w:ascii="Times New Roman" w:eastAsia="Times New Roman" w:hAnsi="Times New Roman" w:cs="Times New Roman"/>
        </w:rPr>
        <w:t>. However, Jarred Mercer well underlines that this should not be oversimplified: becoming Christian meant becoming like a child not merely because</w:t>
      </w:r>
      <w:r w:rsidR="009B5432">
        <w:rPr>
          <w:rFonts w:ascii="Times New Roman" w:eastAsia="Times New Roman" w:hAnsi="Times New Roman" w:cs="Times New Roman"/>
        </w:rPr>
        <w:t xml:space="preserve"> of the</w:t>
      </w:r>
      <w:r w:rsidR="00002AED">
        <w:rPr>
          <w:rFonts w:ascii="Times New Roman" w:eastAsia="Times New Roman" w:hAnsi="Times New Roman" w:cs="Times New Roman"/>
        </w:rPr>
        <w:t xml:space="preserve"> moral</w:t>
      </w:r>
      <w:r w:rsidR="009B5432">
        <w:rPr>
          <w:rFonts w:ascii="Times New Roman" w:eastAsia="Times New Roman" w:hAnsi="Times New Roman" w:cs="Times New Roman"/>
        </w:rPr>
        <w:t xml:space="preserve"> qualities </w:t>
      </w:r>
      <w:r w:rsidR="005F2752">
        <w:rPr>
          <w:rFonts w:ascii="Times New Roman" w:eastAsia="Times New Roman" w:hAnsi="Times New Roman" w:cs="Times New Roman"/>
        </w:rPr>
        <w:t>associated with</w:t>
      </w:r>
      <w:r w:rsidR="00686DB7" w:rsidRPr="00686DB7">
        <w:rPr>
          <w:rFonts w:ascii="Times New Roman" w:eastAsia="Times New Roman" w:hAnsi="Times New Roman" w:cs="Times New Roman"/>
        </w:rPr>
        <w:t xml:space="preserve"> children, but because </w:t>
      </w:r>
      <w:r w:rsidR="00B61CAE">
        <w:rPr>
          <w:rFonts w:ascii="Times New Roman" w:eastAsia="Times New Roman" w:hAnsi="Times New Roman" w:cs="Times New Roman"/>
        </w:rPr>
        <w:t>the child</w:t>
      </w:r>
      <w:r w:rsidR="006E614A">
        <w:rPr>
          <w:rFonts w:ascii="Times New Roman" w:eastAsia="Times New Roman" w:hAnsi="Times New Roman" w:cs="Times New Roman"/>
        </w:rPr>
        <w:t xml:space="preserve"> was thought to be naturally close to God, thus becoming a useful tool to</w:t>
      </w:r>
      <w:r w:rsidR="00B61CAE">
        <w:rPr>
          <w:rFonts w:ascii="Times New Roman" w:eastAsia="Times New Roman" w:hAnsi="Times New Roman" w:cs="Times New Roman"/>
        </w:rPr>
        <w:t xml:space="preserve"> </w:t>
      </w:r>
      <w:r w:rsidR="006E614A">
        <w:rPr>
          <w:rFonts w:ascii="Times New Roman" w:eastAsia="Times New Roman" w:hAnsi="Times New Roman" w:cs="Times New Roman"/>
        </w:rPr>
        <w:t>convey</w:t>
      </w:r>
      <w:r w:rsidR="00E8041B">
        <w:rPr>
          <w:rFonts w:ascii="Times New Roman" w:eastAsia="Times New Roman" w:hAnsi="Times New Roman" w:cs="Times New Roman"/>
        </w:rPr>
        <w:t xml:space="preserve"> </w:t>
      </w:r>
      <w:r w:rsidR="00B61CAE">
        <w:rPr>
          <w:rFonts w:ascii="Times New Roman" w:eastAsia="Times New Roman" w:hAnsi="Times New Roman" w:cs="Times New Roman"/>
        </w:rPr>
        <w:t>the</w:t>
      </w:r>
      <w:r w:rsidR="00322988">
        <w:rPr>
          <w:rFonts w:ascii="Times New Roman" w:eastAsia="Times New Roman" w:hAnsi="Times New Roman" w:cs="Times New Roman"/>
        </w:rPr>
        <w:t xml:space="preserve"> Christians’</w:t>
      </w:r>
      <w:r w:rsidR="00B61CAE">
        <w:rPr>
          <w:rFonts w:ascii="Times New Roman" w:eastAsia="Times New Roman" w:hAnsi="Times New Roman" w:cs="Times New Roman"/>
        </w:rPr>
        <w:t xml:space="preserve"> need and desire</w:t>
      </w:r>
      <w:r w:rsidR="00E8041B">
        <w:rPr>
          <w:rFonts w:ascii="Times New Roman" w:eastAsia="Times New Roman" w:hAnsi="Times New Roman" w:cs="Times New Roman"/>
        </w:rPr>
        <w:t xml:space="preserve"> </w:t>
      </w:r>
      <w:r w:rsidR="00B61CAE">
        <w:rPr>
          <w:rFonts w:ascii="Times New Roman" w:eastAsia="Times New Roman" w:hAnsi="Times New Roman" w:cs="Times New Roman"/>
        </w:rPr>
        <w:t xml:space="preserve">to </w:t>
      </w:r>
      <w:r w:rsidR="00275D89">
        <w:rPr>
          <w:rFonts w:ascii="Times New Roman" w:eastAsia="Times New Roman" w:hAnsi="Times New Roman" w:cs="Times New Roman"/>
        </w:rPr>
        <w:t>build a</w:t>
      </w:r>
      <w:r w:rsidR="00AF695A">
        <w:rPr>
          <w:rFonts w:ascii="Times New Roman" w:eastAsia="Times New Roman" w:hAnsi="Times New Roman" w:cs="Times New Roman"/>
        </w:rPr>
        <w:t xml:space="preserve"> closer </w:t>
      </w:r>
      <w:r w:rsidR="006E614A">
        <w:rPr>
          <w:rFonts w:ascii="Times New Roman" w:eastAsia="Times New Roman" w:hAnsi="Times New Roman" w:cs="Times New Roman"/>
        </w:rPr>
        <w:t xml:space="preserve">relationship </w:t>
      </w:r>
      <w:r w:rsidR="00275D89">
        <w:rPr>
          <w:rFonts w:ascii="Times New Roman" w:eastAsia="Times New Roman" w:hAnsi="Times New Roman" w:cs="Times New Roman"/>
        </w:rPr>
        <w:t>with</w:t>
      </w:r>
      <w:r w:rsidR="00E8041B">
        <w:rPr>
          <w:rFonts w:ascii="Times New Roman" w:eastAsia="Times New Roman" w:hAnsi="Times New Roman" w:cs="Times New Roman"/>
        </w:rPr>
        <w:t xml:space="preserve"> God</w:t>
      </w:r>
      <w:r w:rsidR="00686DB7" w:rsidRPr="00686DB7">
        <w:rPr>
          <w:rFonts w:ascii="Times New Roman" w:eastAsia="Times New Roman" w:hAnsi="Times New Roman" w:cs="Times New Roman"/>
        </w:rPr>
        <w:t>. More broadly, his conclusions</w:t>
      </w:r>
      <w:r w:rsidR="00E8041B">
        <w:rPr>
          <w:rFonts w:ascii="Times New Roman" w:eastAsia="Times New Roman" w:hAnsi="Times New Roman" w:cs="Times New Roman"/>
        </w:rPr>
        <w:t xml:space="preserve"> corroborate those of Adrian Brändli, making</w:t>
      </w:r>
      <w:r w:rsidR="00A90D46">
        <w:rPr>
          <w:rFonts w:ascii="Times New Roman" w:eastAsia="Times New Roman" w:hAnsi="Times New Roman" w:cs="Times New Roman"/>
        </w:rPr>
        <w:t xml:space="preserve"> clear that scholars studying conversion need</w:t>
      </w:r>
      <w:r w:rsidR="00686DB7" w:rsidRPr="00686DB7">
        <w:rPr>
          <w:rFonts w:ascii="Times New Roman" w:eastAsia="Times New Roman" w:hAnsi="Times New Roman" w:cs="Times New Roman"/>
        </w:rPr>
        <w:t xml:space="preserve"> to pay attention to its representation as the beginning of a new life in a new family, the </w:t>
      </w:r>
      <w:r w:rsidR="00686DB7" w:rsidRPr="00686DB7">
        <w:rPr>
          <w:rFonts w:ascii="Times New Roman" w:eastAsia="Times New Roman" w:hAnsi="Times New Roman" w:cs="Times New Roman"/>
          <w:i/>
          <w:iCs/>
        </w:rPr>
        <w:t>ecclesia</w:t>
      </w:r>
      <w:r w:rsidR="00AD355C" w:rsidRPr="00686DB7">
        <w:rPr>
          <w:rFonts w:ascii="Times New Roman" w:eastAsia="Times New Roman" w:hAnsi="Times New Roman" w:cs="Times New Roman"/>
        </w:rPr>
        <w:t xml:space="preserve">. Rafal Toczko studies the conversion of the Roman aristocracy in the late fourth and early fifth centuries by examining the letters of Ambrose of Milan, Jerome of Stridon, Augustine of Hippo and Paulinus of Nola. His paper considers the literary theme of conversion in these letters, investigating the rhetoric of persuasion </w:t>
      </w:r>
      <w:r w:rsidR="00143045">
        <w:rPr>
          <w:rFonts w:ascii="Times New Roman" w:eastAsia="Times New Roman" w:hAnsi="Times New Roman" w:cs="Times New Roman"/>
        </w:rPr>
        <w:t>displayed</w:t>
      </w:r>
      <w:r w:rsidR="00AD355C" w:rsidRPr="00686DB7">
        <w:rPr>
          <w:rFonts w:ascii="Times New Roman" w:eastAsia="Times New Roman" w:hAnsi="Times New Roman" w:cs="Times New Roman"/>
        </w:rPr>
        <w:t xml:space="preserve"> by Christians to convert aristocrats and the description of famous conversions </w:t>
      </w:r>
      <w:r w:rsidR="00AD355C" w:rsidRPr="00143045">
        <w:rPr>
          <w:rFonts w:ascii="Times New Roman" w:eastAsia="Times New Roman" w:hAnsi="Times New Roman" w:cs="Times New Roman"/>
        </w:rPr>
        <w:t>employed</w:t>
      </w:r>
      <w:r w:rsidR="00AD355C" w:rsidRPr="00686DB7">
        <w:rPr>
          <w:rFonts w:ascii="Times New Roman" w:eastAsia="Times New Roman" w:hAnsi="Times New Roman" w:cs="Times New Roman"/>
        </w:rPr>
        <w:t xml:space="preserve"> as models to make it attractive to the aristocracy. He first looks at Augustine’s correspondence with Volusianus and Licentius which demonstrates Augustine’s use of a specific rhetoric to bring them to conversion. Rafal Toczko then discusses conversion in Hilary of Arles’ hagiographical account and the language adopted to describe the conversion of famous aristocrats. The paper concludes by reviewing the literary roots of the early Christian rhetoric of conversion.</w:t>
      </w:r>
      <w:r w:rsidR="00AD355C" w:rsidRPr="00686DB7">
        <w:rPr>
          <w:rFonts w:ascii="Times New Roman" w:hAnsi="Times New Roman" w:cs="Times New Roman"/>
        </w:rPr>
        <w:t xml:space="preserve"> </w:t>
      </w:r>
      <w:r w:rsidR="00AD355C" w:rsidRPr="00686DB7">
        <w:rPr>
          <w:rFonts w:ascii="Times New Roman" w:eastAsia="Times New Roman" w:hAnsi="Times New Roman" w:cs="Times New Roman"/>
        </w:rPr>
        <w:t>Augustine’s and other bishops’ role, as shown by Rafal Toczko, was precisely to use their rhetorical skills to persuade aristocrats of the need and benefits of conversio</w:t>
      </w:r>
      <w:r w:rsidR="00BA2ABA">
        <w:rPr>
          <w:rFonts w:ascii="Times New Roman" w:eastAsia="Times New Roman" w:hAnsi="Times New Roman" w:cs="Times New Roman"/>
        </w:rPr>
        <w:t>n to Christianity. Rafal Toczko’</w:t>
      </w:r>
      <w:r w:rsidR="00AD355C" w:rsidRPr="00686DB7">
        <w:rPr>
          <w:rFonts w:ascii="Times New Roman" w:eastAsia="Times New Roman" w:hAnsi="Times New Roman" w:cs="Times New Roman"/>
        </w:rPr>
        <w:t>s approach offers a complementary analysis to A</w:t>
      </w:r>
      <w:r w:rsidR="00BA2ABA">
        <w:rPr>
          <w:rFonts w:ascii="Times New Roman" w:eastAsia="Times New Roman" w:hAnsi="Times New Roman" w:cs="Times New Roman"/>
        </w:rPr>
        <w:t>drian Brändli and Jarred Mercer’</w:t>
      </w:r>
      <w:r w:rsidR="00AD355C" w:rsidRPr="00686DB7">
        <w:rPr>
          <w:rFonts w:ascii="Times New Roman" w:eastAsia="Times New Roman" w:hAnsi="Times New Roman" w:cs="Times New Roman"/>
        </w:rPr>
        <w:t xml:space="preserve">s papers on the rhetoric of conversion. </w:t>
      </w:r>
    </w:p>
    <w:p w:rsidR="009206AE" w:rsidRPr="00686DB7" w:rsidRDefault="00AD355C" w:rsidP="00787740">
      <w:pPr>
        <w:tabs>
          <w:tab w:val="left" w:pos="505"/>
        </w:tabs>
        <w:spacing w:after="0" w:line="480" w:lineRule="auto"/>
        <w:ind w:firstLine="357"/>
        <w:jc w:val="both"/>
        <w:rPr>
          <w:rFonts w:ascii="Times New Roman" w:hAnsi="Times New Roman" w:cs="Times New Roman"/>
        </w:rPr>
      </w:pPr>
      <w:r w:rsidRPr="00686DB7">
        <w:rPr>
          <w:rFonts w:ascii="Times New Roman" w:eastAsia="Times New Roman" w:hAnsi="Times New Roman" w:cs="Times New Roman"/>
        </w:rPr>
        <w:lastRenderedPageBreak/>
        <w:t xml:space="preserve">The articles of Ariane Bodin and Hervé Huntzinger are devoted to the question of the identification and the identity of Christians in the Roman society. Ariane Bodin, through a detailed study of the various possible markers of </w:t>
      </w:r>
      <w:r w:rsidRPr="00686DB7">
        <w:rPr>
          <w:rFonts w:ascii="Times New Roman" w:eastAsia="Times New Roman" w:hAnsi="Times New Roman" w:cs="Times New Roman"/>
          <w:i/>
        </w:rPr>
        <w:t>Christianness</w:t>
      </w:r>
      <w:r w:rsidRPr="00686DB7">
        <w:rPr>
          <w:rFonts w:ascii="Times New Roman" w:eastAsia="Times New Roman" w:hAnsi="Times New Roman" w:cs="Times New Roman"/>
        </w:rPr>
        <w:t xml:space="preserve"> – </w:t>
      </w:r>
      <w:r w:rsidRPr="00A90D46">
        <w:rPr>
          <w:rFonts w:ascii="Times New Roman" w:eastAsia="Times New Roman" w:hAnsi="Times New Roman" w:cs="Times New Roman"/>
          <w:iCs/>
        </w:rPr>
        <w:t>i.e.</w:t>
      </w:r>
      <w:r w:rsidRPr="00686DB7">
        <w:rPr>
          <w:rFonts w:ascii="Times New Roman" w:eastAsia="Times New Roman" w:hAnsi="Times New Roman" w:cs="Times New Roman"/>
        </w:rPr>
        <w:t xml:space="preserve"> the state or fact of being Christian –, demonstrates, particularly through an analysis of the list of clothes worn in Cirta, that average Christians did not wear specific or recognisable clothes, but people dressed according to their rank and not their religion, </w:t>
      </w:r>
      <w:r w:rsidR="00A90D46">
        <w:rPr>
          <w:rFonts w:ascii="Times New Roman" w:eastAsia="Times New Roman" w:hAnsi="Times New Roman" w:cs="Times New Roman"/>
        </w:rPr>
        <w:t>with the exception of ascetics</w:t>
      </w:r>
      <w:r w:rsidRPr="00686DB7">
        <w:rPr>
          <w:rFonts w:ascii="Times New Roman" w:eastAsia="Times New Roman" w:hAnsi="Times New Roman" w:cs="Times New Roman"/>
        </w:rPr>
        <w:t xml:space="preserve">. She also shows that Christians used specific names and that some of these could help identifying them from the end of the fourth century. Despite all this evidence, Ariane Bodin carefully concludes that Christian names are a limited criterion to assess Christianisation. Hervé Huntzinger starts pointing out that, at first, ethnic identity did not matter for Christian belonging. However, he argues that with the expansion of Christianity, Romanity often started to overlap with Christianity, both in the East and in the West. In the West the conversion of barbarians takes place within an ideology suggesting that their conversion is due to their inclusion within the influence of the Roman empire. Besides this ideology found in Christian literature, the paper discusses a number of examples of conversions occurring when barbarian groups settle within the Roman Empire. The paper refrains from concluding unilaterally that belonging to Christianity made the barbarians systematically feel integrated into Roman society, still asserting however that ethnicity and Christianity were often related in the late Roman Empire. Thus, with regard to Christianisation, the papers presented at this workshop argue that it is quite difficult to identify specific markers pointing to its progress in Roman society, although names and behaviours are helpful to some extent, while it seems that barbarian groups saw the adoption of a Christian identity as intimately linked to a Roman ethnic identity. </w:t>
      </w:r>
    </w:p>
    <w:sectPr w:rsidR="009206AE" w:rsidRPr="00686DB7" w:rsidSect="00A47380">
      <w:footerReference w:type="default" r:id="rId8"/>
      <w:endnotePr>
        <w:numFmt w:val="decimal"/>
      </w:endnotePr>
      <w:pgSz w:w="11900" w:h="16840"/>
      <w:pgMar w:top="1417" w:right="1417" w:bottom="1417" w:left="1417"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60C9" w:rsidRDefault="006760C9">
      <w:pPr>
        <w:spacing w:after="0"/>
      </w:pPr>
      <w:r>
        <w:separator/>
      </w:r>
    </w:p>
  </w:endnote>
  <w:endnote w:type="continuationSeparator" w:id="0">
    <w:p w:rsidR="006760C9" w:rsidRDefault="006760C9">
      <w:pPr>
        <w:spacing w:after="0"/>
      </w:pPr>
      <w:r>
        <w:continuationSeparator/>
      </w:r>
    </w:p>
  </w:endnote>
  <w:endnote w:id="1">
    <w:p w:rsidR="00222A7E" w:rsidRPr="002B1FD7" w:rsidRDefault="00222A7E" w:rsidP="00862710">
      <w:pPr>
        <w:spacing w:after="0" w:line="480" w:lineRule="auto"/>
        <w:jc w:val="both"/>
        <w:rPr>
          <w:rFonts w:ascii="Times New Roman" w:hAnsi="Times New Roman" w:cs="Times New Roman"/>
        </w:rPr>
      </w:pPr>
      <w:r w:rsidRPr="002B1FD7">
        <w:rPr>
          <w:rFonts w:ascii="Times New Roman" w:hAnsi="Times New Roman" w:cs="Times New Roman"/>
          <w:vertAlign w:val="superscript"/>
        </w:rPr>
        <w:endnoteRef/>
      </w:r>
      <w:r w:rsidRPr="002B1FD7">
        <w:rPr>
          <w:rFonts w:ascii="Times New Roman" w:hAnsi="Times New Roman" w:cs="Times New Roman"/>
        </w:rPr>
        <w:t xml:space="preserve"> This short introduction does not aim at providing a bibliography on religious conversion. It is based on the studies that were found most useful for reassessing the contexts and debates addressed in this workshop. </w:t>
      </w:r>
    </w:p>
  </w:endnote>
  <w:endnote w:id="2">
    <w:p w:rsidR="00222A7E" w:rsidRPr="002B1FD7" w:rsidRDefault="00222A7E" w:rsidP="00862710">
      <w:pPr>
        <w:spacing w:after="0" w:line="480" w:lineRule="auto"/>
        <w:jc w:val="both"/>
        <w:rPr>
          <w:rFonts w:ascii="Times New Roman" w:hAnsi="Times New Roman" w:cs="Times New Roman"/>
        </w:rPr>
      </w:pPr>
      <w:r w:rsidRPr="002B1FD7">
        <w:rPr>
          <w:rFonts w:ascii="Times New Roman" w:hAnsi="Times New Roman" w:cs="Times New Roman"/>
          <w:vertAlign w:val="superscript"/>
        </w:rPr>
        <w:endnoteRef/>
      </w:r>
      <w:r w:rsidRPr="002B1FD7">
        <w:rPr>
          <w:rFonts w:ascii="Times New Roman" w:hAnsi="Times New Roman" w:cs="Times New Roman"/>
        </w:rPr>
        <w:t xml:space="preserve"> Ramsay MacMullen, </w:t>
      </w:r>
      <w:r w:rsidRPr="002B1FD7">
        <w:rPr>
          <w:rFonts w:ascii="Times New Roman" w:hAnsi="Times New Roman" w:cs="Times New Roman"/>
          <w:i/>
        </w:rPr>
        <w:t xml:space="preserve">Christianizing the Roman Empire (AD 100-400) </w:t>
      </w:r>
      <w:r w:rsidRPr="002B1FD7">
        <w:rPr>
          <w:rFonts w:ascii="Times New Roman" w:hAnsi="Times New Roman" w:cs="Times New Roman"/>
        </w:rPr>
        <w:t xml:space="preserve">(New Haven CT, 1984). </w:t>
      </w:r>
    </w:p>
  </w:endnote>
  <w:endnote w:id="3">
    <w:p w:rsidR="00222A7E" w:rsidRPr="002B1FD7" w:rsidRDefault="00222A7E" w:rsidP="00862710">
      <w:pPr>
        <w:spacing w:after="0" w:line="480" w:lineRule="auto"/>
        <w:jc w:val="both"/>
        <w:rPr>
          <w:rFonts w:ascii="Times New Roman" w:hAnsi="Times New Roman" w:cs="Times New Roman"/>
        </w:rPr>
      </w:pPr>
      <w:r w:rsidRPr="002B1FD7">
        <w:rPr>
          <w:rFonts w:ascii="Times New Roman" w:hAnsi="Times New Roman" w:cs="Times New Roman"/>
          <w:vertAlign w:val="superscript"/>
        </w:rPr>
        <w:endnoteRef/>
      </w:r>
      <w:r w:rsidRPr="002B1FD7">
        <w:rPr>
          <w:rFonts w:ascii="Times New Roman" w:eastAsia="Times New Roman" w:hAnsi="Times New Roman" w:cs="Times New Roman"/>
        </w:rPr>
        <w:t xml:space="preserve"> Arthur D. Nock, </w:t>
      </w:r>
      <w:r w:rsidRPr="002B1FD7">
        <w:rPr>
          <w:rFonts w:ascii="Times New Roman" w:eastAsia="Times New Roman" w:hAnsi="Times New Roman" w:cs="Times New Roman"/>
          <w:i/>
        </w:rPr>
        <w:t>Conversion. The Old and the New in Religion from Alexander the Great to Augustine of Hippo</w:t>
      </w:r>
      <w:r w:rsidRPr="002B1FD7">
        <w:rPr>
          <w:rFonts w:ascii="Times New Roman" w:eastAsia="Times New Roman" w:hAnsi="Times New Roman" w:cs="Times New Roman"/>
        </w:rPr>
        <w:t xml:space="preserve"> (Baltimore-London, 1998) (first edition, Oxford, 1933).</w:t>
      </w:r>
    </w:p>
  </w:endnote>
  <w:endnote w:id="4">
    <w:p w:rsidR="00222A7E" w:rsidRPr="002B1FD7" w:rsidRDefault="00222A7E" w:rsidP="00862710">
      <w:pPr>
        <w:spacing w:after="0" w:line="480" w:lineRule="auto"/>
        <w:jc w:val="both"/>
        <w:rPr>
          <w:rFonts w:ascii="Times New Roman" w:hAnsi="Times New Roman" w:cs="Times New Roman"/>
        </w:rPr>
      </w:pPr>
      <w:r w:rsidRPr="002B1FD7">
        <w:rPr>
          <w:rFonts w:ascii="Times New Roman" w:hAnsi="Times New Roman" w:cs="Times New Roman"/>
          <w:vertAlign w:val="superscript"/>
        </w:rPr>
        <w:endnoteRef/>
      </w:r>
      <w:r w:rsidRPr="002B1FD7">
        <w:rPr>
          <w:rFonts w:ascii="Times New Roman" w:eastAsia="Times New Roman" w:hAnsi="Times New Roman" w:cs="Times New Roman"/>
        </w:rPr>
        <w:t xml:space="preserve"> </w:t>
      </w:r>
      <w:r w:rsidRPr="002B1FD7">
        <w:rPr>
          <w:rFonts w:ascii="Times New Roman" w:eastAsia="Times New Roman" w:hAnsi="Times New Roman" w:cs="Times New Roman"/>
          <w:i/>
        </w:rPr>
        <w:t xml:space="preserve">Ibid. </w:t>
      </w:r>
      <w:r w:rsidRPr="002B1FD7">
        <w:rPr>
          <w:rFonts w:ascii="Times New Roman" w:eastAsia="Times New Roman" w:hAnsi="Times New Roman" w:cs="Times New Roman"/>
        </w:rPr>
        <w:t>7.</w:t>
      </w:r>
    </w:p>
  </w:endnote>
  <w:endnote w:id="5">
    <w:p w:rsidR="00222A7E" w:rsidRPr="002B1FD7" w:rsidRDefault="00222A7E" w:rsidP="00862710">
      <w:pPr>
        <w:spacing w:after="0" w:line="480" w:lineRule="auto"/>
        <w:jc w:val="both"/>
        <w:rPr>
          <w:rFonts w:ascii="Times New Roman" w:hAnsi="Times New Roman" w:cs="Times New Roman"/>
        </w:rPr>
      </w:pPr>
      <w:r w:rsidRPr="002B1FD7">
        <w:rPr>
          <w:rFonts w:ascii="Times New Roman" w:hAnsi="Times New Roman" w:cs="Times New Roman"/>
          <w:vertAlign w:val="superscript"/>
        </w:rPr>
        <w:endnoteRef/>
      </w:r>
      <w:r w:rsidRPr="002B1FD7">
        <w:rPr>
          <w:rFonts w:ascii="Times New Roman" w:eastAsia="Times New Roman" w:hAnsi="Times New Roman" w:cs="Times New Roman"/>
        </w:rPr>
        <w:t xml:space="preserve"> </w:t>
      </w:r>
      <w:r w:rsidRPr="002B1FD7">
        <w:rPr>
          <w:rFonts w:ascii="Times New Roman" w:eastAsia="Times New Roman" w:hAnsi="Times New Roman" w:cs="Times New Roman"/>
          <w:i/>
        </w:rPr>
        <w:t xml:space="preserve">Ibid. </w:t>
      </w:r>
      <w:r w:rsidRPr="002B1FD7">
        <w:rPr>
          <w:rFonts w:ascii="Times New Roman" w:eastAsia="Times New Roman" w:hAnsi="Times New Roman" w:cs="Times New Roman"/>
        </w:rPr>
        <w:t xml:space="preserve">7. </w:t>
      </w:r>
    </w:p>
  </w:endnote>
  <w:endnote w:id="6">
    <w:p w:rsidR="00222A7E" w:rsidRPr="002B1FD7" w:rsidRDefault="00222A7E" w:rsidP="00862710">
      <w:pPr>
        <w:spacing w:after="0" w:line="480" w:lineRule="auto"/>
        <w:jc w:val="both"/>
        <w:rPr>
          <w:rFonts w:ascii="Times New Roman" w:hAnsi="Times New Roman" w:cs="Times New Roman"/>
        </w:rPr>
      </w:pPr>
      <w:r w:rsidRPr="002B1FD7">
        <w:rPr>
          <w:rFonts w:ascii="Times New Roman" w:hAnsi="Times New Roman" w:cs="Times New Roman"/>
          <w:vertAlign w:val="superscript"/>
        </w:rPr>
        <w:endnoteRef/>
      </w:r>
      <w:r w:rsidRPr="002B1FD7">
        <w:rPr>
          <w:rFonts w:ascii="Times New Roman" w:eastAsia="Times New Roman" w:hAnsi="Times New Roman" w:cs="Times New Roman"/>
        </w:rPr>
        <w:t xml:space="preserve"> William James, </w:t>
      </w:r>
      <w:r w:rsidRPr="002B1FD7">
        <w:rPr>
          <w:rFonts w:ascii="Times New Roman" w:eastAsia="Times New Roman" w:hAnsi="Times New Roman" w:cs="Times New Roman"/>
          <w:i/>
        </w:rPr>
        <w:t xml:space="preserve">The Varieties of Religious Experience </w:t>
      </w:r>
      <w:r w:rsidRPr="002B1FD7">
        <w:rPr>
          <w:rFonts w:ascii="Times New Roman" w:eastAsia="Times New Roman" w:hAnsi="Times New Roman" w:cs="Times New Roman"/>
        </w:rPr>
        <w:t xml:space="preserve">(London, 1902). </w:t>
      </w:r>
    </w:p>
  </w:endnote>
  <w:endnote w:id="7">
    <w:p w:rsidR="00222A7E" w:rsidRPr="002B1FD7" w:rsidRDefault="00222A7E" w:rsidP="00862710">
      <w:pPr>
        <w:spacing w:after="0" w:line="480" w:lineRule="auto"/>
        <w:jc w:val="both"/>
        <w:rPr>
          <w:rFonts w:ascii="Times New Roman" w:hAnsi="Times New Roman" w:cs="Times New Roman"/>
        </w:rPr>
      </w:pPr>
      <w:r w:rsidRPr="002B1FD7">
        <w:rPr>
          <w:rFonts w:ascii="Times New Roman" w:hAnsi="Times New Roman" w:cs="Times New Roman"/>
          <w:vertAlign w:val="superscript"/>
        </w:rPr>
        <w:endnoteRef/>
      </w:r>
      <w:r w:rsidRPr="002B1FD7">
        <w:rPr>
          <w:rFonts w:ascii="Times New Roman" w:eastAsia="Times New Roman" w:hAnsi="Times New Roman" w:cs="Times New Roman"/>
        </w:rPr>
        <w:t xml:space="preserve"> Ian N. Wood, ‘Conversion ’, in Glenn Bowersock, Peter Brown, Oleg Grabar (eds), </w:t>
      </w:r>
      <w:r w:rsidRPr="002B1FD7">
        <w:rPr>
          <w:rFonts w:ascii="Times New Roman" w:eastAsia="Times New Roman" w:hAnsi="Times New Roman" w:cs="Times New Roman"/>
          <w:i/>
        </w:rPr>
        <w:t>Late Antiquity.</w:t>
      </w:r>
      <w:r w:rsidRPr="002B1FD7">
        <w:rPr>
          <w:rFonts w:ascii="Times New Roman" w:eastAsia="Times New Roman" w:hAnsi="Times New Roman" w:cs="Times New Roman"/>
        </w:rPr>
        <w:t xml:space="preserve"> </w:t>
      </w:r>
      <w:r w:rsidRPr="002B1FD7">
        <w:rPr>
          <w:rFonts w:ascii="Times New Roman" w:eastAsia="Times New Roman" w:hAnsi="Times New Roman" w:cs="Times New Roman"/>
          <w:i/>
        </w:rPr>
        <w:t>A guide to the Postclassical World</w:t>
      </w:r>
      <w:r w:rsidRPr="002B1FD7">
        <w:rPr>
          <w:rFonts w:ascii="Times New Roman" w:eastAsia="Times New Roman" w:hAnsi="Times New Roman" w:cs="Times New Roman"/>
        </w:rPr>
        <w:t xml:space="preserve"> (Cambridge MA-London, 2000), 393-4. </w:t>
      </w:r>
    </w:p>
  </w:endnote>
  <w:endnote w:id="8">
    <w:p w:rsidR="00222A7E" w:rsidRPr="002B1FD7" w:rsidRDefault="00222A7E" w:rsidP="00862710">
      <w:pPr>
        <w:spacing w:after="0" w:line="480" w:lineRule="auto"/>
        <w:jc w:val="both"/>
        <w:rPr>
          <w:rFonts w:ascii="Times New Roman" w:hAnsi="Times New Roman" w:cs="Times New Roman"/>
        </w:rPr>
      </w:pPr>
      <w:r w:rsidRPr="002B1FD7">
        <w:rPr>
          <w:rFonts w:ascii="Times New Roman" w:hAnsi="Times New Roman" w:cs="Times New Roman"/>
          <w:vertAlign w:val="superscript"/>
        </w:rPr>
        <w:endnoteRef/>
      </w:r>
      <w:r w:rsidRPr="002B1FD7">
        <w:rPr>
          <w:rFonts w:ascii="Times New Roman" w:hAnsi="Times New Roman" w:cs="Times New Roman"/>
        </w:rPr>
        <w:t xml:space="preserve"> </w:t>
      </w:r>
      <w:r w:rsidRPr="002B1FD7">
        <w:rPr>
          <w:rFonts w:ascii="Times New Roman" w:eastAsia="Times New Roman" w:hAnsi="Times New Roman" w:cs="Times New Roman"/>
        </w:rPr>
        <w:t xml:space="preserve">A.D. Nock, </w:t>
      </w:r>
      <w:r w:rsidRPr="002B1FD7">
        <w:rPr>
          <w:rFonts w:ascii="Times New Roman" w:eastAsia="Times New Roman" w:hAnsi="Times New Roman" w:cs="Times New Roman"/>
          <w:i/>
        </w:rPr>
        <w:t xml:space="preserve">Conversion </w:t>
      </w:r>
      <w:r w:rsidRPr="002B1FD7">
        <w:rPr>
          <w:rFonts w:ascii="Times New Roman" w:eastAsia="Times New Roman" w:hAnsi="Times New Roman" w:cs="Times New Roman"/>
        </w:rPr>
        <w:t>(1998),</w:t>
      </w:r>
      <w:r w:rsidRPr="002B1FD7">
        <w:rPr>
          <w:rFonts w:ascii="Times New Roman" w:eastAsia="Times New Roman" w:hAnsi="Times New Roman" w:cs="Times New Roman"/>
          <w:i/>
        </w:rPr>
        <w:t xml:space="preserve"> </w:t>
      </w:r>
      <w:r w:rsidRPr="002B1FD7">
        <w:rPr>
          <w:rFonts w:ascii="Times New Roman" w:eastAsia="Times New Roman" w:hAnsi="Times New Roman" w:cs="Times New Roman"/>
        </w:rPr>
        <w:t>14. See also Robert Markus, on this distinction operated by A.D. Nock : Robert Markus,</w:t>
      </w:r>
      <w:r w:rsidRPr="002B1FD7">
        <w:rPr>
          <w:rFonts w:ascii="Times New Roman" w:eastAsia="Times New Roman" w:hAnsi="Times New Roman" w:cs="Times New Roman"/>
          <w:i/>
        </w:rPr>
        <w:t xml:space="preserve"> The End of Ancient Christianity </w:t>
      </w:r>
      <w:r w:rsidRPr="002B1FD7">
        <w:rPr>
          <w:rFonts w:ascii="Times New Roman" w:eastAsia="Times New Roman" w:hAnsi="Times New Roman" w:cs="Times New Roman"/>
        </w:rPr>
        <w:t>(Cambridge, 1990), 4-5.</w:t>
      </w:r>
    </w:p>
  </w:endnote>
  <w:endnote w:id="9">
    <w:p w:rsidR="00222A7E" w:rsidRPr="002B1FD7" w:rsidRDefault="00222A7E" w:rsidP="00862710">
      <w:pPr>
        <w:spacing w:after="0" w:line="480" w:lineRule="auto"/>
        <w:jc w:val="both"/>
        <w:rPr>
          <w:rFonts w:ascii="Times New Roman" w:hAnsi="Times New Roman" w:cs="Times New Roman"/>
        </w:rPr>
      </w:pPr>
      <w:r w:rsidRPr="002B1FD7">
        <w:rPr>
          <w:rFonts w:ascii="Times New Roman" w:hAnsi="Times New Roman" w:cs="Times New Roman"/>
          <w:vertAlign w:val="superscript"/>
        </w:rPr>
        <w:endnoteRef/>
      </w:r>
      <w:r w:rsidRPr="002B1FD7">
        <w:rPr>
          <w:rFonts w:ascii="Times New Roman" w:hAnsi="Times New Roman" w:cs="Times New Roman"/>
        </w:rPr>
        <w:t xml:space="preserve"> The book edited by </w:t>
      </w:r>
      <w:r w:rsidRPr="002B1FD7">
        <w:rPr>
          <w:rFonts w:ascii="Times New Roman" w:eastAsia="Times New Roman" w:hAnsi="Times New Roman" w:cs="Times New Roman"/>
          <w:color w:val="222222"/>
          <w:highlight w:val="white"/>
        </w:rPr>
        <w:t xml:space="preserve">Birgitte Secher </w:t>
      </w:r>
      <w:r w:rsidRPr="002B1FD7">
        <w:rPr>
          <w:rFonts w:ascii="Times New Roman" w:eastAsia="Times New Roman" w:hAnsi="Times New Roman" w:cs="Times New Roman"/>
        </w:rPr>
        <w:t>Bøgh</w:t>
      </w:r>
      <w:r w:rsidRPr="002B1FD7">
        <w:rPr>
          <w:rFonts w:ascii="Times New Roman" w:eastAsia="Times New Roman" w:hAnsi="Times New Roman" w:cs="Times New Roman"/>
          <w:color w:val="222222"/>
          <w:highlight w:val="white"/>
        </w:rPr>
        <w:t xml:space="preserve"> </w:t>
      </w:r>
      <w:r w:rsidRPr="002B1FD7">
        <w:rPr>
          <w:rFonts w:ascii="Times New Roman" w:hAnsi="Times New Roman" w:cs="Times New Roman"/>
        </w:rPr>
        <w:t>takes a new approach on conversion b</w:t>
      </w:r>
      <w:r>
        <w:rPr>
          <w:rFonts w:ascii="Times New Roman" w:hAnsi="Times New Roman" w:cs="Times New Roman"/>
        </w:rPr>
        <w:t xml:space="preserve">y focusing on initiation, thus </w:t>
      </w:r>
      <w:r w:rsidRPr="002B1FD7">
        <w:rPr>
          <w:rFonts w:ascii="Times New Roman" w:hAnsi="Times New Roman" w:cs="Times New Roman"/>
        </w:rPr>
        <w:t xml:space="preserve">offering analyses diverging from A.D. Nock’s approach. </w:t>
      </w:r>
      <w:r w:rsidRPr="002B1FD7">
        <w:rPr>
          <w:rFonts w:ascii="Times New Roman" w:hAnsi="Times New Roman" w:cs="Times New Roman"/>
          <w:color w:val="auto"/>
        </w:rPr>
        <w:t xml:space="preserve">See </w:t>
      </w:r>
      <w:r w:rsidRPr="002B1FD7">
        <w:rPr>
          <w:rFonts w:ascii="Times New Roman" w:eastAsia="Times New Roman" w:hAnsi="Times New Roman" w:cs="Times New Roman"/>
          <w:color w:val="auto"/>
          <w:highlight w:val="white"/>
        </w:rPr>
        <w:t xml:space="preserve">Birgitte S. </w:t>
      </w:r>
      <w:r w:rsidRPr="002B1FD7">
        <w:rPr>
          <w:rFonts w:ascii="Times New Roman" w:eastAsia="Times New Roman" w:hAnsi="Times New Roman" w:cs="Times New Roman"/>
          <w:color w:val="auto"/>
        </w:rPr>
        <w:t>Bøgh</w:t>
      </w:r>
      <w:r w:rsidRPr="002B1FD7">
        <w:rPr>
          <w:rFonts w:ascii="Times New Roman" w:eastAsia="Times New Roman" w:hAnsi="Times New Roman" w:cs="Times New Roman"/>
          <w:color w:val="auto"/>
          <w:highlight w:val="white"/>
        </w:rPr>
        <w:t xml:space="preserve"> (ed.), </w:t>
      </w:r>
      <w:r w:rsidRPr="002B1FD7">
        <w:rPr>
          <w:rFonts w:ascii="Times New Roman" w:eastAsia="Times New Roman" w:hAnsi="Times New Roman" w:cs="Times New Roman"/>
          <w:i/>
          <w:color w:val="auto"/>
          <w:highlight w:val="white"/>
        </w:rPr>
        <w:t xml:space="preserve">Conversion and Initiation in Antiquity. Shifting Identities-Creating Change </w:t>
      </w:r>
      <w:r w:rsidRPr="002B1FD7">
        <w:rPr>
          <w:rFonts w:ascii="Times New Roman" w:eastAsia="Times New Roman" w:hAnsi="Times New Roman" w:cs="Times New Roman"/>
          <w:color w:val="auto"/>
          <w:highlight w:val="white"/>
        </w:rPr>
        <w:t>(Frankfurt am Main, 2014).</w:t>
      </w:r>
      <w:r w:rsidRPr="002B1FD7">
        <w:rPr>
          <w:rFonts w:ascii="Times New Roman" w:eastAsia="Times New Roman" w:hAnsi="Times New Roman" w:cs="Times New Roman"/>
          <w:color w:val="222222"/>
          <w:highlight w:val="white"/>
        </w:rPr>
        <w:t xml:space="preserve"> </w:t>
      </w:r>
    </w:p>
  </w:endnote>
  <w:endnote w:id="10">
    <w:p w:rsidR="00222A7E" w:rsidRPr="002B1FD7" w:rsidRDefault="00222A7E" w:rsidP="00862710">
      <w:pPr>
        <w:spacing w:after="0" w:line="480" w:lineRule="auto"/>
        <w:jc w:val="both"/>
        <w:rPr>
          <w:rFonts w:ascii="Times New Roman" w:hAnsi="Times New Roman" w:cs="Times New Roman"/>
        </w:rPr>
      </w:pPr>
      <w:r w:rsidRPr="002B1FD7">
        <w:rPr>
          <w:rFonts w:ascii="Times New Roman" w:hAnsi="Times New Roman" w:cs="Times New Roman"/>
          <w:vertAlign w:val="superscript"/>
        </w:rPr>
        <w:endnoteRef/>
      </w:r>
      <w:r w:rsidRPr="002B1FD7">
        <w:rPr>
          <w:rFonts w:ascii="Times New Roman" w:eastAsia="Times New Roman" w:hAnsi="Times New Roman" w:cs="Times New Roman"/>
        </w:rPr>
        <w:t xml:space="preserve"> Gustave Bardy, </w:t>
      </w:r>
      <w:r w:rsidRPr="002B1FD7">
        <w:rPr>
          <w:rFonts w:ascii="Times New Roman" w:eastAsia="Times New Roman" w:hAnsi="Times New Roman" w:cs="Times New Roman"/>
          <w:i/>
        </w:rPr>
        <w:t>La conversion au christianisme durant les premiers siècles</w:t>
      </w:r>
      <w:r w:rsidRPr="002B1FD7">
        <w:rPr>
          <w:rFonts w:ascii="Times New Roman" w:eastAsia="Times New Roman" w:hAnsi="Times New Roman" w:cs="Times New Roman"/>
        </w:rPr>
        <w:t xml:space="preserve"> (Paris, 1949). </w:t>
      </w:r>
    </w:p>
  </w:endnote>
  <w:endnote w:id="11">
    <w:p w:rsidR="00222A7E" w:rsidRPr="002B1FD7" w:rsidRDefault="00222A7E" w:rsidP="00862710">
      <w:pPr>
        <w:spacing w:after="0" w:line="480" w:lineRule="auto"/>
        <w:jc w:val="both"/>
        <w:rPr>
          <w:rFonts w:ascii="Times New Roman" w:hAnsi="Times New Roman" w:cs="Times New Roman"/>
        </w:rPr>
      </w:pPr>
      <w:r w:rsidRPr="002B1FD7">
        <w:rPr>
          <w:rFonts w:ascii="Times New Roman" w:hAnsi="Times New Roman" w:cs="Times New Roman"/>
          <w:vertAlign w:val="superscript"/>
        </w:rPr>
        <w:endnoteRef/>
      </w:r>
      <w:r w:rsidRPr="002B1FD7">
        <w:rPr>
          <w:rFonts w:ascii="Times New Roman" w:eastAsia="Times New Roman" w:hAnsi="Times New Roman" w:cs="Times New Roman"/>
        </w:rPr>
        <w:t xml:space="preserve"> Paul Aubin, </w:t>
      </w:r>
      <w:r w:rsidRPr="002B1FD7">
        <w:rPr>
          <w:rFonts w:ascii="Times New Roman" w:eastAsia="Times New Roman" w:hAnsi="Times New Roman" w:cs="Times New Roman"/>
          <w:i/>
        </w:rPr>
        <w:t>Le problème de la ‘conversion’</w:t>
      </w:r>
      <w:r w:rsidRPr="002B1FD7">
        <w:rPr>
          <w:rFonts w:ascii="Times New Roman" w:eastAsia="Times New Roman" w:hAnsi="Times New Roman" w:cs="Times New Roman"/>
        </w:rPr>
        <w:t xml:space="preserve">. </w:t>
      </w:r>
      <w:r w:rsidRPr="002B1FD7">
        <w:rPr>
          <w:rFonts w:ascii="Times New Roman" w:eastAsia="Times New Roman" w:hAnsi="Times New Roman" w:cs="Times New Roman"/>
          <w:i/>
        </w:rPr>
        <w:t>Étude sur un terme commun à l’hellénisme et au christianisme des trois premiers siècles</w:t>
      </w:r>
      <w:r w:rsidRPr="002B1FD7">
        <w:rPr>
          <w:rFonts w:ascii="Times New Roman" w:eastAsia="Times New Roman" w:hAnsi="Times New Roman" w:cs="Times New Roman"/>
        </w:rPr>
        <w:t xml:space="preserve"> (Paris, 1963). </w:t>
      </w:r>
    </w:p>
  </w:endnote>
  <w:endnote w:id="12">
    <w:p w:rsidR="00222A7E" w:rsidRPr="002B1FD7" w:rsidRDefault="00222A7E" w:rsidP="00862710">
      <w:pPr>
        <w:spacing w:after="0" w:line="480" w:lineRule="auto"/>
        <w:jc w:val="both"/>
        <w:rPr>
          <w:rFonts w:ascii="Times New Roman" w:hAnsi="Times New Roman" w:cs="Times New Roman"/>
        </w:rPr>
      </w:pPr>
      <w:r w:rsidRPr="002B1FD7">
        <w:rPr>
          <w:rFonts w:ascii="Times New Roman" w:hAnsi="Times New Roman" w:cs="Times New Roman"/>
          <w:vertAlign w:val="superscript"/>
        </w:rPr>
        <w:endnoteRef/>
      </w:r>
      <w:r w:rsidRPr="002B1FD7">
        <w:rPr>
          <w:rFonts w:ascii="Times New Roman" w:eastAsia="Times New Roman" w:hAnsi="Times New Roman" w:cs="Times New Roman"/>
        </w:rPr>
        <w:t xml:space="preserve"> </w:t>
      </w:r>
      <w:r w:rsidRPr="002B1FD7">
        <w:rPr>
          <w:rFonts w:ascii="Times New Roman" w:eastAsia="Times New Roman" w:hAnsi="Times New Roman" w:cs="Times New Roman"/>
          <w:i/>
        </w:rPr>
        <w:t>Ibid.</w:t>
      </w:r>
      <w:r w:rsidRPr="002B1FD7">
        <w:rPr>
          <w:rFonts w:ascii="Times New Roman" w:eastAsia="Times New Roman" w:hAnsi="Times New Roman" w:cs="Times New Roman"/>
        </w:rPr>
        <w:t xml:space="preserve"> 187. </w:t>
      </w:r>
    </w:p>
  </w:endnote>
  <w:endnote w:id="13">
    <w:p w:rsidR="00222A7E" w:rsidRPr="002B1FD7" w:rsidRDefault="00222A7E" w:rsidP="00862710">
      <w:pPr>
        <w:spacing w:after="0" w:line="480" w:lineRule="auto"/>
        <w:jc w:val="both"/>
        <w:rPr>
          <w:rFonts w:ascii="Times New Roman" w:hAnsi="Times New Roman" w:cs="Times New Roman"/>
        </w:rPr>
      </w:pPr>
      <w:r w:rsidRPr="002B1FD7">
        <w:rPr>
          <w:rFonts w:ascii="Times New Roman" w:hAnsi="Times New Roman" w:cs="Times New Roman"/>
          <w:vertAlign w:val="superscript"/>
        </w:rPr>
        <w:endnoteRef/>
      </w:r>
      <w:r w:rsidRPr="002B1FD7">
        <w:rPr>
          <w:rFonts w:ascii="Times New Roman" w:eastAsia="Times New Roman" w:hAnsi="Times New Roman" w:cs="Times New Roman"/>
        </w:rPr>
        <w:t xml:space="preserve"> Peter Brown, ‘Aspects of the Christianization of the Roman Aristocracy’,</w:t>
      </w:r>
      <w:r w:rsidRPr="002B1FD7">
        <w:rPr>
          <w:rFonts w:ascii="Times New Roman" w:eastAsia="Times New Roman" w:hAnsi="Times New Roman" w:cs="Times New Roman"/>
          <w:i/>
        </w:rPr>
        <w:t xml:space="preserve"> Journal of Roman Studies </w:t>
      </w:r>
      <w:r w:rsidRPr="002B1FD7">
        <w:rPr>
          <w:rFonts w:ascii="Times New Roman" w:eastAsia="Times New Roman" w:hAnsi="Times New Roman" w:cs="Times New Roman"/>
        </w:rPr>
        <w:t xml:space="preserve">51 (1961), 1-11. </w:t>
      </w:r>
    </w:p>
  </w:endnote>
  <w:endnote w:id="14">
    <w:p w:rsidR="00222A7E" w:rsidRPr="002B1FD7" w:rsidRDefault="00222A7E" w:rsidP="00862710">
      <w:pPr>
        <w:spacing w:after="0" w:line="480" w:lineRule="auto"/>
        <w:jc w:val="both"/>
        <w:rPr>
          <w:rFonts w:ascii="Times New Roman" w:hAnsi="Times New Roman" w:cs="Times New Roman"/>
        </w:rPr>
      </w:pPr>
      <w:r w:rsidRPr="002B1FD7">
        <w:rPr>
          <w:rFonts w:ascii="Times New Roman" w:hAnsi="Times New Roman" w:cs="Times New Roman"/>
          <w:vertAlign w:val="superscript"/>
        </w:rPr>
        <w:endnoteRef/>
      </w:r>
      <w:r w:rsidRPr="002B1FD7">
        <w:rPr>
          <w:rFonts w:ascii="Times New Roman" w:eastAsia="Times New Roman" w:hAnsi="Times New Roman" w:cs="Times New Roman"/>
        </w:rPr>
        <w:t xml:space="preserve"> Peter Brown, </w:t>
      </w:r>
      <w:r w:rsidRPr="002B1FD7">
        <w:rPr>
          <w:rFonts w:ascii="Times New Roman" w:eastAsia="Times New Roman" w:hAnsi="Times New Roman" w:cs="Times New Roman"/>
          <w:i/>
        </w:rPr>
        <w:t>The Body and Society: Men, Women, and Sexual Renunciation in Early Christianity</w:t>
      </w:r>
      <w:r w:rsidRPr="002B1FD7">
        <w:rPr>
          <w:rFonts w:ascii="Times New Roman" w:eastAsia="Times New Roman" w:hAnsi="Times New Roman" w:cs="Times New Roman"/>
        </w:rPr>
        <w:t xml:space="preserve"> (New York, 1981). </w:t>
      </w:r>
    </w:p>
  </w:endnote>
  <w:endnote w:id="15">
    <w:p w:rsidR="00222A7E" w:rsidRPr="002B1FD7" w:rsidRDefault="00222A7E" w:rsidP="00862710">
      <w:pPr>
        <w:spacing w:after="0" w:line="480" w:lineRule="auto"/>
        <w:jc w:val="both"/>
        <w:rPr>
          <w:rFonts w:ascii="Times New Roman" w:hAnsi="Times New Roman" w:cs="Times New Roman"/>
        </w:rPr>
      </w:pPr>
      <w:r w:rsidRPr="002B1FD7">
        <w:rPr>
          <w:rFonts w:ascii="Times New Roman" w:hAnsi="Times New Roman" w:cs="Times New Roman"/>
          <w:vertAlign w:val="superscript"/>
        </w:rPr>
        <w:endnoteRef/>
      </w:r>
      <w:r w:rsidRPr="002B1FD7">
        <w:rPr>
          <w:rFonts w:ascii="Times New Roman" w:hAnsi="Times New Roman" w:cs="Times New Roman"/>
        </w:rPr>
        <w:t xml:space="preserve"> More broadly, Peter Brown studied several other aspects of Christianity. See his synthesis: Peter Brown, </w:t>
      </w:r>
      <w:r w:rsidRPr="002B1FD7">
        <w:rPr>
          <w:rFonts w:ascii="Times New Roman" w:hAnsi="Times New Roman" w:cs="Times New Roman"/>
          <w:i/>
          <w:iCs/>
        </w:rPr>
        <w:t xml:space="preserve">The Rise of Western Christendom: Triumph and Diversity, A.D. 200-1000, </w:t>
      </w:r>
      <w:r w:rsidRPr="002B1FD7">
        <w:rPr>
          <w:rFonts w:ascii="Times New Roman" w:hAnsi="Times New Roman" w:cs="Times New Roman"/>
        </w:rPr>
        <w:t>10</w:t>
      </w:r>
      <w:r w:rsidRPr="002B1FD7">
        <w:rPr>
          <w:rFonts w:ascii="Times New Roman" w:hAnsi="Times New Roman" w:cs="Times New Roman"/>
          <w:vertAlign w:val="superscript"/>
        </w:rPr>
        <w:t>th</w:t>
      </w:r>
      <w:r w:rsidRPr="002B1FD7">
        <w:rPr>
          <w:rFonts w:ascii="Times New Roman" w:hAnsi="Times New Roman" w:cs="Times New Roman"/>
        </w:rPr>
        <w:t xml:space="preserve"> Anniversary Revised Edition (Hoboken NJ, 2013).</w:t>
      </w:r>
    </w:p>
  </w:endnote>
  <w:endnote w:id="16">
    <w:p w:rsidR="00222A7E" w:rsidRPr="002B1FD7" w:rsidRDefault="00222A7E" w:rsidP="00862710">
      <w:pPr>
        <w:spacing w:after="0" w:line="480" w:lineRule="auto"/>
        <w:jc w:val="both"/>
        <w:rPr>
          <w:rFonts w:ascii="Times New Roman" w:hAnsi="Times New Roman" w:cs="Times New Roman"/>
        </w:rPr>
      </w:pPr>
      <w:r w:rsidRPr="002B1FD7">
        <w:rPr>
          <w:rFonts w:ascii="Times New Roman" w:hAnsi="Times New Roman" w:cs="Times New Roman"/>
          <w:vertAlign w:val="superscript"/>
        </w:rPr>
        <w:endnoteRef/>
      </w:r>
      <w:r w:rsidRPr="002B1FD7">
        <w:rPr>
          <w:rFonts w:ascii="Times New Roman" w:eastAsia="Times New Roman" w:hAnsi="Times New Roman" w:cs="Times New Roman"/>
        </w:rPr>
        <w:t xml:space="preserve"> Keneth Mills and Anthony Grafton, </w:t>
      </w:r>
      <w:r w:rsidRPr="002B1FD7">
        <w:rPr>
          <w:rFonts w:ascii="Times New Roman" w:eastAsia="Times New Roman" w:hAnsi="Times New Roman" w:cs="Times New Roman"/>
          <w:i/>
        </w:rPr>
        <w:t xml:space="preserve">Conversion in Late Antiquity and the Early Middle Ages. Seeing and Believing </w:t>
      </w:r>
      <w:r w:rsidRPr="002B1FD7">
        <w:rPr>
          <w:rFonts w:ascii="Times New Roman" w:eastAsia="Times New Roman" w:hAnsi="Times New Roman" w:cs="Times New Roman"/>
        </w:rPr>
        <w:t xml:space="preserve">(Rochester NY, 2003). </w:t>
      </w:r>
    </w:p>
  </w:endnote>
  <w:endnote w:id="17">
    <w:p w:rsidR="00222A7E" w:rsidRPr="002B1FD7" w:rsidRDefault="00222A7E" w:rsidP="00862710">
      <w:pPr>
        <w:spacing w:after="0" w:line="480" w:lineRule="auto"/>
        <w:jc w:val="both"/>
        <w:rPr>
          <w:rFonts w:ascii="Times New Roman" w:hAnsi="Times New Roman" w:cs="Times New Roman"/>
        </w:rPr>
      </w:pPr>
      <w:r w:rsidRPr="002B1FD7">
        <w:rPr>
          <w:rFonts w:ascii="Times New Roman" w:hAnsi="Times New Roman" w:cs="Times New Roman"/>
          <w:vertAlign w:val="superscript"/>
        </w:rPr>
        <w:endnoteRef/>
      </w:r>
      <w:r w:rsidRPr="002B1FD7">
        <w:rPr>
          <w:rFonts w:ascii="Times New Roman" w:eastAsia="Times New Roman" w:hAnsi="Times New Roman" w:cs="Times New Roman"/>
        </w:rPr>
        <w:t xml:space="preserve"> Michele R. Salzman, </w:t>
      </w:r>
      <w:r w:rsidRPr="002B1FD7">
        <w:rPr>
          <w:rFonts w:ascii="Times New Roman" w:eastAsia="Times New Roman" w:hAnsi="Times New Roman" w:cs="Times New Roman"/>
          <w:i/>
        </w:rPr>
        <w:t xml:space="preserve">The Making of a Christian Aristocracy. Social and Religious Change in the Western Roman Empire </w:t>
      </w:r>
      <w:r w:rsidRPr="002B1FD7">
        <w:rPr>
          <w:rFonts w:ascii="Times New Roman" w:eastAsia="Times New Roman" w:hAnsi="Times New Roman" w:cs="Times New Roman"/>
        </w:rPr>
        <w:t xml:space="preserve">(Cambridge MA-London, 2002). </w:t>
      </w:r>
    </w:p>
  </w:endnote>
  <w:endnote w:id="18">
    <w:p w:rsidR="00222A7E" w:rsidRPr="002B1FD7" w:rsidRDefault="00222A7E" w:rsidP="00862710">
      <w:pPr>
        <w:spacing w:after="0" w:line="480" w:lineRule="auto"/>
        <w:jc w:val="both"/>
        <w:rPr>
          <w:rFonts w:ascii="Times New Roman" w:hAnsi="Times New Roman" w:cs="Times New Roman"/>
        </w:rPr>
      </w:pPr>
      <w:r w:rsidRPr="002B1FD7">
        <w:rPr>
          <w:rFonts w:ascii="Times New Roman" w:hAnsi="Times New Roman" w:cs="Times New Roman"/>
          <w:vertAlign w:val="superscript"/>
        </w:rPr>
        <w:endnoteRef/>
      </w:r>
      <w:r w:rsidRPr="002B1FD7">
        <w:rPr>
          <w:rFonts w:ascii="Times New Roman" w:eastAsia="Times New Roman" w:hAnsi="Times New Roman" w:cs="Times New Roman"/>
        </w:rPr>
        <w:t xml:space="preserve"> Jean Bouffartigue, ‘Par quels mots le grec ancien pouvait-il désigner le passage d'une religion à une autre ?’ and Étienne Wolff, ‘Le vocabulaire latin de la conversion au christianisme’, in Hervé Inglebert, Sylvain Destephen, Bruno Dumézil (eds), </w:t>
      </w:r>
      <w:r w:rsidRPr="002B1FD7">
        <w:rPr>
          <w:rFonts w:ascii="Times New Roman" w:eastAsia="Times New Roman" w:hAnsi="Times New Roman" w:cs="Times New Roman"/>
          <w:i/>
        </w:rPr>
        <w:t xml:space="preserve">Le problème de </w:t>
      </w:r>
      <w:r w:rsidRPr="002B1FD7">
        <w:rPr>
          <w:rFonts w:ascii="Times New Roman" w:eastAsia="Times New Roman" w:hAnsi="Times New Roman" w:cs="Times New Roman"/>
        </w:rPr>
        <w:t>‘</w:t>
      </w:r>
      <w:r w:rsidRPr="002B1FD7">
        <w:rPr>
          <w:rFonts w:ascii="Times New Roman" w:eastAsia="Times New Roman" w:hAnsi="Times New Roman" w:cs="Times New Roman"/>
          <w:i/>
        </w:rPr>
        <w:t>la christianisation du monde antique</w:t>
      </w:r>
      <w:r w:rsidRPr="002B1FD7">
        <w:rPr>
          <w:rFonts w:ascii="Times New Roman" w:eastAsia="Times New Roman" w:hAnsi="Times New Roman" w:cs="Times New Roman"/>
        </w:rPr>
        <w:t>’ (Paris, 2010),</w:t>
      </w:r>
      <w:r w:rsidRPr="002B1FD7">
        <w:rPr>
          <w:rFonts w:ascii="Times New Roman" w:eastAsia="Times New Roman" w:hAnsi="Times New Roman" w:cs="Times New Roman"/>
          <w:i/>
        </w:rPr>
        <w:t xml:space="preserve"> </w:t>
      </w:r>
      <w:r w:rsidRPr="002B1FD7">
        <w:rPr>
          <w:rFonts w:ascii="Times New Roman" w:eastAsia="Times New Roman" w:hAnsi="Times New Roman" w:cs="Times New Roman"/>
        </w:rPr>
        <w:t xml:space="preserve">19-31 and 33-8. </w:t>
      </w:r>
    </w:p>
  </w:endnote>
  <w:endnote w:id="19">
    <w:p w:rsidR="00222A7E" w:rsidRPr="002B1FD7" w:rsidRDefault="00222A7E" w:rsidP="00862710">
      <w:pPr>
        <w:spacing w:after="0" w:line="480" w:lineRule="auto"/>
        <w:jc w:val="both"/>
        <w:rPr>
          <w:rFonts w:ascii="Times New Roman" w:hAnsi="Times New Roman" w:cs="Times New Roman"/>
        </w:rPr>
      </w:pPr>
      <w:r w:rsidRPr="002B1FD7">
        <w:rPr>
          <w:rFonts w:ascii="Times New Roman" w:hAnsi="Times New Roman" w:cs="Times New Roman"/>
          <w:vertAlign w:val="superscript"/>
        </w:rPr>
        <w:endnoteRef/>
      </w:r>
      <w:r w:rsidRPr="002B1FD7">
        <w:rPr>
          <w:rFonts w:ascii="Times New Roman" w:hAnsi="Times New Roman" w:cs="Times New Roman"/>
        </w:rPr>
        <w:t xml:space="preserve"> </w:t>
      </w:r>
      <w:r w:rsidRPr="002B1FD7">
        <w:rPr>
          <w:rFonts w:ascii="Times New Roman" w:eastAsia="Times New Roman" w:hAnsi="Times New Roman" w:cs="Times New Roman"/>
        </w:rPr>
        <w:t xml:space="preserve">Peter Brown, ‘Conclusions’, in </w:t>
      </w:r>
      <w:r w:rsidRPr="002B1FD7">
        <w:rPr>
          <w:rFonts w:ascii="Times New Roman" w:eastAsia="Times New Roman" w:hAnsi="Times New Roman" w:cs="Times New Roman"/>
          <w:i/>
          <w:iCs/>
        </w:rPr>
        <w:t>ibid.</w:t>
      </w:r>
      <w:r w:rsidRPr="002B1FD7">
        <w:rPr>
          <w:rFonts w:ascii="Times New Roman" w:eastAsia="Times New Roman" w:hAnsi="Times New Roman" w:cs="Times New Roman"/>
        </w:rPr>
        <w:t>,</w:t>
      </w:r>
      <w:r w:rsidRPr="002B1FD7">
        <w:rPr>
          <w:rFonts w:ascii="Times New Roman" w:eastAsia="Times New Roman" w:hAnsi="Times New Roman" w:cs="Times New Roman"/>
          <w:i/>
        </w:rPr>
        <w:t xml:space="preserve"> </w:t>
      </w:r>
      <w:r w:rsidRPr="002B1FD7">
        <w:rPr>
          <w:rFonts w:ascii="Times New Roman" w:eastAsia="Times New Roman" w:hAnsi="Times New Roman" w:cs="Times New Roman"/>
        </w:rPr>
        <w:t xml:space="preserve">405-15. </w:t>
      </w:r>
    </w:p>
  </w:endnote>
  <w:endnote w:id="20">
    <w:p w:rsidR="00222A7E" w:rsidRPr="002B1FD7" w:rsidRDefault="00222A7E" w:rsidP="00862710">
      <w:pPr>
        <w:spacing w:after="0" w:line="480" w:lineRule="auto"/>
        <w:jc w:val="both"/>
        <w:rPr>
          <w:rFonts w:ascii="Times New Roman" w:hAnsi="Times New Roman" w:cs="Times New Roman"/>
        </w:rPr>
      </w:pPr>
      <w:r w:rsidRPr="002B1FD7">
        <w:rPr>
          <w:rFonts w:ascii="Times New Roman" w:hAnsi="Times New Roman" w:cs="Times New Roman"/>
          <w:vertAlign w:val="superscript"/>
        </w:rPr>
        <w:endnoteRef/>
      </w:r>
      <w:r w:rsidRPr="002B1FD7">
        <w:rPr>
          <w:rFonts w:ascii="Times New Roman" w:eastAsia="Times New Roman" w:hAnsi="Times New Roman" w:cs="Times New Roman"/>
        </w:rPr>
        <w:t xml:space="preserve"> Arietta Papaconstantinou, Neil McLynn, Daniel Schwartz (eds), </w:t>
      </w:r>
      <w:r w:rsidRPr="002B1FD7">
        <w:rPr>
          <w:rFonts w:ascii="Times New Roman" w:eastAsia="Times New Roman" w:hAnsi="Times New Roman" w:cs="Times New Roman"/>
          <w:i/>
        </w:rPr>
        <w:t xml:space="preserve">Conversion in Late Antiquity: Christianity, Islam, and Beyond: Papers from the Andrew W. Mellon Foundation Sawyer Seminar, University of Oxford, </w:t>
      </w:r>
      <w:r w:rsidRPr="002B1FD7">
        <w:rPr>
          <w:rFonts w:ascii="Times New Roman" w:eastAsia="Times New Roman" w:hAnsi="Times New Roman" w:cs="Times New Roman"/>
        </w:rPr>
        <w:t xml:space="preserve">(Farnham-Burlington VT, 2015). </w:t>
      </w:r>
    </w:p>
  </w:endnote>
  <w:endnote w:id="21">
    <w:p w:rsidR="00222A7E" w:rsidRPr="002B1FD7" w:rsidRDefault="00222A7E" w:rsidP="00862710">
      <w:pPr>
        <w:spacing w:after="0" w:line="480" w:lineRule="auto"/>
        <w:jc w:val="both"/>
        <w:rPr>
          <w:rFonts w:ascii="Times New Roman" w:hAnsi="Times New Roman" w:cs="Times New Roman"/>
        </w:rPr>
      </w:pPr>
      <w:r w:rsidRPr="002B1FD7">
        <w:rPr>
          <w:rFonts w:ascii="Times New Roman" w:hAnsi="Times New Roman" w:cs="Times New Roman"/>
          <w:vertAlign w:val="superscript"/>
        </w:rPr>
        <w:endnoteRef/>
      </w:r>
      <w:r w:rsidRPr="002B1FD7">
        <w:rPr>
          <w:rFonts w:ascii="Times New Roman" w:hAnsi="Times New Roman" w:cs="Times New Roman"/>
        </w:rPr>
        <w:t xml:space="preserve"> Averil Cameron, ‘Christian conversion in Late Antiquity: Some issues’, in </w:t>
      </w:r>
      <w:r w:rsidRPr="002B1FD7">
        <w:rPr>
          <w:rFonts w:ascii="Times New Roman" w:hAnsi="Times New Roman" w:cs="Times New Roman"/>
          <w:i/>
        </w:rPr>
        <w:t xml:space="preserve">ibid. </w:t>
      </w:r>
      <w:r w:rsidRPr="002B1FD7">
        <w:rPr>
          <w:rFonts w:ascii="Times New Roman" w:eastAsia="Times New Roman" w:hAnsi="Times New Roman" w:cs="Times New Roman"/>
        </w:rPr>
        <w:t>3-22.</w:t>
      </w:r>
    </w:p>
  </w:endnote>
  <w:endnote w:id="22">
    <w:p w:rsidR="00222A7E" w:rsidRPr="002B1FD7" w:rsidRDefault="00222A7E" w:rsidP="00862710">
      <w:pPr>
        <w:spacing w:after="0" w:line="480" w:lineRule="auto"/>
        <w:jc w:val="both"/>
        <w:rPr>
          <w:rFonts w:ascii="Times New Roman" w:hAnsi="Times New Roman" w:cs="Times New Roman"/>
        </w:rPr>
      </w:pPr>
      <w:r w:rsidRPr="002B1FD7">
        <w:rPr>
          <w:rFonts w:ascii="Times New Roman" w:hAnsi="Times New Roman" w:cs="Times New Roman"/>
          <w:vertAlign w:val="superscript"/>
        </w:rPr>
        <w:endnoteRef/>
      </w:r>
      <w:r w:rsidRPr="002B1FD7">
        <w:rPr>
          <w:rFonts w:ascii="Times New Roman" w:hAnsi="Times New Roman" w:cs="Times New Roman"/>
        </w:rPr>
        <w:t xml:space="preserve"> B. S. B</w:t>
      </w:r>
      <w:r w:rsidRPr="002B1FD7">
        <w:rPr>
          <w:rFonts w:ascii="Times New Roman" w:eastAsia="Times New Roman" w:hAnsi="Times New Roman" w:cs="Times New Roman"/>
        </w:rPr>
        <w:t xml:space="preserve">øgh (ed.), </w:t>
      </w:r>
      <w:r w:rsidRPr="002B1FD7">
        <w:rPr>
          <w:rFonts w:ascii="Times New Roman" w:eastAsia="Times New Roman" w:hAnsi="Times New Roman" w:cs="Times New Roman"/>
          <w:i/>
          <w:color w:val="222222"/>
          <w:highlight w:val="white"/>
        </w:rPr>
        <w:t>Conversion and Initiation</w:t>
      </w:r>
      <w:r w:rsidRPr="002B1FD7">
        <w:rPr>
          <w:rFonts w:ascii="Times New Roman" w:eastAsia="Times New Roman" w:hAnsi="Times New Roman" w:cs="Times New Roman"/>
          <w:color w:val="222222"/>
          <w:highlight w:val="white"/>
        </w:rPr>
        <w:t xml:space="preserve"> (2014). </w:t>
      </w:r>
    </w:p>
  </w:endnote>
  <w:endnote w:id="23">
    <w:p w:rsidR="00222A7E" w:rsidRPr="002B1FD7" w:rsidRDefault="00222A7E" w:rsidP="00862710">
      <w:pPr>
        <w:pStyle w:val="EndnoteText"/>
        <w:spacing w:line="480" w:lineRule="auto"/>
        <w:jc w:val="both"/>
        <w:rPr>
          <w:rFonts w:ascii="Times New Roman" w:hAnsi="Times New Roman" w:cs="Times New Roman"/>
          <w:sz w:val="24"/>
          <w:szCs w:val="24"/>
        </w:rPr>
      </w:pPr>
      <w:r w:rsidRPr="002B1FD7">
        <w:rPr>
          <w:rStyle w:val="EndnoteReference"/>
          <w:rFonts w:ascii="Times New Roman" w:hAnsi="Times New Roman" w:cs="Times New Roman"/>
          <w:sz w:val="24"/>
          <w:szCs w:val="24"/>
        </w:rPr>
        <w:endnoteRef/>
      </w:r>
      <w:r w:rsidRPr="002B1FD7">
        <w:rPr>
          <w:rFonts w:ascii="Times New Roman" w:hAnsi="Times New Roman" w:cs="Times New Roman"/>
          <w:sz w:val="24"/>
          <w:szCs w:val="24"/>
        </w:rPr>
        <w:t xml:space="preserve"> On the evolution of Chr</w:t>
      </w:r>
      <w:r>
        <w:rPr>
          <w:rFonts w:ascii="Times New Roman" w:hAnsi="Times New Roman" w:cs="Times New Roman"/>
          <w:sz w:val="24"/>
          <w:szCs w:val="24"/>
        </w:rPr>
        <w:t>istianity in late Antiquity,</w:t>
      </w:r>
      <w:r w:rsidRPr="002B1FD7">
        <w:rPr>
          <w:rFonts w:ascii="Times New Roman" w:hAnsi="Times New Roman" w:cs="Times New Roman"/>
          <w:sz w:val="24"/>
          <w:szCs w:val="24"/>
        </w:rPr>
        <w:t xml:space="preserve"> </w:t>
      </w:r>
      <w:r>
        <w:rPr>
          <w:rFonts w:ascii="Times New Roman" w:hAnsi="Times New Roman" w:cs="Times New Roman"/>
          <w:sz w:val="24"/>
          <w:szCs w:val="24"/>
        </w:rPr>
        <w:t xml:space="preserve">see </w:t>
      </w:r>
      <w:r w:rsidRPr="002B1FD7">
        <w:rPr>
          <w:rFonts w:ascii="Times New Roman" w:hAnsi="Times New Roman" w:cs="Times New Roman"/>
          <w:sz w:val="24"/>
          <w:szCs w:val="24"/>
        </w:rPr>
        <w:t>for instance</w:t>
      </w:r>
      <w:r>
        <w:rPr>
          <w:rFonts w:ascii="Times New Roman" w:hAnsi="Times New Roman" w:cs="Times New Roman"/>
          <w:sz w:val="24"/>
          <w:szCs w:val="24"/>
        </w:rPr>
        <w:t>:</w:t>
      </w:r>
      <w:r w:rsidRPr="002B1FD7">
        <w:rPr>
          <w:rFonts w:ascii="Times New Roman" w:hAnsi="Times New Roman" w:cs="Times New Roman"/>
          <w:sz w:val="24"/>
          <w:szCs w:val="24"/>
        </w:rPr>
        <w:t xml:space="preserve"> Peter Brown, </w:t>
      </w:r>
      <w:r>
        <w:rPr>
          <w:rFonts w:ascii="Times New Roman" w:hAnsi="Times New Roman" w:cs="Times New Roman"/>
          <w:i/>
          <w:iCs/>
          <w:sz w:val="24"/>
          <w:szCs w:val="24"/>
        </w:rPr>
        <w:t xml:space="preserve">The Making of Late </w:t>
      </w:r>
      <w:r w:rsidRPr="002B1FD7">
        <w:rPr>
          <w:rFonts w:ascii="Times New Roman" w:hAnsi="Times New Roman" w:cs="Times New Roman"/>
          <w:i/>
          <w:iCs/>
          <w:sz w:val="24"/>
          <w:szCs w:val="24"/>
        </w:rPr>
        <w:t>Antiquity</w:t>
      </w:r>
      <w:r w:rsidRPr="002B1FD7">
        <w:rPr>
          <w:rFonts w:ascii="Times New Roman" w:hAnsi="Times New Roman" w:cs="Times New Roman"/>
          <w:sz w:val="24"/>
          <w:szCs w:val="24"/>
        </w:rPr>
        <w:t xml:space="preserve"> (Cambridge MA-London, 1978).</w:t>
      </w:r>
    </w:p>
  </w:endnote>
  <w:endnote w:id="24">
    <w:p w:rsidR="00222A7E" w:rsidRPr="002B1FD7" w:rsidRDefault="00222A7E" w:rsidP="00862710">
      <w:pPr>
        <w:spacing w:after="0" w:line="480" w:lineRule="auto"/>
        <w:jc w:val="both"/>
        <w:rPr>
          <w:rFonts w:ascii="Times New Roman" w:hAnsi="Times New Roman" w:cs="Times New Roman"/>
        </w:rPr>
      </w:pPr>
      <w:r w:rsidRPr="002B1FD7">
        <w:rPr>
          <w:rFonts w:ascii="Times New Roman" w:hAnsi="Times New Roman" w:cs="Times New Roman"/>
          <w:vertAlign w:val="superscript"/>
        </w:rPr>
        <w:endnoteRef/>
      </w:r>
      <w:r w:rsidRPr="002B1FD7">
        <w:rPr>
          <w:rFonts w:ascii="Times New Roman" w:eastAsia="Times New Roman" w:hAnsi="Times New Roman" w:cs="Times New Roman"/>
        </w:rPr>
        <w:t xml:space="preserve"> Peter Brown, ‘Conclusions’, in H. Inglebert, S. Destephen, B. Dumézil (eds), </w:t>
      </w:r>
      <w:r w:rsidRPr="002B1FD7">
        <w:rPr>
          <w:rFonts w:ascii="Times New Roman" w:eastAsia="Times New Roman" w:hAnsi="Times New Roman" w:cs="Times New Roman"/>
          <w:i/>
        </w:rPr>
        <w:t xml:space="preserve">Le problème de </w:t>
      </w:r>
      <w:r w:rsidRPr="002B1FD7">
        <w:rPr>
          <w:rFonts w:ascii="Times New Roman" w:eastAsia="Times New Roman" w:hAnsi="Times New Roman" w:cs="Times New Roman"/>
        </w:rPr>
        <w:t>‘</w:t>
      </w:r>
      <w:r w:rsidRPr="002B1FD7">
        <w:rPr>
          <w:rFonts w:ascii="Times New Roman" w:eastAsia="Times New Roman" w:hAnsi="Times New Roman" w:cs="Times New Roman"/>
          <w:i/>
        </w:rPr>
        <w:t>la christianisation du monde antique</w:t>
      </w:r>
      <w:r w:rsidRPr="002B1FD7">
        <w:rPr>
          <w:rFonts w:ascii="Times New Roman" w:eastAsia="Times New Roman" w:hAnsi="Times New Roman" w:cs="Times New Roman"/>
        </w:rPr>
        <w:t>’</w:t>
      </w:r>
      <w:r w:rsidRPr="002B1FD7">
        <w:rPr>
          <w:rFonts w:ascii="Times New Roman" w:eastAsia="Times New Roman" w:hAnsi="Times New Roman" w:cs="Times New Roman"/>
          <w:i/>
        </w:rPr>
        <w:t xml:space="preserve"> </w:t>
      </w:r>
      <w:r w:rsidRPr="002B1FD7">
        <w:rPr>
          <w:rFonts w:ascii="Times New Roman" w:eastAsia="Times New Roman" w:hAnsi="Times New Roman" w:cs="Times New Roman"/>
        </w:rPr>
        <w:t>(2010), 405-15, 405.</w:t>
      </w:r>
    </w:p>
  </w:endnote>
  <w:endnote w:id="25">
    <w:p w:rsidR="00222A7E" w:rsidRPr="002B1FD7" w:rsidRDefault="00222A7E" w:rsidP="00862710">
      <w:pPr>
        <w:spacing w:after="0" w:line="480" w:lineRule="auto"/>
        <w:jc w:val="both"/>
        <w:rPr>
          <w:rFonts w:ascii="Times New Roman" w:hAnsi="Times New Roman" w:cs="Times New Roman"/>
        </w:rPr>
      </w:pPr>
      <w:r w:rsidRPr="002B1FD7">
        <w:rPr>
          <w:rFonts w:ascii="Times New Roman" w:hAnsi="Times New Roman" w:cs="Times New Roman"/>
          <w:vertAlign w:val="superscript"/>
        </w:rPr>
        <w:endnoteRef/>
      </w:r>
      <w:r w:rsidRPr="002B1FD7">
        <w:rPr>
          <w:rFonts w:ascii="Times New Roman" w:hAnsi="Times New Roman" w:cs="Times New Roman"/>
        </w:rPr>
        <w:t xml:space="preserve"> On individual and group dynamics, see the following recent book: Éric Rebillard and Jörg Rüpke (eds), </w:t>
      </w:r>
      <w:r w:rsidRPr="002B1FD7">
        <w:rPr>
          <w:rFonts w:ascii="Times New Roman" w:hAnsi="Times New Roman" w:cs="Times New Roman"/>
          <w:i/>
        </w:rPr>
        <w:t>Group Identity and Religious Individuality in Late Antiquity</w:t>
      </w:r>
      <w:r w:rsidRPr="002B1FD7">
        <w:rPr>
          <w:rFonts w:ascii="Times New Roman" w:hAnsi="Times New Roman" w:cs="Times New Roman"/>
        </w:rPr>
        <w:t xml:space="preserve"> (Washington DC</w:t>
      </w:r>
      <w:r w:rsidRPr="002B1FD7">
        <w:rPr>
          <w:rFonts w:ascii="Times New Roman" w:hAnsi="Times New Roman" w:cs="Times New Roman"/>
          <w:iCs/>
        </w:rPr>
        <w:t>,</w:t>
      </w:r>
      <w:r w:rsidRPr="002B1FD7">
        <w:rPr>
          <w:rFonts w:ascii="Times New Roman" w:hAnsi="Times New Roman" w:cs="Times New Roman"/>
        </w:rPr>
        <w:t xml:space="preserve"> 2015). </w:t>
      </w:r>
    </w:p>
  </w:endnote>
  <w:endnote w:id="26">
    <w:p w:rsidR="00222A7E" w:rsidRPr="002B1FD7" w:rsidRDefault="00222A7E" w:rsidP="00862710">
      <w:pPr>
        <w:spacing w:after="0" w:line="480" w:lineRule="auto"/>
        <w:jc w:val="both"/>
        <w:rPr>
          <w:rFonts w:ascii="Times New Roman" w:hAnsi="Times New Roman" w:cs="Times New Roman"/>
        </w:rPr>
      </w:pPr>
      <w:r w:rsidRPr="002B1FD7">
        <w:rPr>
          <w:rFonts w:ascii="Times New Roman" w:hAnsi="Times New Roman" w:cs="Times New Roman"/>
          <w:vertAlign w:val="superscript"/>
        </w:rPr>
        <w:endnoteRef/>
      </w:r>
      <w:r w:rsidRPr="002B1FD7">
        <w:rPr>
          <w:rFonts w:ascii="Times New Roman" w:eastAsia="Times New Roman" w:hAnsi="Times New Roman" w:cs="Times New Roman"/>
        </w:rPr>
        <w:t xml:space="preserve"> Hervé Inglebert, ‘Introduction’, in H. Inglebert, S. Destephen, B. Dumézil (eds), </w:t>
      </w:r>
      <w:r w:rsidRPr="002B1FD7">
        <w:rPr>
          <w:rFonts w:ascii="Times New Roman" w:eastAsia="Times New Roman" w:hAnsi="Times New Roman" w:cs="Times New Roman"/>
          <w:i/>
        </w:rPr>
        <w:t>Le problème de la christianisation du monde antique</w:t>
      </w:r>
      <w:r w:rsidRPr="002B1FD7">
        <w:rPr>
          <w:rFonts w:ascii="Times New Roman" w:eastAsia="Times New Roman" w:hAnsi="Times New Roman" w:cs="Times New Roman"/>
        </w:rPr>
        <w:t>,</w:t>
      </w:r>
      <w:r w:rsidRPr="002B1FD7">
        <w:rPr>
          <w:rFonts w:ascii="Times New Roman" w:eastAsia="Times New Roman" w:hAnsi="Times New Roman" w:cs="Times New Roman"/>
          <w:i/>
        </w:rPr>
        <w:t xml:space="preserve"> </w:t>
      </w:r>
      <w:r w:rsidRPr="002B1FD7">
        <w:rPr>
          <w:rFonts w:ascii="Times New Roman" w:eastAsia="Times New Roman" w:hAnsi="Times New Roman" w:cs="Times New Roman"/>
        </w:rPr>
        <w:t xml:space="preserve">(2010), 7-17, 9. </w:t>
      </w:r>
    </w:p>
  </w:endnote>
  <w:endnote w:id="27">
    <w:p w:rsidR="00222A7E" w:rsidRPr="002B1FD7" w:rsidRDefault="00222A7E" w:rsidP="00862710">
      <w:pPr>
        <w:spacing w:after="0" w:line="480" w:lineRule="auto"/>
        <w:jc w:val="both"/>
        <w:rPr>
          <w:rFonts w:ascii="Times New Roman" w:hAnsi="Times New Roman" w:cs="Times New Roman"/>
        </w:rPr>
      </w:pPr>
      <w:r w:rsidRPr="002B1FD7">
        <w:rPr>
          <w:rFonts w:ascii="Times New Roman" w:hAnsi="Times New Roman" w:cs="Times New Roman"/>
          <w:vertAlign w:val="superscript"/>
        </w:rPr>
        <w:endnoteRef/>
      </w:r>
      <w:r w:rsidRPr="002B1FD7">
        <w:rPr>
          <w:rFonts w:ascii="Times New Roman" w:eastAsia="Times New Roman" w:hAnsi="Times New Roman" w:cs="Times New Roman"/>
        </w:rPr>
        <w:t xml:space="preserve"> Marc D. Baer, ‘History and religious conversion’, in Lewis R. Rambo, Charles E. Farhadian (eds), </w:t>
      </w:r>
      <w:r w:rsidRPr="002B1FD7">
        <w:rPr>
          <w:rFonts w:ascii="Times New Roman" w:eastAsia="Times New Roman" w:hAnsi="Times New Roman" w:cs="Times New Roman"/>
          <w:i/>
        </w:rPr>
        <w:t xml:space="preserve">The Oxford Handbook of Religious conversion </w:t>
      </w:r>
      <w:r w:rsidRPr="002B1FD7">
        <w:rPr>
          <w:rFonts w:ascii="Times New Roman" w:eastAsia="Times New Roman" w:hAnsi="Times New Roman" w:cs="Times New Roman"/>
        </w:rPr>
        <w:t xml:space="preserve">(Oxford, 2014), 25-47, 25. </w:t>
      </w:r>
    </w:p>
  </w:endnote>
  <w:endnote w:id="28">
    <w:p w:rsidR="00222A7E" w:rsidRPr="002B1FD7" w:rsidRDefault="00222A7E" w:rsidP="00862710">
      <w:pPr>
        <w:spacing w:after="0" w:line="480" w:lineRule="auto"/>
        <w:jc w:val="both"/>
        <w:rPr>
          <w:rFonts w:ascii="Times New Roman" w:hAnsi="Times New Roman" w:cs="Times New Roman"/>
        </w:rPr>
      </w:pPr>
      <w:r w:rsidRPr="002B1FD7">
        <w:rPr>
          <w:rFonts w:ascii="Times New Roman" w:hAnsi="Times New Roman" w:cs="Times New Roman"/>
          <w:vertAlign w:val="superscript"/>
        </w:rPr>
        <w:endnoteRef/>
      </w:r>
      <w:r w:rsidRPr="002B1FD7">
        <w:rPr>
          <w:rFonts w:ascii="Times New Roman" w:eastAsia="Times New Roman" w:hAnsi="Times New Roman" w:cs="Times New Roman"/>
        </w:rPr>
        <w:t xml:space="preserve"> Hervé Inglebert, ‘Introduction’, in H. Inglebert, S. Destephen, B. Dumézil (eds), </w:t>
      </w:r>
      <w:r w:rsidRPr="002B1FD7">
        <w:rPr>
          <w:rFonts w:ascii="Times New Roman" w:eastAsia="Times New Roman" w:hAnsi="Times New Roman" w:cs="Times New Roman"/>
          <w:i/>
        </w:rPr>
        <w:t xml:space="preserve">Le problème de </w:t>
      </w:r>
      <w:r w:rsidRPr="002B1FD7">
        <w:rPr>
          <w:rFonts w:ascii="Times New Roman" w:eastAsia="Times New Roman" w:hAnsi="Times New Roman" w:cs="Times New Roman"/>
        </w:rPr>
        <w:t>‘</w:t>
      </w:r>
      <w:r w:rsidRPr="002B1FD7">
        <w:rPr>
          <w:rFonts w:ascii="Times New Roman" w:eastAsia="Times New Roman" w:hAnsi="Times New Roman" w:cs="Times New Roman"/>
          <w:i/>
        </w:rPr>
        <w:t>la christianisation du monde antique</w:t>
      </w:r>
      <w:r w:rsidRPr="002B1FD7">
        <w:rPr>
          <w:rFonts w:ascii="Times New Roman" w:eastAsia="Times New Roman" w:hAnsi="Times New Roman" w:cs="Times New Roman"/>
        </w:rPr>
        <w:t>’</w:t>
      </w:r>
      <w:r w:rsidRPr="002B1FD7">
        <w:rPr>
          <w:rFonts w:ascii="Times New Roman" w:eastAsia="Times New Roman" w:hAnsi="Times New Roman" w:cs="Times New Roman"/>
          <w:i/>
        </w:rPr>
        <w:t xml:space="preserve"> </w:t>
      </w:r>
      <w:r w:rsidRPr="002B1FD7">
        <w:rPr>
          <w:rFonts w:ascii="Times New Roman" w:eastAsia="Times New Roman" w:hAnsi="Times New Roman" w:cs="Times New Roman"/>
        </w:rPr>
        <w:t xml:space="preserve">(2010), 9. </w:t>
      </w:r>
    </w:p>
  </w:endnote>
  <w:endnote w:id="29">
    <w:p w:rsidR="00222A7E" w:rsidRPr="009D4E81" w:rsidRDefault="00222A7E" w:rsidP="00862710">
      <w:pPr>
        <w:spacing w:after="0" w:line="480" w:lineRule="auto"/>
        <w:jc w:val="both"/>
        <w:rPr>
          <w:rFonts w:ascii="Times New Roman" w:hAnsi="Times New Roman" w:cs="Times New Roman"/>
          <w:sz w:val="20"/>
          <w:szCs w:val="20"/>
        </w:rPr>
      </w:pPr>
      <w:r w:rsidRPr="002B1FD7">
        <w:rPr>
          <w:rFonts w:ascii="Times New Roman" w:hAnsi="Times New Roman" w:cs="Times New Roman"/>
          <w:vertAlign w:val="superscript"/>
        </w:rPr>
        <w:endnoteRef/>
      </w:r>
      <w:r w:rsidRPr="002B1FD7">
        <w:rPr>
          <w:rFonts w:ascii="Times New Roman" w:hAnsi="Times New Roman" w:cs="Times New Roman"/>
        </w:rPr>
        <w:t xml:space="preserve"> </w:t>
      </w:r>
      <w:r w:rsidRPr="002B1FD7">
        <w:rPr>
          <w:rFonts w:ascii="Times New Roman" w:eastAsia="Arial" w:hAnsi="Times New Roman" w:cs="Times New Roman"/>
          <w:i/>
          <w:color w:val="252525"/>
          <w:highlight w:val="white"/>
        </w:rPr>
        <w:t>The Passion of Perpetua and Felicity</w:t>
      </w:r>
      <w:bookmarkStart w:id="0" w:name="_GoBack"/>
      <w:bookmarkEnd w:id="0"/>
      <w:r w:rsidRPr="002B1FD7">
        <w:rPr>
          <w:rFonts w:ascii="Times New Roman" w:eastAsia="Arial" w:hAnsi="Times New Roman" w:cs="Times New Roman"/>
          <w:color w:val="252525"/>
          <w:highlight w:val="white"/>
        </w:rPr>
        <w:t>, ed. and transl. Thomas J. Heffernan (Oxford, 2012).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Meiryo"/>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A7E" w:rsidRPr="00F32AD6" w:rsidRDefault="00222A7E" w:rsidP="00B878F8">
    <w:pPr>
      <w:tabs>
        <w:tab w:val="center" w:pos="4536"/>
        <w:tab w:val="right" w:pos="9072"/>
      </w:tabs>
      <w:spacing w:after="0"/>
      <w:jc w:val="right"/>
      <w:rPr>
        <w:rFonts w:ascii="Times New Roman" w:hAnsi="Times New Roman" w:cs="Times New Roman"/>
      </w:rPr>
    </w:pPr>
    <w:r w:rsidRPr="00F32AD6">
      <w:rPr>
        <w:rFonts w:ascii="Times New Roman" w:hAnsi="Times New Roman" w:cs="Times New Roman"/>
      </w:rPr>
      <w:fldChar w:fldCharType="begin"/>
    </w:r>
    <w:r w:rsidRPr="00A47380">
      <w:rPr>
        <w:rFonts w:ascii="Times New Roman" w:hAnsi="Times New Roman" w:cs="Times New Roman"/>
      </w:rPr>
      <w:instrText>PAGE</w:instrText>
    </w:r>
    <w:r w:rsidRPr="00F32AD6">
      <w:rPr>
        <w:rFonts w:ascii="Times New Roman" w:hAnsi="Times New Roman" w:cs="Times New Roman"/>
      </w:rPr>
      <w:fldChar w:fldCharType="separate"/>
    </w:r>
    <w:r w:rsidR="00BA2ABA">
      <w:rPr>
        <w:rFonts w:ascii="Times New Roman" w:hAnsi="Times New Roman" w:cs="Times New Roman"/>
        <w:noProof/>
      </w:rPr>
      <w:t>14</w:t>
    </w:r>
    <w:r w:rsidRPr="00F32AD6">
      <w:rPr>
        <w:rFonts w:ascii="Times New Roman" w:hAnsi="Times New Roman" w:cs="Times New Roman"/>
      </w:rPr>
      <w:fldChar w:fldCharType="end"/>
    </w:r>
  </w:p>
  <w:p w:rsidR="00222A7E" w:rsidRDefault="00222A7E">
    <w:pPr>
      <w:tabs>
        <w:tab w:val="center" w:pos="4536"/>
        <w:tab w:val="right" w:pos="9072"/>
      </w:tabs>
      <w:spacing w:after="72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60C9" w:rsidRDefault="006760C9">
      <w:pPr>
        <w:spacing w:after="0"/>
      </w:pPr>
      <w:r>
        <w:separator/>
      </w:r>
    </w:p>
  </w:footnote>
  <w:footnote w:type="continuationSeparator" w:id="0">
    <w:p w:rsidR="006760C9" w:rsidRDefault="006760C9">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isplayBackgroundShape/>
  <w:doNotTrackMoves/>
  <w:defaultTabStop w:val="720"/>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2"/>
  </w:compat>
  <w:rsids>
    <w:rsidRoot w:val="009206AE"/>
    <w:rsid w:val="00002AED"/>
    <w:rsid w:val="000631C4"/>
    <w:rsid w:val="000A2410"/>
    <w:rsid w:val="000A7F9B"/>
    <w:rsid w:val="00110716"/>
    <w:rsid w:val="00143045"/>
    <w:rsid w:val="0019178C"/>
    <w:rsid w:val="00195FA9"/>
    <w:rsid w:val="001A577E"/>
    <w:rsid w:val="001A774D"/>
    <w:rsid w:val="001D4C2D"/>
    <w:rsid w:val="001D64CD"/>
    <w:rsid w:val="001E3471"/>
    <w:rsid w:val="001F0828"/>
    <w:rsid w:val="0020714A"/>
    <w:rsid w:val="00222A7E"/>
    <w:rsid w:val="00236338"/>
    <w:rsid w:val="00275D89"/>
    <w:rsid w:val="002A46A4"/>
    <w:rsid w:val="002B1FD7"/>
    <w:rsid w:val="003029E1"/>
    <w:rsid w:val="003157E4"/>
    <w:rsid w:val="00316420"/>
    <w:rsid w:val="00317F67"/>
    <w:rsid w:val="00322988"/>
    <w:rsid w:val="00357456"/>
    <w:rsid w:val="00392FCB"/>
    <w:rsid w:val="00394169"/>
    <w:rsid w:val="003964BA"/>
    <w:rsid w:val="003F1E98"/>
    <w:rsid w:val="00414AE0"/>
    <w:rsid w:val="00441184"/>
    <w:rsid w:val="00441E6A"/>
    <w:rsid w:val="004564B7"/>
    <w:rsid w:val="0046464B"/>
    <w:rsid w:val="004739DE"/>
    <w:rsid w:val="004B01D4"/>
    <w:rsid w:val="004D07F2"/>
    <w:rsid w:val="004E337F"/>
    <w:rsid w:val="00581CE4"/>
    <w:rsid w:val="005D6237"/>
    <w:rsid w:val="005D73EC"/>
    <w:rsid w:val="005F2752"/>
    <w:rsid w:val="006121F5"/>
    <w:rsid w:val="00632919"/>
    <w:rsid w:val="006360D5"/>
    <w:rsid w:val="00641309"/>
    <w:rsid w:val="006552F1"/>
    <w:rsid w:val="006760C9"/>
    <w:rsid w:val="00686DB7"/>
    <w:rsid w:val="00694641"/>
    <w:rsid w:val="006D3C72"/>
    <w:rsid w:val="006E614A"/>
    <w:rsid w:val="00766CB8"/>
    <w:rsid w:val="00782EBF"/>
    <w:rsid w:val="00787740"/>
    <w:rsid w:val="0079436C"/>
    <w:rsid w:val="007A173F"/>
    <w:rsid w:val="007A43A9"/>
    <w:rsid w:val="007B7D68"/>
    <w:rsid w:val="007C7D9B"/>
    <w:rsid w:val="007F1970"/>
    <w:rsid w:val="00853BB4"/>
    <w:rsid w:val="00862710"/>
    <w:rsid w:val="00880C84"/>
    <w:rsid w:val="00891119"/>
    <w:rsid w:val="0089393C"/>
    <w:rsid w:val="008A34C0"/>
    <w:rsid w:val="008A54DC"/>
    <w:rsid w:val="008D1047"/>
    <w:rsid w:val="008E5C50"/>
    <w:rsid w:val="009206AE"/>
    <w:rsid w:val="00942AE7"/>
    <w:rsid w:val="00971C42"/>
    <w:rsid w:val="00982EC8"/>
    <w:rsid w:val="009B4ACC"/>
    <w:rsid w:val="009B5432"/>
    <w:rsid w:val="009B63E9"/>
    <w:rsid w:val="009D4E81"/>
    <w:rsid w:val="009F092B"/>
    <w:rsid w:val="009F7F8B"/>
    <w:rsid w:val="00A0035C"/>
    <w:rsid w:val="00A16ABA"/>
    <w:rsid w:val="00A20706"/>
    <w:rsid w:val="00A32791"/>
    <w:rsid w:val="00A33739"/>
    <w:rsid w:val="00A47380"/>
    <w:rsid w:val="00A90D46"/>
    <w:rsid w:val="00AB457E"/>
    <w:rsid w:val="00AD355C"/>
    <w:rsid w:val="00AF695A"/>
    <w:rsid w:val="00AF7696"/>
    <w:rsid w:val="00B016FB"/>
    <w:rsid w:val="00B354C7"/>
    <w:rsid w:val="00B61CAE"/>
    <w:rsid w:val="00B77F51"/>
    <w:rsid w:val="00B878F8"/>
    <w:rsid w:val="00BA2ABA"/>
    <w:rsid w:val="00BA3342"/>
    <w:rsid w:val="00C07536"/>
    <w:rsid w:val="00C14D2E"/>
    <w:rsid w:val="00C16F34"/>
    <w:rsid w:val="00C378A3"/>
    <w:rsid w:val="00C723FF"/>
    <w:rsid w:val="00C80BF1"/>
    <w:rsid w:val="00CC1C02"/>
    <w:rsid w:val="00D265E6"/>
    <w:rsid w:val="00D31360"/>
    <w:rsid w:val="00D42F6E"/>
    <w:rsid w:val="00D61145"/>
    <w:rsid w:val="00DB1E01"/>
    <w:rsid w:val="00DE197A"/>
    <w:rsid w:val="00E14943"/>
    <w:rsid w:val="00E51A51"/>
    <w:rsid w:val="00E613C3"/>
    <w:rsid w:val="00E628C7"/>
    <w:rsid w:val="00E8041B"/>
    <w:rsid w:val="00E86ABB"/>
    <w:rsid w:val="00EA7D69"/>
    <w:rsid w:val="00EC0745"/>
    <w:rsid w:val="00F32AD6"/>
    <w:rsid w:val="00F60E66"/>
    <w:rsid w:val="00FB72DB"/>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color w:val="000000"/>
        <w:sz w:val="24"/>
        <w:szCs w:val="24"/>
        <w:lang w:val="en-GB" w:eastAsia="en-GB"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47380"/>
  </w:style>
  <w:style w:type="paragraph" w:styleId="Heading1">
    <w:name w:val="heading 1"/>
    <w:basedOn w:val="Normal"/>
    <w:next w:val="Normal"/>
    <w:rsid w:val="00A47380"/>
    <w:pPr>
      <w:keepNext/>
      <w:keepLines/>
      <w:spacing w:before="480" w:after="120"/>
      <w:outlineLvl w:val="0"/>
    </w:pPr>
    <w:rPr>
      <w:b/>
      <w:sz w:val="48"/>
      <w:szCs w:val="48"/>
    </w:rPr>
  </w:style>
  <w:style w:type="paragraph" w:styleId="Heading2">
    <w:name w:val="heading 2"/>
    <w:basedOn w:val="Normal"/>
    <w:next w:val="Normal"/>
    <w:rsid w:val="00A47380"/>
    <w:pPr>
      <w:keepNext/>
      <w:keepLines/>
      <w:spacing w:before="360" w:after="80"/>
      <w:outlineLvl w:val="1"/>
    </w:pPr>
    <w:rPr>
      <w:b/>
      <w:sz w:val="36"/>
      <w:szCs w:val="36"/>
    </w:rPr>
  </w:style>
  <w:style w:type="paragraph" w:styleId="Heading3">
    <w:name w:val="heading 3"/>
    <w:basedOn w:val="Normal"/>
    <w:next w:val="Normal"/>
    <w:rsid w:val="00A47380"/>
    <w:pPr>
      <w:keepNext/>
      <w:keepLines/>
      <w:spacing w:before="280" w:after="80"/>
      <w:outlineLvl w:val="2"/>
    </w:pPr>
    <w:rPr>
      <w:b/>
      <w:sz w:val="28"/>
      <w:szCs w:val="28"/>
    </w:rPr>
  </w:style>
  <w:style w:type="paragraph" w:styleId="Heading4">
    <w:name w:val="heading 4"/>
    <w:basedOn w:val="Normal"/>
    <w:next w:val="Normal"/>
    <w:rsid w:val="00A47380"/>
    <w:pPr>
      <w:keepNext/>
      <w:keepLines/>
      <w:spacing w:before="240" w:after="40"/>
      <w:outlineLvl w:val="3"/>
    </w:pPr>
    <w:rPr>
      <w:b/>
    </w:rPr>
  </w:style>
  <w:style w:type="paragraph" w:styleId="Heading5">
    <w:name w:val="heading 5"/>
    <w:basedOn w:val="Normal"/>
    <w:next w:val="Normal"/>
    <w:rsid w:val="00A47380"/>
    <w:pPr>
      <w:keepNext/>
      <w:keepLines/>
      <w:spacing w:before="220" w:after="40"/>
      <w:outlineLvl w:val="4"/>
    </w:pPr>
    <w:rPr>
      <w:b/>
      <w:sz w:val="22"/>
      <w:szCs w:val="22"/>
    </w:rPr>
  </w:style>
  <w:style w:type="paragraph" w:styleId="Heading6">
    <w:name w:val="heading 6"/>
    <w:basedOn w:val="Normal"/>
    <w:next w:val="Normal"/>
    <w:rsid w:val="00A4738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393C"/>
    <w:pPr>
      <w:spacing w:after="0"/>
    </w:pPr>
    <w:rPr>
      <w:rFonts w:ascii="Tahoma" w:hAnsi="Tahoma" w:cs="Tahoma"/>
      <w:sz w:val="16"/>
      <w:szCs w:val="16"/>
    </w:rPr>
  </w:style>
  <w:style w:type="character" w:customStyle="1" w:styleId="TextedebullesCar">
    <w:name w:val="Texte de bulles Car"/>
    <w:basedOn w:val="DefaultParagraphFont"/>
    <w:uiPriority w:val="99"/>
    <w:semiHidden/>
    <w:rsid w:val="00C0430B"/>
    <w:rPr>
      <w:rFonts w:ascii="Lucida Grande" w:hAnsi="Lucida Grande" w:cs="Lucida Grande"/>
      <w:sz w:val="18"/>
      <w:szCs w:val="18"/>
    </w:rPr>
  </w:style>
  <w:style w:type="paragraph" w:styleId="Title">
    <w:name w:val="Title"/>
    <w:basedOn w:val="Normal"/>
    <w:next w:val="Normal"/>
    <w:rsid w:val="00A47380"/>
    <w:pPr>
      <w:keepNext/>
      <w:keepLines/>
      <w:spacing w:before="480" w:after="120"/>
    </w:pPr>
    <w:rPr>
      <w:b/>
      <w:sz w:val="72"/>
      <w:szCs w:val="72"/>
    </w:rPr>
  </w:style>
  <w:style w:type="paragraph" w:styleId="Subtitle">
    <w:name w:val="Subtitle"/>
    <w:basedOn w:val="Normal"/>
    <w:next w:val="Normal"/>
    <w:rsid w:val="00A47380"/>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sid w:val="00A47380"/>
    <w:rPr>
      <w:sz w:val="20"/>
      <w:szCs w:val="20"/>
    </w:rPr>
  </w:style>
  <w:style w:type="character" w:customStyle="1" w:styleId="CommentTextChar">
    <w:name w:val="Comment Text Char"/>
    <w:basedOn w:val="DefaultParagraphFont"/>
    <w:link w:val="CommentText"/>
    <w:uiPriority w:val="99"/>
    <w:semiHidden/>
    <w:rsid w:val="00A47380"/>
    <w:rPr>
      <w:sz w:val="20"/>
      <w:szCs w:val="20"/>
    </w:rPr>
  </w:style>
  <w:style w:type="character" w:styleId="CommentReference">
    <w:name w:val="annotation reference"/>
    <w:basedOn w:val="DefaultParagraphFont"/>
    <w:uiPriority w:val="99"/>
    <w:semiHidden/>
    <w:unhideWhenUsed/>
    <w:rsid w:val="00A47380"/>
    <w:rPr>
      <w:sz w:val="16"/>
      <w:szCs w:val="16"/>
    </w:rPr>
  </w:style>
  <w:style w:type="character" w:customStyle="1" w:styleId="BalloonTextChar">
    <w:name w:val="Balloon Text Char"/>
    <w:basedOn w:val="DefaultParagraphFont"/>
    <w:link w:val="BalloonText"/>
    <w:uiPriority w:val="99"/>
    <w:semiHidden/>
    <w:rsid w:val="0089393C"/>
    <w:rPr>
      <w:rFonts w:ascii="Tahoma" w:hAnsi="Tahoma" w:cs="Tahoma"/>
      <w:sz w:val="16"/>
      <w:szCs w:val="16"/>
    </w:rPr>
  </w:style>
  <w:style w:type="paragraph" w:styleId="FootnoteText">
    <w:name w:val="footnote text"/>
    <w:basedOn w:val="Normal"/>
    <w:link w:val="FootnoteTextChar"/>
    <w:uiPriority w:val="99"/>
    <w:semiHidden/>
    <w:unhideWhenUsed/>
    <w:rsid w:val="0089393C"/>
    <w:pPr>
      <w:spacing w:after="0"/>
    </w:pPr>
    <w:rPr>
      <w:sz w:val="20"/>
      <w:szCs w:val="20"/>
    </w:rPr>
  </w:style>
  <w:style w:type="character" w:customStyle="1" w:styleId="FootnoteTextChar">
    <w:name w:val="Footnote Text Char"/>
    <w:basedOn w:val="DefaultParagraphFont"/>
    <w:link w:val="FootnoteText"/>
    <w:uiPriority w:val="99"/>
    <w:semiHidden/>
    <w:rsid w:val="0089393C"/>
    <w:rPr>
      <w:sz w:val="20"/>
      <w:szCs w:val="20"/>
    </w:rPr>
  </w:style>
  <w:style w:type="character" w:styleId="FootnoteReference">
    <w:name w:val="footnote reference"/>
    <w:basedOn w:val="DefaultParagraphFont"/>
    <w:uiPriority w:val="99"/>
    <w:semiHidden/>
    <w:unhideWhenUsed/>
    <w:rsid w:val="0089393C"/>
    <w:rPr>
      <w:vertAlign w:val="superscript"/>
    </w:rPr>
  </w:style>
  <w:style w:type="paragraph" w:styleId="Header">
    <w:name w:val="header"/>
    <w:basedOn w:val="Normal"/>
    <w:link w:val="HeaderChar"/>
    <w:uiPriority w:val="99"/>
    <w:unhideWhenUsed/>
    <w:rsid w:val="00F32AD6"/>
    <w:pPr>
      <w:tabs>
        <w:tab w:val="center" w:pos="4536"/>
        <w:tab w:val="right" w:pos="9072"/>
      </w:tabs>
      <w:spacing w:after="0"/>
    </w:pPr>
  </w:style>
  <w:style w:type="character" w:customStyle="1" w:styleId="HeaderChar">
    <w:name w:val="Header Char"/>
    <w:basedOn w:val="DefaultParagraphFont"/>
    <w:link w:val="Header"/>
    <w:uiPriority w:val="99"/>
    <w:rsid w:val="00F32AD6"/>
  </w:style>
  <w:style w:type="paragraph" w:styleId="Footer">
    <w:name w:val="footer"/>
    <w:basedOn w:val="Normal"/>
    <w:link w:val="FooterChar"/>
    <w:uiPriority w:val="99"/>
    <w:unhideWhenUsed/>
    <w:rsid w:val="00F32AD6"/>
    <w:pPr>
      <w:tabs>
        <w:tab w:val="center" w:pos="4536"/>
        <w:tab w:val="right" w:pos="9072"/>
      </w:tabs>
      <w:spacing w:after="0"/>
    </w:pPr>
  </w:style>
  <w:style w:type="character" w:customStyle="1" w:styleId="FooterChar">
    <w:name w:val="Footer Char"/>
    <w:basedOn w:val="DefaultParagraphFont"/>
    <w:link w:val="Footer"/>
    <w:uiPriority w:val="99"/>
    <w:rsid w:val="00F32AD6"/>
  </w:style>
  <w:style w:type="paragraph" w:styleId="CommentSubject">
    <w:name w:val="annotation subject"/>
    <w:basedOn w:val="CommentText"/>
    <w:next w:val="CommentText"/>
    <w:link w:val="CommentSubjectChar"/>
    <w:uiPriority w:val="99"/>
    <w:semiHidden/>
    <w:unhideWhenUsed/>
    <w:rsid w:val="005D73EC"/>
    <w:rPr>
      <w:b/>
      <w:bCs/>
    </w:rPr>
  </w:style>
  <w:style w:type="character" w:customStyle="1" w:styleId="CommentSubjectChar">
    <w:name w:val="Comment Subject Char"/>
    <w:basedOn w:val="CommentTextChar"/>
    <w:link w:val="CommentSubject"/>
    <w:uiPriority w:val="99"/>
    <w:semiHidden/>
    <w:rsid w:val="005D73EC"/>
    <w:rPr>
      <w:b/>
      <w:bCs/>
      <w:sz w:val="20"/>
      <w:szCs w:val="20"/>
    </w:rPr>
  </w:style>
  <w:style w:type="paragraph" w:styleId="EndnoteText">
    <w:name w:val="endnote text"/>
    <w:basedOn w:val="Normal"/>
    <w:link w:val="EndnoteTextChar"/>
    <w:uiPriority w:val="99"/>
    <w:semiHidden/>
    <w:unhideWhenUsed/>
    <w:rsid w:val="002B1FD7"/>
    <w:pPr>
      <w:spacing w:after="0"/>
    </w:pPr>
    <w:rPr>
      <w:sz w:val="20"/>
      <w:szCs w:val="20"/>
    </w:rPr>
  </w:style>
  <w:style w:type="character" w:customStyle="1" w:styleId="EndnoteTextChar">
    <w:name w:val="Endnote Text Char"/>
    <w:basedOn w:val="DefaultParagraphFont"/>
    <w:link w:val="EndnoteText"/>
    <w:uiPriority w:val="99"/>
    <w:semiHidden/>
    <w:rsid w:val="002B1FD7"/>
    <w:rPr>
      <w:sz w:val="20"/>
      <w:szCs w:val="20"/>
    </w:rPr>
  </w:style>
  <w:style w:type="character" w:styleId="EndnoteReference">
    <w:name w:val="endnote reference"/>
    <w:basedOn w:val="DefaultParagraphFont"/>
    <w:uiPriority w:val="99"/>
    <w:semiHidden/>
    <w:unhideWhenUsed/>
    <w:rsid w:val="002B1FD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color w:val="000000"/>
        <w:sz w:val="24"/>
        <w:szCs w:val="24"/>
        <w:lang w:val="en-GB" w:eastAsia="en-GB"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Title"/>
    <w:basedOn w:val="Normal"/>
    <w:next w:val="Normal"/>
    <w:pPr>
      <w:keepNext/>
      <w:keepLines/>
      <w:spacing w:before="480" w:after="120"/>
    </w:pPr>
    <w:rPr>
      <w:b/>
      <w:sz w:val="72"/>
      <w:szCs w:val="72"/>
    </w:rPr>
  </w:style>
  <w:style w:type="paragraph" w:styleId="TextedebullesCar">
    <w:name w:val="Subtitle"/>
    <w:basedOn w:val="Normal"/>
    <w:next w:val="Normal"/>
    <w:pPr>
      <w:keepNext/>
      <w:keepLines/>
      <w:spacing w:before="360" w:after="80"/>
    </w:pPr>
    <w:rPr>
      <w:rFonts w:ascii="Georgia" w:eastAsia="Georgia" w:hAnsi="Georgia" w:cs="Georgia"/>
      <w:i/>
      <w:color w:val="666666"/>
      <w:sz w:val="48"/>
      <w:szCs w:val="48"/>
    </w:rPr>
  </w:style>
  <w:style w:type="paragraph" w:styleId="Title">
    <w:name w:val="annotation text"/>
    <w:basedOn w:val="Normal"/>
    <w:link w:val="Subtitle"/>
    <w:uiPriority w:val="99"/>
    <w:semiHidden/>
    <w:unhideWhenUsed/>
    <w:rPr>
      <w:sz w:val="20"/>
      <w:szCs w:val="20"/>
    </w:rPr>
  </w:style>
  <w:style w:type="character" w:customStyle="1" w:styleId="Subtitle">
    <w:name w:val="Comment Text Char"/>
    <w:basedOn w:val="DefaultParagraphFont"/>
    <w:link w:val="Title"/>
    <w:uiPriority w:val="99"/>
    <w:semiHidden/>
    <w:rPr>
      <w:sz w:val="20"/>
      <w:szCs w:val="20"/>
    </w:rPr>
  </w:style>
  <w:style w:type="character" w:styleId="CommentText">
    <w:name w:val="annotation reference"/>
    <w:basedOn w:val="DefaultParagraphFont"/>
    <w:uiPriority w:val="99"/>
    <w:semiHidden/>
    <w:unhideWhenUsed/>
    <w:rPr>
      <w:sz w:val="16"/>
      <w:szCs w:val="16"/>
    </w:rPr>
  </w:style>
  <w:style w:type="paragraph" w:styleId="CommentTextChar">
    <w:name w:val="Balloon Text"/>
    <w:basedOn w:val="Normal"/>
    <w:link w:val="CommentReference"/>
    <w:uiPriority w:val="99"/>
    <w:semiHidden/>
    <w:unhideWhenUsed/>
    <w:rsid w:val="0089393C"/>
    <w:pPr>
      <w:spacing w:after="0"/>
    </w:pPr>
    <w:rPr>
      <w:rFonts w:ascii="Tahoma" w:hAnsi="Tahoma" w:cs="Tahoma"/>
      <w:sz w:val="16"/>
      <w:szCs w:val="16"/>
    </w:rPr>
  </w:style>
  <w:style w:type="character" w:customStyle="1" w:styleId="CommentReference">
    <w:name w:val="Balloon Text Char"/>
    <w:basedOn w:val="DefaultParagraphFont"/>
    <w:link w:val="CommentTextChar"/>
    <w:uiPriority w:val="99"/>
    <w:semiHidden/>
    <w:rsid w:val="0089393C"/>
    <w:rPr>
      <w:rFonts w:ascii="Tahoma" w:hAnsi="Tahoma" w:cs="Tahoma"/>
      <w:sz w:val="16"/>
      <w:szCs w:val="16"/>
    </w:rPr>
  </w:style>
  <w:style w:type="paragraph" w:styleId="BalloonTextChar">
    <w:name w:val="footnote text"/>
    <w:basedOn w:val="Normal"/>
    <w:link w:val="FootnoteText"/>
    <w:uiPriority w:val="99"/>
    <w:semiHidden/>
    <w:unhideWhenUsed/>
    <w:rsid w:val="0089393C"/>
    <w:pPr>
      <w:spacing w:after="0"/>
    </w:pPr>
    <w:rPr>
      <w:sz w:val="20"/>
      <w:szCs w:val="20"/>
    </w:rPr>
  </w:style>
  <w:style w:type="character" w:customStyle="1" w:styleId="FootnoteText">
    <w:name w:val="Footnote Text Char"/>
    <w:basedOn w:val="DefaultParagraphFont"/>
    <w:link w:val="BalloonTextChar"/>
    <w:uiPriority w:val="99"/>
    <w:semiHidden/>
    <w:rsid w:val="0089393C"/>
    <w:rPr>
      <w:sz w:val="20"/>
      <w:szCs w:val="20"/>
    </w:rPr>
  </w:style>
  <w:style w:type="character" w:styleId="FootnoteTextChar">
    <w:name w:val="footnote reference"/>
    <w:basedOn w:val="DefaultParagraphFont"/>
    <w:uiPriority w:val="99"/>
    <w:semiHidden/>
    <w:unhideWhenUsed/>
    <w:rsid w:val="0089393C"/>
    <w:rPr>
      <w:vertAlign w:val="superscript"/>
    </w:rPr>
  </w:style>
  <w:style w:type="paragraph" w:styleId="FootnoteReference">
    <w:name w:val="header"/>
    <w:basedOn w:val="Normal"/>
    <w:link w:val="Header"/>
    <w:uiPriority w:val="99"/>
    <w:unhideWhenUsed/>
    <w:rsid w:val="00F32AD6"/>
    <w:pPr>
      <w:tabs>
        <w:tab w:val="center" w:pos="4536"/>
        <w:tab w:val="right" w:pos="9072"/>
      </w:tabs>
      <w:spacing w:after="0"/>
    </w:pPr>
  </w:style>
  <w:style w:type="character" w:customStyle="1" w:styleId="Header">
    <w:name w:val="Header Char"/>
    <w:basedOn w:val="DefaultParagraphFont"/>
    <w:link w:val="FootnoteReference"/>
    <w:uiPriority w:val="99"/>
    <w:rsid w:val="00F32AD6"/>
  </w:style>
  <w:style w:type="paragraph" w:styleId="HeaderChar">
    <w:name w:val="footer"/>
    <w:basedOn w:val="Normal"/>
    <w:link w:val="Footer"/>
    <w:uiPriority w:val="99"/>
    <w:unhideWhenUsed/>
    <w:rsid w:val="00F32AD6"/>
    <w:pPr>
      <w:tabs>
        <w:tab w:val="center" w:pos="4536"/>
        <w:tab w:val="right" w:pos="9072"/>
      </w:tabs>
      <w:spacing w:after="0"/>
    </w:pPr>
  </w:style>
  <w:style w:type="character" w:customStyle="1" w:styleId="Footer">
    <w:name w:val="Footer Char"/>
    <w:basedOn w:val="DefaultParagraphFont"/>
    <w:link w:val="HeaderChar"/>
    <w:uiPriority w:val="99"/>
    <w:rsid w:val="00F32AD6"/>
  </w:style>
  <w:style w:type="paragraph" w:styleId="FooterChar">
    <w:name w:val="annotation subject"/>
    <w:basedOn w:val="Title"/>
    <w:next w:val="Title"/>
    <w:link w:val="CommentSubject"/>
    <w:uiPriority w:val="99"/>
    <w:semiHidden/>
    <w:unhideWhenUsed/>
    <w:rsid w:val="005D73EC"/>
    <w:rPr>
      <w:b/>
      <w:bCs/>
    </w:rPr>
  </w:style>
  <w:style w:type="character" w:customStyle="1" w:styleId="CommentSubject">
    <w:name w:val="Comment Subject Char"/>
    <w:basedOn w:val="Subtitle"/>
    <w:link w:val="FooterChar"/>
    <w:uiPriority w:val="99"/>
    <w:semiHidden/>
    <w:rsid w:val="005D73E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6026C-0107-45F0-A6F2-E30635F61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14</Pages>
  <Words>3297</Words>
  <Characters>18797</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Matthieu Pignot</cp:lastModifiedBy>
  <cp:revision>20</cp:revision>
  <dcterms:created xsi:type="dcterms:W3CDTF">2015-12-22T13:26:00Z</dcterms:created>
  <dcterms:modified xsi:type="dcterms:W3CDTF">2015-12-22T18:11:00Z</dcterms:modified>
</cp:coreProperties>
</file>