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F3" w:rsidRPr="00181A44" w:rsidRDefault="007261F3" w:rsidP="00181A44">
      <w:pPr>
        <w:pStyle w:val="Sansinterligne"/>
        <w:rPr>
          <w:b/>
          <w:szCs w:val="24"/>
          <w:lang w:val="en-US"/>
        </w:rPr>
      </w:pPr>
      <w:r w:rsidRPr="00181A44">
        <w:rPr>
          <w:b/>
          <w:szCs w:val="24"/>
          <w:lang w:val="en-US"/>
        </w:rPr>
        <w:t>Title</w:t>
      </w:r>
    </w:p>
    <w:p w:rsidR="00FB259D" w:rsidRPr="00181A44" w:rsidRDefault="00E22529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Mental D</w:t>
      </w:r>
      <w:r w:rsidR="0097391A" w:rsidRPr="00181A44">
        <w:rPr>
          <w:szCs w:val="24"/>
          <w:lang w:val="en-US"/>
        </w:rPr>
        <w:t xml:space="preserve">isorders and </w:t>
      </w:r>
      <w:r w:rsidRPr="00181A44">
        <w:rPr>
          <w:szCs w:val="24"/>
          <w:lang w:val="en-US"/>
        </w:rPr>
        <w:t>Decision-Making Capacity: W</w:t>
      </w:r>
      <w:r w:rsidR="001D2103" w:rsidRPr="00181A44">
        <w:rPr>
          <w:szCs w:val="24"/>
          <w:lang w:val="en-US"/>
        </w:rPr>
        <w:t>hat is</w:t>
      </w:r>
      <w:r w:rsidRPr="00181A44">
        <w:rPr>
          <w:szCs w:val="24"/>
          <w:lang w:val="en-US"/>
        </w:rPr>
        <w:t xml:space="preserve"> the Role of L</w:t>
      </w:r>
      <w:r w:rsidR="00D478AC" w:rsidRPr="00181A44">
        <w:rPr>
          <w:szCs w:val="24"/>
          <w:lang w:val="en-US"/>
        </w:rPr>
        <w:t>aw?</w:t>
      </w:r>
    </w:p>
    <w:p w:rsidR="007261F3" w:rsidRDefault="007261F3" w:rsidP="00181A44">
      <w:pPr>
        <w:spacing w:line="240" w:lineRule="auto"/>
        <w:rPr>
          <w:szCs w:val="24"/>
          <w:lang w:val="en-US"/>
        </w:rPr>
      </w:pPr>
    </w:p>
    <w:p w:rsidR="00185402" w:rsidRPr="00181A44" w:rsidRDefault="00185402" w:rsidP="00181A44">
      <w:pPr>
        <w:spacing w:line="240" w:lineRule="auto"/>
        <w:rPr>
          <w:szCs w:val="24"/>
          <w:lang w:val="en-US"/>
        </w:rPr>
      </w:pPr>
    </w:p>
    <w:p w:rsidR="007261F3" w:rsidRPr="00181A44" w:rsidRDefault="007261F3" w:rsidP="00181A44">
      <w:pPr>
        <w:spacing w:line="240" w:lineRule="auto"/>
        <w:rPr>
          <w:b/>
          <w:szCs w:val="24"/>
          <w:lang w:val="en-US"/>
        </w:rPr>
      </w:pPr>
      <w:r w:rsidRPr="00181A44">
        <w:rPr>
          <w:b/>
          <w:szCs w:val="24"/>
          <w:lang w:val="en-US"/>
        </w:rPr>
        <w:t>Author</w:t>
      </w:r>
    </w:p>
    <w:p w:rsidR="007261F3" w:rsidRPr="00181A44" w:rsidRDefault="007261F3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Claire </w:t>
      </w:r>
      <w:proofErr w:type="spellStart"/>
      <w:r w:rsidRPr="00181A44">
        <w:rPr>
          <w:smallCaps/>
          <w:szCs w:val="24"/>
          <w:lang w:val="en-US"/>
        </w:rPr>
        <w:t>Rommelaere</w:t>
      </w:r>
      <w:proofErr w:type="spellEnd"/>
    </w:p>
    <w:p w:rsidR="00D478AC" w:rsidRPr="00181A44" w:rsidRDefault="007261F3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Univ</w:t>
      </w:r>
      <w:r w:rsidR="0026336C" w:rsidRPr="00181A44">
        <w:rPr>
          <w:szCs w:val="24"/>
          <w:lang w:val="en-US"/>
        </w:rPr>
        <w:t>ersity of Namur (Belgium), F</w:t>
      </w:r>
      <w:r w:rsidRPr="00181A44">
        <w:rPr>
          <w:szCs w:val="24"/>
          <w:lang w:val="en-US"/>
        </w:rPr>
        <w:t xml:space="preserve">aculty </w:t>
      </w:r>
      <w:r w:rsidR="0026336C" w:rsidRPr="00181A44">
        <w:rPr>
          <w:szCs w:val="24"/>
          <w:lang w:val="en-US"/>
        </w:rPr>
        <w:t>of Law and F</w:t>
      </w:r>
      <w:r w:rsidRPr="00181A44">
        <w:rPr>
          <w:szCs w:val="24"/>
          <w:lang w:val="en-US"/>
        </w:rPr>
        <w:t>aculty</w:t>
      </w:r>
      <w:r w:rsidR="0026336C" w:rsidRPr="00181A44">
        <w:rPr>
          <w:szCs w:val="24"/>
          <w:lang w:val="en-US"/>
        </w:rPr>
        <w:t xml:space="preserve"> of Science</w:t>
      </w:r>
      <w:r w:rsidR="0096169A" w:rsidRPr="00181A44">
        <w:rPr>
          <w:szCs w:val="24"/>
          <w:lang w:val="en-US"/>
        </w:rPr>
        <w:t>s</w:t>
      </w:r>
      <w:r w:rsidRPr="00181A44">
        <w:rPr>
          <w:szCs w:val="24"/>
          <w:lang w:val="en-US"/>
        </w:rPr>
        <w:t>, Center for Bioethics</w:t>
      </w:r>
    </w:p>
    <w:p w:rsidR="007261F3" w:rsidRPr="00181A44" w:rsidRDefault="007261F3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Univer</w:t>
      </w:r>
      <w:r w:rsidR="0026336C" w:rsidRPr="00181A44">
        <w:rPr>
          <w:szCs w:val="24"/>
          <w:lang w:val="en-US"/>
        </w:rPr>
        <w:t>sity of Louvain (Belgium), F</w:t>
      </w:r>
      <w:r w:rsidRPr="00181A44">
        <w:rPr>
          <w:szCs w:val="24"/>
          <w:lang w:val="en-US"/>
        </w:rPr>
        <w:t>aculty</w:t>
      </w:r>
      <w:r w:rsidR="0026336C" w:rsidRPr="00181A44">
        <w:rPr>
          <w:szCs w:val="24"/>
          <w:lang w:val="en-US"/>
        </w:rPr>
        <w:t xml:space="preserve"> of Law</w:t>
      </w:r>
      <w:r w:rsidRPr="00181A44">
        <w:rPr>
          <w:szCs w:val="24"/>
          <w:lang w:val="en-US"/>
        </w:rPr>
        <w:t>, Center for Medical and Biomedical Law</w:t>
      </w:r>
    </w:p>
    <w:p w:rsidR="007261F3" w:rsidRPr="00181A44" w:rsidRDefault="007261F3" w:rsidP="00181A44">
      <w:pPr>
        <w:spacing w:line="240" w:lineRule="auto"/>
        <w:rPr>
          <w:szCs w:val="24"/>
          <w:lang w:val="en-US"/>
        </w:rPr>
      </w:pPr>
    </w:p>
    <w:p w:rsidR="005D79CF" w:rsidRPr="00181A44" w:rsidRDefault="007261F3" w:rsidP="00181A44">
      <w:pPr>
        <w:tabs>
          <w:tab w:val="left" w:pos="5954"/>
        </w:tabs>
        <w:spacing w:line="240" w:lineRule="auto"/>
        <w:rPr>
          <w:szCs w:val="24"/>
        </w:rPr>
      </w:pPr>
      <w:r w:rsidRPr="00181A44">
        <w:rPr>
          <w:szCs w:val="24"/>
        </w:rPr>
        <w:t>61, rue de Bruxelles,</w:t>
      </w:r>
      <w:r w:rsidR="005D79CF" w:rsidRPr="00181A44">
        <w:rPr>
          <w:szCs w:val="24"/>
        </w:rPr>
        <w:tab/>
      </w:r>
    </w:p>
    <w:p w:rsidR="007261F3" w:rsidRPr="00181A44" w:rsidRDefault="005D79CF" w:rsidP="00181A44">
      <w:pPr>
        <w:tabs>
          <w:tab w:val="left" w:pos="5954"/>
        </w:tabs>
        <w:spacing w:line="240" w:lineRule="auto"/>
        <w:rPr>
          <w:szCs w:val="24"/>
        </w:rPr>
      </w:pPr>
      <w:r w:rsidRPr="00181A44">
        <w:rPr>
          <w:szCs w:val="24"/>
        </w:rPr>
        <w:t>5000 Namur</w:t>
      </w:r>
      <w:r w:rsidR="007261F3" w:rsidRPr="00181A44">
        <w:rPr>
          <w:szCs w:val="24"/>
        </w:rPr>
        <w:tab/>
      </w:r>
    </w:p>
    <w:p w:rsidR="007261F3" w:rsidRPr="00181A44" w:rsidRDefault="007261F3" w:rsidP="00181A44">
      <w:pPr>
        <w:spacing w:line="240" w:lineRule="auto"/>
        <w:rPr>
          <w:szCs w:val="24"/>
        </w:rPr>
      </w:pPr>
      <w:r w:rsidRPr="00181A44">
        <w:rPr>
          <w:szCs w:val="24"/>
        </w:rPr>
        <w:t>BELGIUM</w:t>
      </w:r>
    </w:p>
    <w:p w:rsidR="005D79CF" w:rsidRPr="00181A44" w:rsidRDefault="005D79CF" w:rsidP="00181A44">
      <w:pPr>
        <w:tabs>
          <w:tab w:val="left" w:pos="5954"/>
        </w:tabs>
        <w:spacing w:line="240" w:lineRule="auto"/>
        <w:rPr>
          <w:szCs w:val="24"/>
        </w:rPr>
      </w:pPr>
      <w:r w:rsidRPr="00181A44">
        <w:rPr>
          <w:szCs w:val="24"/>
        </w:rPr>
        <w:t>claire.rommelaere@unamur.be</w:t>
      </w:r>
    </w:p>
    <w:p w:rsidR="007261F3" w:rsidRPr="00181A44" w:rsidRDefault="005D79CF" w:rsidP="00181A44">
      <w:pPr>
        <w:spacing w:line="240" w:lineRule="auto"/>
        <w:rPr>
          <w:szCs w:val="24"/>
        </w:rPr>
      </w:pPr>
      <w:r w:rsidRPr="00181A44">
        <w:rPr>
          <w:szCs w:val="24"/>
        </w:rPr>
        <w:t>+32 81724791</w:t>
      </w:r>
    </w:p>
    <w:p w:rsidR="007261F3" w:rsidRDefault="007261F3" w:rsidP="00181A44">
      <w:pPr>
        <w:spacing w:line="240" w:lineRule="auto"/>
        <w:jc w:val="left"/>
        <w:rPr>
          <w:szCs w:val="24"/>
        </w:rPr>
      </w:pPr>
    </w:p>
    <w:p w:rsidR="00185402" w:rsidRPr="00181A44" w:rsidRDefault="00185402" w:rsidP="00181A44">
      <w:pPr>
        <w:spacing w:line="240" w:lineRule="auto"/>
        <w:jc w:val="left"/>
        <w:rPr>
          <w:szCs w:val="24"/>
        </w:rPr>
      </w:pPr>
    </w:p>
    <w:p w:rsidR="007261F3" w:rsidRPr="00181A44" w:rsidRDefault="007261F3" w:rsidP="00181A44">
      <w:pPr>
        <w:spacing w:line="240" w:lineRule="auto"/>
        <w:jc w:val="left"/>
        <w:rPr>
          <w:b/>
          <w:szCs w:val="24"/>
          <w:lang w:val="en-US"/>
        </w:rPr>
      </w:pPr>
      <w:r w:rsidRPr="00181A44">
        <w:rPr>
          <w:b/>
          <w:szCs w:val="24"/>
          <w:lang w:val="en-US"/>
        </w:rPr>
        <w:t>Abstract</w:t>
      </w:r>
    </w:p>
    <w:p w:rsidR="00FD1624" w:rsidRPr="00181A44" w:rsidRDefault="002337F9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When a patient appears to have a mental disorder, </w:t>
      </w:r>
      <w:r w:rsidR="0026336C" w:rsidRPr="00181A44">
        <w:rPr>
          <w:szCs w:val="24"/>
          <w:lang w:val="en-US"/>
        </w:rPr>
        <w:t>doubts</w:t>
      </w:r>
      <w:r w:rsidRPr="00181A44">
        <w:rPr>
          <w:szCs w:val="24"/>
          <w:lang w:val="en-US"/>
        </w:rPr>
        <w:t xml:space="preserve"> may arise about his</w:t>
      </w:r>
      <w:r w:rsidR="001D2103" w:rsidRPr="00181A44">
        <w:rPr>
          <w:szCs w:val="24"/>
          <w:lang w:val="en-US"/>
        </w:rPr>
        <w:t xml:space="preserve"> or </w:t>
      </w:r>
      <w:r w:rsidR="0026336C" w:rsidRPr="00181A44">
        <w:rPr>
          <w:szCs w:val="24"/>
          <w:lang w:val="en-US"/>
        </w:rPr>
        <w:t>her</w:t>
      </w:r>
      <w:r w:rsidRPr="00181A44">
        <w:rPr>
          <w:szCs w:val="24"/>
          <w:lang w:val="en-US"/>
        </w:rPr>
        <w:t xml:space="preserve"> decision-making cap</w:t>
      </w:r>
      <w:r w:rsidR="0042459E" w:rsidRPr="00181A44">
        <w:rPr>
          <w:szCs w:val="24"/>
          <w:lang w:val="en-US"/>
        </w:rPr>
        <w:t xml:space="preserve">acity. </w:t>
      </w:r>
      <w:r w:rsidR="00181A44">
        <w:rPr>
          <w:szCs w:val="24"/>
          <w:lang w:val="en-US"/>
        </w:rPr>
        <w:t>H</w:t>
      </w:r>
      <w:r w:rsidR="0042459E" w:rsidRPr="00181A44">
        <w:rPr>
          <w:szCs w:val="24"/>
          <w:lang w:val="en-US"/>
        </w:rPr>
        <w:t xml:space="preserve">ealth professionals must </w:t>
      </w:r>
      <w:r w:rsidR="00181A44">
        <w:rPr>
          <w:szCs w:val="24"/>
          <w:lang w:val="en-US"/>
        </w:rPr>
        <w:t xml:space="preserve">then </w:t>
      </w:r>
      <w:r w:rsidR="0042459E" w:rsidRPr="00181A44">
        <w:rPr>
          <w:szCs w:val="24"/>
          <w:lang w:val="en-US"/>
        </w:rPr>
        <w:t>assess</w:t>
      </w:r>
      <w:r w:rsidR="0026336C" w:rsidRPr="00181A44">
        <w:rPr>
          <w:szCs w:val="24"/>
          <w:lang w:val="en-US"/>
        </w:rPr>
        <w:t xml:space="preserve"> the</w:t>
      </w:r>
      <w:r w:rsidR="0042459E" w:rsidRPr="00181A44">
        <w:rPr>
          <w:szCs w:val="24"/>
          <w:lang w:val="en-US"/>
        </w:rPr>
        <w:t xml:space="preserve"> patient’s capacity in order to </w:t>
      </w:r>
      <w:r w:rsidR="0026336C" w:rsidRPr="00181A44">
        <w:rPr>
          <w:szCs w:val="24"/>
          <w:lang w:val="en-US"/>
        </w:rPr>
        <w:t xml:space="preserve">make sure of </w:t>
      </w:r>
      <w:r w:rsidR="001D2103" w:rsidRPr="00181A44">
        <w:rPr>
          <w:szCs w:val="24"/>
          <w:lang w:val="en-US"/>
        </w:rPr>
        <w:t xml:space="preserve">the validity of his or </w:t>
      </w:r>
      <w:r w:rsidR="0026336C" w:rsidRPr="00181A44">
        <w:rPr>
          <w:szCs w:val="24"/>
          <w:lang w:val="en-US"/>
        </w:rPr>
        <w:t>her</w:t>
      </w:r>
      <w:r w:rsidR="0042459E" w:rsidRPr="00181A44">
        <w:rPr>
          <w:szCs w:val="24"/>
          <w:lang w:val="en-US"/>
        </w:rPr>
        <w:t xml:space="preserve"> consent or refusal. Incapacity has indeed legal consequences, as law provides </w:t>
      </w:r>
      <w:r w:rsidR="0026336C" w:rsidRPr="00181A44">
        <w:rPr>
          <w:szCs w:val="24"/>
          <w:lang w:val="en-US"/>
        </w:rPr>
        <w:t xml:space="preserve">for the appointment of </w:t>
      </w:r>
      <w:r w:rsidR="0042459E" w:rsidRPr="00181A44">
        <w:rPr>
          <w:szCs w:val="24"/>
          <w:lang w:val="en-US"/>
        </w:rPr>
        <w:t xml:space="preserve">a surrogate decision-maker </w:t>
      </w:r>
      <w:r w:rsidR="00181A44">
        <w:rPr>
          <w:szCs w:val="24"/>
          <w:lang w:val="en-US"/>
        </w:rPr>
        <w:t xml:space="preserve">in case </w:t>
      </w:r>
      <w:r w:rsidR="0042459E" w:rsidRPr="00181A44">
        <w:rPr>
          <w:szCs w:val="24"/>
          <w:lang w:val="en-US"/>
        </w:rPr>
        <w:t>of incapacit</w:t>
      </w:r>
      <w:r w:rsidR="00181A44">
        <w:rPr>
          <w:szCs w:val="24"/>
          <w:lang w:val="en-US"/>
        </w:rPr>
        <w:t>y</w:t>
      </w:r>
      <w:r w:rsidR="0042459E" w:rsidRPr="00181A44">
        <w:rPr>
          <w:szCs w:val="24"/>
          <w:lang w:val="en-US"/>
        </w:rPr>
        <w:t xml:space="preserve">. </w:t>
      </w:r>
      <w:r w:rsidR="00DE3B16" w:rsidRPr="00181A44">
        <w:rPr>
          <w:szCs w:val="24"/>
          <w:lang w:val="en-US"/>
        </w:rPr>
        <w:t>With</w:t>
      </w:r>
      <w:r w:rsidR="0096169A" w:rsidRPr="00181A44">
        <w:rPr>
          <w:szCs w:val="24"/>
          <w:lang w:val="en-US"/>
        </w:rPr>
        <w:t xml:space="preserve"> </w:t>
      </w:r>
      <w:r w:rsidR="00EE3438" w:rsidRPr="00181A44">
        <w:rPr>
          <w:szCs w:val="24"/>
          <w:lang w:val="en-US"/>
        </w:rPr>
        <w:t>Belgian law</w:t>
      </w:r>
      <w:r w:rsidR="00DE3B16" w:rsidRPr="00181A44">
        <w:rPr>
          <w:szCs w:val="24"/>
          <w:lang w:val="en-US"/>
        </w:rPr>
        <w:t xml:space="preserve"> as a point of departure</w:t>
      </w:r>
      <w:r w:rsidR="0042459E" w:rsidRPr="00181A44">
        <w:rPr>
          <w:szCs w:val="24"/>
          <w:lang w:val="en-US"/>
        </w:rPr>
        <w:t xml:space="preserve">, this contribution </w:t>
      </w:r>
      <w:r w:rsidR="0026336C" w:rsidRPr="00181A44">
        <w:rPr>
          <w:szCs w:val="24"/>
          <w:lang w:val="en-US"/>
        </w:rPr>
        <w:t xml:space="preserve">is aiming at identifying </w:t>
      </w:r>
      <w:r w:rsidR="0042459E" w:rsidRPr="00181A44">
        <w:rPr>
          <w:szCs w:val="24"/>
          <w:lang w:val="en-US"/>
        </w:rPr>
        <w:t xml:space="preserve">the role of law in capacity assessment itself, </w:t>
      </w:r>
      <w:r w:rsidR="0026336C" w:rsidRPr="00181A44">
        <w:rPr>
          <w:szCs w:val="24"/>
          <w:lang w:val="en-US"/>
        </w:rPr>
        <w:t xml:space="preserve">prior to </w:t>
      </w:r>
      <w:r w:rsidR="0042459E" w:rsidRPr="00181A44">
        <w:rPr>
          <w:szCs w:val="24"/>
          <w:lang w:val="en-US"/>
        </w:rPr>
        <w:t>the decision about (in</w:t>
      </w:r>
      <w:proofErr w:type="gramStart"/>
      <w:r w:rsidR="0042459E" w:rsidRPr="00181A44">
        <w:rPr>
          <w:szCs w:val="24"/>
          <w:lang w:val="en-US"/>
        </w:rPr>
        <w:t>)capacity</w:t>
      </w:r>
      <w:proofErr w:type="gramEnd"/>
      <w:r w:rsidR="0042459E" w:rsidRPr="00181A44">
        <w:rPr>
          <w:szCs w:val="24"/>
          <w:lang w:val="en-US"/>
        </w:rPr>
        <w:t xml:space="preserve">. </w:t>
      </w:r>
    </w:p>
    <w:p w:rsidR="00FD1624" w:rsidRPr="00181A44" w:rsidRDefault="00FD1624" w:rsidP="00181A44">
      <w:pPr>
        <w:spacing w:line="240" w:lineRule="auto"/>
        <w:rPr>
          <w:szCs w:val="24"/>
          <w:lang w:val="en-US"/>
        </w:rPr>
      </w:pPr>
    </w:p>
    <w:p w:rsidR="0057716B" w:rsidRPr="00181A44" w:rsidRDefault="0042459E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In order to protect </w:t>
      </w:r>
      <w:r w:rsidR="00F964B6" w:rsidRPr="00181A44">
        <w:rPr>
          <w:szCs w:val="24"/>
          <w:lang w:val="en-US"/>
        </w:rPr>
        <w:t xml:space="preserve">the </w:t>
      </w:r>
      <w:r w:rsidRPr="00181A44">
        <w:rPr>
          <w:szCs w:val="24"/>
          <w:lang w:val="en-US"/>
        </w:rPr>
        <w:t xml:space="preserve">patient’s rights and to support </w:t>
      </w:r>
      <w:r w:rsidR="0096169A" w:rsidRPr="00181A44">
        <w:rPr>
          <w:szCs w:val="24"/>
          <w:lang w:val="en-US"/>
        </w:rPr>
        <w:t>the task</w:t>
      </w:r>
      <w:r w:rsidR="001D2103" w:rsidRPr="00181A44">
        <w:rPr>
          <w:szCs w:val="24"/>
          <w:lang w:val="en-US"/>
        </w:rPr>
        <w:t xml:space="preserve"> of those carrying out the assessment</w:t>
      </w:r>
      <w:r w:rsidRPr="00181A44">
        <w:rPr>
          <w:szCs w:val="24"/>
          <w:lang w:val="en-US"/>
        </w:rPr>
        <w:t>,</w:t>
      </w:r>
      <w:r w:rsidR="00FD1624" w:rsidRPr="00181A44">
        <w:rPr>
          <w:szCs w:val="24"/>
          <w:lang w:val="en-US"/>
        </w:rPr>
        <w:t xml:space="preserve"> law should provide for a global definition of decision-making capacity and for a </w:t>
      </w:r>
      <w:r w:rsidR="00F964B6" w:rsidRPr="00181A44">
        <w:rPr>
          <w:szCs w:val="24"/>
          <w:lang w:val="en-US"/>
        </w:rPr>
        <w:t>frame-</w:t>
      </w:r>
      <w:r w:rsidR="00FD1624" w:rsidRPr="00181A44">
        <w:rPr>
          <w:szCs w:val="24"/>
          <w:lang w:val="en-US"/>
        </w:rPr>
        <w:t>procedure</w:t>
      </w:r>
      <w:r w:rsidR="00B53363">
        <w:rPr>
          <w:szCs w:val="24"/>
          <w:lang w:val="en-US"/>
        </w:rPr>
        <w:t xml:space="preserve"> guiding</w:t>
      </w:r>
      <w:r w:rsidR="00FD1624" w:rsidRPr="00181A44">
        <w:rPr>
          <w:szCs w:val="24"/>
          <w:lang w:val="en-US"/>
        </w:rPr>
        <w:t xml:space="preserve"> </w:t>
      </w:r>
      <w:r w:rsidR="00F964B6" w:rsidRPr="00181A44">
        <w:rPr>
          <w:szCs w:val="24"/>
          <w:lang w:val="en-US"/>
        </w:rPr>
        <w:t>this</w:t>
      </w:r>
      <w:r w:rsidR="00FD1624" w:rsidRPr="00181A44">
        <w:rPr>
          <w:szCs w:val="24"/>
          <w:lang w:val="en-US"/>
        </w:rPr>
        <w:t xml:space="preserve"> assessment. </w:t>
      </w:r>
      <w:r w:rsidR="00B53363">
        <w:rPr>
          <w:szCs w:val="24"/>
          <w:lang w:val="en-US"/>
        </w:rPr>
        <w:t>In my opinion, it is</w:t>
      </w:r>
      <w:r w:rsidR="00FD1624" w:rsidRPr="00181A44">
        <w:rPr>
          <w:szCs w:val="24"/>
          <w:lang w:val="en-US"/>
        </w:rPr>
        <w:t xml:space="preserve"> possible for law to contribute to the complex task of capacity assessment without interfering embarrassingly with healthcare practice.</w:t>
      </w:r>
    </w:p>
    <w:p w:rsidR="001C1C42" w:rsidRPr="00181A44" w:rsidRDefault="001C1C42" w:rsidP="00181A44">
      <w:pPr>
        <w:spacing w:line="240" w:lineRule="auto"/>
        <w:rPr>
          <w:szCs w:val="24"/>
          <w:lang w:val="en-US"/>
        </w:rPr>
      </w:pPr>
    </w:p>
    <w:p w:rsidR="0057716B" w:rsidRPr="00181A44" w:rsidRDefault="0057716B" w:rsidP="00181A44">
      <w:pPr>
        <w:spacing w:line="240" w:lineRule="auto"/>
        <w:jc w:val="left"/>
        <w:rPr>
          <w:szCs w:val="24"/>
          <w:lang w:val="en-US"/>
        </w:rPr>
      </w:pPr>
    </w:p>
    <w:p w:rsidR="00FD1624" w:rsidRPr="00181A44" w:rsidRDefault="007261F3" w:rsidP="00181A44">
      <w:pPr>
        <w:spacing w:line="240" w:lineRule="auto"/>
        <w:jc w:val="left"/>
        <w:rPr>
          <w:b/>
          <w:szCs w:val="24"/>
          <w:lang w:val="en-US"/>
        </w:rPr>
      </w:pPr>
      <w:r w:rsidRPr="00181A44">
        <w:rPr>
          <w:b/>
          <w:szCs w:val="24"/>
          <w:lang w:val="en-US"/>
        </w:rPr>
        <w:t>Keywords</w:t>
      </w:r>
    </w:p>
    <w:p w:rsidR="00FA34B7" w:rsidRPr="00181A44" w:rsidRDefault="00FD1624" w:rsidP="00181A44">
      <w:pPr>
        <w:spacing w:line="240" w:lineRule="auto"/>
        <w:jc w:val="left"/>
        <w:rPr>
          <w:szCs w:val="24"/>
          <w:lang w:val="en-US"/>
        </w:rPr>
      </w:pPr>
      <w:proofErr w:type="gramStart"/>
      <w:r w:rsidRPr="00181A44">
        <w:rPr>
          <w:szCs w:val="24"/>
          <w:lang w:val="en-US"/>
        </w:rPr>
        <w:t>Decision-making capacity, mental disorder, capacity assessment, law, healthcare, surrogate, consent.</w:t>
      </w:r>
      <w:proofErr w:type="gramEnd"/>
    </w:p>
    <w:p w:rsidR="00FA34B7" w:rsidRDefault="00FA34B7" w:rsidP="00181A44">
      <w:pPr>
        <w:spacing w:line="240" w:lineRule="auto"/>
        <w:jc w:val="left"/>
        <w:rPr>
          <w:szCs w:val="24"/>
          <w:lang w:val="en-US"/>
        </w:rPr>
      </w:pPr>
    </w:p>
    <w:p w:rsidR="00185402" w:rsidRPr="00181A44" w:rsidRDefault="00185402" w:rsidP="00181A44">
      <w:pPr>
        <w:spacing w:line="240" w:lineRule="auto"/>
        <w:jc w:val="left"/>
        <w:rPr>
          <w:szCs w:val="24"/>
          <w:lang w:val="en-US"/>
        </w:rPr>
      </w:pPr>
    </w:p>
    <w:p w:rsidR="00185402" w:rsidRDefault="00185402">
      <w:pPr>
        <w:spacing w:after="200"/>
        <w:jc w:val="left"/>
        <w:rPr>
          <w:b/>
          <w:szCs w:val="24"/>
          <w:lang w:val="en-US"/>
        </w:rPr>
      </w:pPr>
      <w:r>
        <w:rPr>
          <w:b/>
          <w:szCs w:val="24"/>
          <w:lang w:val="en-US"/>
        </w:rPr>
        <w:br w:type="page"/>
      </w:r>
    </w:p>
    <w:p w:rsidR="007261F3" w:rsidRDefault="007261F3" w:rsidP="00181A44">
      <w:pPr>
        <w:spacing w:line="240" w:lineRule="auto"/>
        <w:jc w:val="left"/>
        <w:rPr>
          <w:b/>
          <w:szCs w:val="24"/>
          <w:lang w:val="en-US"/>
        </w:rPr>
      </w:pPr>
      <w:r w:rsidRPr="00181A44">
        <w:rPr>
          <w:b/>
          <w:szCs w:val="24"/>
          <w:lang w:val="en-US"/>
        </w:rPr>
        <w:lastRenderedPageBreak/>
        <w:t>Text</w:t>
      </w:r>
      <w:r w:rsidR="001E0C69">
        <w:rPr>
          <w:b/>
          <w:szCs w:val="24"/>
          <w:lang w:val="en-US"/>
        </w:rPr>
        <w:t xml:space="preserve"> </w:t>
      </w:r>
    </w:p>
    <w:p w:rsidR="001E0C69" w:rsidRDefault="001E0C69" w:rsidP="00181A44">
      <w:pPr>
        <w:spacing w:line="240" w:lineRule="auto"/>
        <w:jc w:val="left"/>
        <w:rPr>
          <w:b/>
          <w:szCs w:val="24"/>
          <w:lang w:val="en-US"/>
        </w:rPr>
      </w:pPr>
    </w:p>
    <w:p w:rsidR="001E0C69" w:rsidRPr="001E0C69" w:rsidRDefault="001E0C69" w:rsidP="001E0C69">
      <w:pPr>
        <w:spacing w:line="240" w:lineRule="auto"/>
        <w:jc w:val="left"/>
        <w:rPr>
          <w:b/>
          <w:szCs w:val="24"/>
          <w:lang w:val="en-US"/>
        </w:rPr>
      </w:pPr>
    </w:p>
    <w:p w:rsidR="002946E9" w:rsidRPr="00181A44" w:rsidRDefault="00FB259D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In </w:t>
      </w:r>
      <w:r w:rsidR="007E3B9F" w:rsidRPr="00181A44">
        <w:rPr>
          <w:szCs w:val="24"/>
          <w:lang w:val="en-US"/>
        </w:rPr>
        <w:t>daily healthcare</w:t>
      </w:r>
      <w:r w:rsidRPr="00181A44">
        <w:rPr>
          <w:szCs w:val="24"/>
          <w:lang w:val="en-US"/>
        </w:rPr>
        <w:t xml:space="preserve"> practice, there are numerous occasions where a health professional wonders whether the patient facing him understands what he is </w:t>
      </w:r>
      <w:r w:rsidR="00F964B6" w:rsidRPr="00181A44">
        <w:rPr>
          <w:szCs w:val="24"/>
          <w:lang w:val="en-US"/>
        </w:rPr>
        <w:t xml:space="preserve">being </w:t>
      </w:r>
      <w:r w:rsidRPr="00181A44">
        <w:rPr>
          <w:szCs w:val="24"/>
          <w:lang w:val="en-US"/>
        </w:rPr>
        <w:t xml:space="preserve">said or is able to balance the advantages and disadvantages of a </w:t>
      </w:r>
      <w:r w:rsidR="00CD3570" w:rsidRPr="00181A44">
        <w:rPr>
          <w:szCs w:val="24"/>
          <w:lang w:val="en-US"/>
        </w:rPr>
        <w:t>decis</w:t>
      </w:r>
      <w:r w:rsidRPr="00181A44">
        <w:rPr>
          <w:szCs w:val="24"/>
          <w:lang w:val="en-US"/>
        </w:rPr>
        <w:t>ion</w:t>
      </w:r>
      <w:r w:rsidR="00DD0E65" w:rsidRPr="00181A44">
        <w:rPr>
          <w:szCs w:val="24"/>
          <w:lang w:val="en-US"/>
        </w:rPr>
        <w:t>,</w:t>
      </w:r>
      <w:r w:rsidRPr="00181A44">
        <w:rPr>
          <w:szCs w:val="24"/>
          <w:lang w:val="en-US"/>
        </w:rPr>
        <w:t xml:space="preserve"> </w:t>
      </w:r>
      <w:r w:rsidR="00CD3570" w:rsidRPr="00181A44">
        <w:rPr>
          <w:szCs w:val="24"/>
          <w:lang w:val="en-US"/>
        </w:rPr>
        <w:t>rega</w:t>
      </w:r>
      <w:r w:rsidRPr="00181A44">
        <w:rPr>
          <w:szCs w:val="24"/>
          <w:lang w:val="en-US"/>
        </w:rPr>
        <w:t xml:space="preserve">rding his </w:t>
      </w:r>
      <w:r w:rsidR="001D2103" w:rsidRPr="00181A44">
        <w:rPr>
          <w:szCs w:val="24"/>
          <w:lang w:val="en-US"/>
        </w:rPr>
        <w:t xml:space="preserve">or her </w:t>
      </w:r>
      <w:r w:rsidRPr="00181A44">
        <w:rPr>
          <w:szCs w:val="24"/>
          <w:lang w:val="en-US"/>
        </w:rPr>
        <w:t xml:space="preserve">specific situation. </w:t>
      </w:r>
      <w:r w:rsidR="002946E9" w:rsidRPr="00181A44">
        <w:rPr>
          <w:szCs w:val="24"/>
          <w:lang w:val="en-US"/>
        </w:rPr>
        <w:t>If</w:t>
      </w:r>
      <w:r w:rsidR="00A41432" w:rsidRPr="00181A44">
        <w:rPr>
          <w:szCs w:val="24"/>
          <w:lang w:val="en-US"/>
        </w:rPr>
        <w:t xml:space="preserve"> this</w:t>
      </w:r>
      <w:r w:rsidR="002946E9" w:rsidRPr="00181A44">
        <w:rPr>
          <w:szCs w:val="24"/>
          <w:lang w:val="en-US"/>
        </w:rPr>
        <w:t xml:space="preserve"> is the result of misunderstanding of medical language or lack of knowledge about bodily functions, professional</w:t>
      </w:r>
      <w:r w:rsidR="004C315A" w:rsidRPr="00181A44">
        <w:rPr>
          <w:szCs w:val="24"/>
          <w:lang w:val="en-US"/>
        </w:rPr>
        <w:t>s</w:t>
      </w:r>
      <w:r w:rsidR="002946E9" w:rsidRPr="00181A44">
        <w:rPr>
          <w:szCs w:val="24"/>
          <w:lang w:val="en-US"/>
        </w:rPr>
        <w:t xml:space="preserve"> can help patient</w:t>
      </w:r>
      <w:r w:rsidR="004C315A" w:rsidRPr="00181A44">
        <w:rPr>
          <w:szCs w:val="24"/>
          <w:lang w:val="en-US"/>
        </w:rPr>
        <w:t>s</w:t>
      </w:r>
      <w:r w:rsidR="002946E9" w:rsidRPr="00181A44">
        <w:rPr>
          <w:szCs w:val="24"/>
          <w:lang w:val="en-US"/>
        </w:rPr>
        <w:t xml:space="preserve"> to improve </w:t>
      </w:r>
      <w:r w:rsidR="004C315A" w:rsidRPr="00181A44">
        <w:rPr>
          <w:szCs w:val="24"/>
          <w:lang w:val="en-US"/>
        </w:rPr>
        <w:t xml:space="preserve">their </w:t>
      </w:r>
      <w:r w:rsidR="002946E9" w:rsidRPr="00181A44">
        <w:rPr>
          <w:szCs w:val="24"/>
          <w:lang w:val="en-US"/>
        </w:rPr>
        <w:t>understanding</w:t>
      </w:r>
      <w:r w:rsidR="00A41432" w:rsidRPr="00181A44">
        <w:rPr>
          <w:szCs w:val="24"/>
          <w:lang w:val="en-US"/>
        </w:rPr>
        <w:t xml:space="preserve"> of </w:t>
      </w:r>
      <w:r w:rsidR="004C315A" w:rsidRPr="00181A44">
        <w:rPr>
          <w:szCs w:val="24"/>
          <w:lang w:val="en-US"/>
        </w:rPr>
        <w:t>their</w:t>
      </w:r>
      <w:r w:rsidR="00A41432" w:rsidRPr="00181A44">
        <w:rPr>
          <w:szCs w:val="24"/>
          <w:lang w:val="en-US"/>
        </w:rPr>
        <w:t xml:space="preserve"> own medical situation</w:t>
      </w:r>
      <w:r w:rsidR="00A335BE">
        <w:rPr>
          <w:szCs w:val="24"/>
          <w:lang w:val="en-US"/>
        </w:rPr>
        <w:t>.</w:t>
      </w:r>
      <w:r w:rsidR="00A41432" w:rsidRPr="00181A44">
        <w:rPr>
          <w:rStyle w:val="Appelnotedebasdep"/>
          <w:szCs w:val="24"/>
          <w:lang w:val="en-US"/>
        </w:rPr>
        <w:footnoteReference w:id="1"/>
      </w:r>
    </w:p>
    <w:p w:rsidR="00FB259D" w:rsidRPr="00181A44" w:rsidRDefault="00FB259D" w:rsidP="00181A44">
      <w:pPr>
        <w:spacing w:line="240" w:lineRule="auto"/>
        <w:rPr>
          <w:szCs w:val="24"/>
          <w:lang w:val="en-US"/>
        </w:rPr>
      </w:pPr>
    </w:p>
    <w:p w:rsidR="00FB259D" w:rsidRPr="00181A44" w:rsidRDefault="00BF57E2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If,</w:t>
      </w:r>
      <w:r w:rsidR="00AF28C6" w:rsidRPr="00181A44">
        <w:rPr>
          <w:szCs w:val="24"/>
          <w:lang w:val="en-US"/>
        </w:rPr>
        <w:t xml:space="preserve"> despite </w:t>
      </w:r>
      <w:r w:rsidR="002946E9" w:rsidRPr="00181A44">
        <w:rPr>
          <w:szCs w:val="24"/>
          <w:lang w:val="en-US"/>
        </w:rPr>
        <w:t>repeated explanations and thorough efforts to make information accessible</w:t>
      </w:r>
      <w:r w:rsidR="00AF28C6" w:rsidRPr="00181A44">
        <w:rPr>
          <w:szCs w:val="24"/>
          <w:lang w:val="en-US"/>
        </w:rPr>
        <w:t xml:space="preserve">, a doubt </w:t>
      </w:r>
      <w:r w:rsidRPr="00181A44">
        <w:rPr>
          <w:szCs w:val="24"/>
          <w:lang w:val="en-US"/>
        </w:rPr>
        <w:t xml:space="preserve">nevertheless </w:t>
      </w:r>
      <w:r w:rsidR="00AF28C6" w:rsidRPr="00181A44">
        <w:rPr>
          <w:szCs w:val="24"/>
          <w:lang w:val="en-US"/>
        </w:rPr>
        <w:t xml:space="preserve">remains about the possibility for </w:t>
      </w:r>
      <w:r w:rsidR="004C315A" w:rsidRPr="00181A44">
        <w:rPr>
          <w:szCs w:val="24"/>
          <w:lang w:val="en-US"/>
        </w:rPr>
        <w:t>a</w:t>
      </w:r>
      <w:r w:rsidR="00AF28C6" w:rsidRPr="00181A44">
        <w:rPr>
          <w:szCs w:val="24"/>
          <w:lang w:val="en-US"/>
        </w:rPr>
        <w:t xml:space="preserve"> patient to deal with the relevant information, then the question may arise whether this patient has </w:t>
      </w:r>
      <w:r w:rsidR="00AF28C6" w:rsidRPr="00181A44">
        <w:rPr>
          <w:i/>
          <w:szCs w:val="24"/>
          <w:lang w:val="en-US"/>
        </w:rPr>
        <w:t>decision-making capacity</w:t>
      </w:r>
      <w:r w:rsidR="00AF28C6" w:rsidRPr="00181A44">
        <w:rPr>
          <w:szCs w:val="24"/>
          <w:lang w:val="en-US"/>
        </w:rPr>
        <w:t>.</w:t>
      </w:r>
    </w:p>
    <w:p w:rsidR="00DE3B16" w:rsidRPr="00181A44" w:rsidRDefault="00DE3B16" w:rsidP="00181A44">
      <w:pPr>
        <w:spacing w:line="240" w:lineRule="auto"/>
        <w:rPr>
          <w:szCs w:val="24"/>
          <w:lang w:val="en-US"/>
        </w:rPr>
      </w:pPr>
    </w:p>
    <w:p w:rsidR="00185402" w:rsidRDefault="00DE3B16" w:rsidP="00185402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With Belgian law as a point of departure</w:t>
      </w:r>
      <w:r w:rsidR="007E3B9F" w:rsidRPr="00181A44">
        <w:rPr>
          <w:szCs w:val="24"/>
          <w:lang w:val="en-US"/>
        </w:rPr>
        <w:t>, the</w:t>
      </w:r>
      <w:r w:rsidR="00B565E3" w:rsidRPr="00181A44">
        <w:rPr>
          <w:szCs w:val="24"/>
          <w:lang w:val="en-US"/>
        </w:rPr>
        <w:t xml:space="preserve"> present contribution </w:t>
      </w:r>
      <w:r w:rsidR="007E16F1" w:rsidRPr="00181A44">
        <w:rPr>
          <w:szCs w:val="24"/>
          <w:lang w:val="en-US"/>
        </w:rPr>
        <w:t xml:space="preserve">is aiming </w:t>
      </w:r>
      <w:r w:rsidR="00F964B6" w:rsidRPr="00181A44">
        <w:rPr>
          <w:szCs w:val="24"/>
          <w:lang w:val="en-US"/>
        </w:rPr>
        <w:t xml:space="preserve">at analyzing </w:t>
      </w:r>
      <w:r w:rsidR="00B511E7" w:rsidRPr="00181A44">
        <w:rPr>
          <w:szCs w:val="24"/>
          <w:lang w:val="en-US"/>
        </w:rPr>
        <w:t>the role of law in the assessm</w:t>
      </w:r>
      <w:r w:rsidR="0097391A" w:rsidRPr="00181A44">
        <w:rPr>
          <w:szCs w:val="24"/>
          <w:lang w:val="en-US"/>
        </w:rPr>
        <w:t>ent of decision-making capacity, particularly</w:t>
      </w:r>
      <w:r w:rsidR="007E16F1" w:rsidRPr="00181A44">
        <w:rPr>
          <w:szCs w:val="24"/>
          <w:lang w:val="en-US"/>
        </w:rPr>
        <w:t xml:space="preserve"> </w:t>
      </w:r>
      <w:r w:rsidRPr="00181A44">
        <w:rPr>
          <w:szCs w:val="24"/>
          <w:lang w:val="en-US"/>
        </w:rPr>
        <w:t>for</w:t>
      </w:r>
      <w:r w:rsidR="0097391A" w:rsidRPr="00181A44">
        <w:rPr>
          <w:szCs w:val="24"/>
          <w:lang w:val="en-US"/>
        </w:rPr>
        <w:t xml:space="preserve"> patients with a mental disorder. The terms “mental disorder” are here used in a broad sense and cover mental illness as w</w:t>
      </w:r>
      <w:r w:rsidR="008F6F69" w:rsidRPr="00181A44">
        <w:rPr>
          <w:szCs w:val="24"/>
          <w:lang w:val="en-US"/>
        </w:rPr>
        <w:t>ell as intellectual disability or dementia.</w:t>
      </w:r>
    </w:p>
    <w:p w:rsidR="00185402" w:rsidRPr="001E0C69" w:rsidRDefault="00185402" w:rsidP="00185402">
      <w:pPr>
        <w:spacing w:line="240" w:lineRule="auto"/>
        <w:rPr>
          <w:b/>
          <w:szCs w:val="24"/>
          <w:lang w:val="en-US"/>
        </w:rPr>
      </w:pPr>
    </w:p>
    <w:p w:rsidR="00185402" w:rsidRPr="001E0C69" w:rsidRDefault="00185402" w:rsidP="00185402">
      <w:pPr>
        <w:spacing w:line="240" w:lineRule="auto"/>
        <w:rPr>
          <w:b/>
          <w:szCs w:val="24"/>
          <w:lang w:val="en-US"/>
        </w:rPr>
      </w:pPr>
    </w:p>
    <w:p w:rsidR="00FA34B7" w:rsidRPr="001E0C69" w:rsidRDefault="0001666C" w:rsidP="001E0C69">
      <w:pPr>
        <w:pStyle w:val="Paragraphedeliste"/>
        <w:numPr>
          <w:ilvl w:val="0"/>
          <w:numId w:val="12"/>
        </w:numPr>
        <w:spacing w:line="240" w:lineRule="auto"/>
        <w:rPr>
          <w:szCs w:val="24"/>
          <w:lang w:val="en-US"/>
        </w:rPr>
      </w:pPr>
      <w:r w:rsidRPr="001E0C69">
        <w:rPr>
          <w:b/>
          <w:szCs w:val="24"/>
          <w:lang w:val="en-US"/>
        </w:rPr>
        <w:t>Capacity is the (unclear) rule…</w:t>
      </w:r>
    </w:p>
    <w:p w:rsidR="001E0C69" w:rsidRPr="001E0C69" w:rsidRDefault="001E0C69" w:rsidP="001E0C69">
      <w:pPr>
        <w:spacing w:line="240" w:lineRule="auto"/>
        <w:rPr>
          <w:szCs w:val="24"/>
          <w:lang w:val="en-US"/>
        </w:rPr>
      </w:pPr>
    </w:p>
    <w:p w:rsidR="00DA334A" w:rsidRPr="00181A44" w:rsidRDefault="00CD6E97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According to a</w:t>
      </w:r>
      <w:r w:rsidR="00B511E7" w:rsidRPr="00181A44">
        <w:rPr>
          <w:szCs w:val="24"/>
          <w:lang w:val="en-US"/>
        </w:rPr>
        <w:t xml:space="preserve"> </w:t>
      </w:r>
      <w:r w:rsidR="007E47D4" w:rsidRPr="00181A44">
        <w:rPr>
          <w:szCs w:val="24"/>
          <w:lang w:val="en-US"/>
        </w:rPr>
        <w:t>generally</w:t>
      </w:r>
      <w:r w:rsidR="00B511E7" w:rsidRPr="00181A44">
        <w:rPr>
          <w:szCs w:val="24"/>
          <w:lang w:val="en-US"/>
        </w:rPr>
        <w:t xml:space="preserve"> accepted principle</w:t>
      </w:r>
      <w:r w:rsidRPr="00181A44">
        <w:rPr>
          <w:szCs w:val="24"/>
          <w:lang w:val="en-US"/>
        </w:rPr>
        <w:t>,</w:t>
      </w:r>
      <w:r w:rsidR="00DA334A" w:rsidRPr="00181A44">
        <w:rPr>
          <w:szCs w:val="24"/>
          <w:lang w:val="en-US"/>
        </w:rPr>
        <w:t xml:space="preserve"> </w:t>
      </w:r>
      <w:r w:rsidR="00DA334A" w:rsidRPr="00181A44">
        <w:rPr>
          <w:i/>
          <w:szCs w:val="24"/>
          <w:lang w:val="en-US"/>
        </w:rPr>
        <w:t>capacity is the rule</w:t>
      </w:r>
      <w:r w:rsidR="00DD0E65" w:rsidRPr="00181A44">
        <w:rPr>
          <w:i/>
          <w:szCs w:val="24"/>
          <w:lang w:val="en-US"/>
        </w:rPr>
        <w:t xml:space="preserve"> and </w:t>
      </w:r>
      <w:r w:rsidR="00DA334A" w:rsidRPr="00181A44">
        <w:rPr>
          <w:i/>
          <w:szCs w:val="24"/>
          <w:lang w:val="en-US"/>
        </w:rPr>
        <w:t xml:space="preserve">incapacity </w:t>
      </w:r>
      <w:r w:rsidR="00DD0E65" w:rsidRPr="00181A44">
        <w:rPr>
          <w:i/>
          <w:szCs w:val="24"/>
          <w:lang w:val="en-US"/>
        </w:rPr>
        <w:t xml:space="preserve">is </w:t>
      </w:r>
      <w:r w:rsidR="00DA334A" w:rsidRPr="00181A44">
        <w:rPr>
          <w:i/>
          <w:szCs w:val="24"/>
          <w:lang w:val="en-US"/>
        </w:rPr>
        <w:t>the exception</w:t>
      </w:r>
      <w:r w:rsidR="00DA334A" w:rsidRPr="00181A44">
        <w:rPr>
          <w:szCs w:val="24"/>
          <w:lang w:val="en-US"/>
        </w:rPr>
        <w:t xml:space="preserve">. It means that every adult is presumed </w:t>
      </w:r>
      <w:r w:rsidRPr="00181A44">
        <w:rPr>
          <w:szCs w:val="24"/>
          <w:lang w:val="en-US"/>
        </w:rPr>
        <w:t xml:space="preserve">to be endowed with </w:t>
      </w:r>
      <w:r w:rsidR="00DA334A" w:rsidRPr="00181A44">
        <w:rPr>
          <w:szCs w:val="24"/>
          <w:lang w:val="en-US"/>
        </w:rPr>
        <w:t>capacity</w:t>
      </w:r>
      <w:r w:rsidR="00A335BE">
        <w:rPr>
          <w:szCs w:val="24"/>
          <w:lang w:val="en-US"/>
        </w:rPr>
        <w:t>,</w:t>
      </w:r>
      <w:r w:rsidR="003C5AA0" w:rsidRPr="00181A44">
        <w:rPr>
          <w:rStyle w:val="Appelnotedebasdep"/>
          <w:szCs w:val="24"/>
          <w:lang w:val="en-US"/>
        </w:rPr>
        <w:footnoteReference w:id="2"/>
      </w:r>
      <w:r w:rsidR="00DA334A" w:rsidRPr="00181A44">
        <w:rPr>
          <w:szCs w:val="24"/>
          <w:lang w:val="en-US"/>
        </w:rPr>
        <w:t xml:space="preserve"> whatever his</w:t>
      </w:r>
      <w:r w:rsidR="001D2103" w:rsidRPr="00181A44">
        <w:rPr>
          <w:szCs w:val="24"/>
          <w:lang w:val="en-US"/>
        </w:rPr>
        <w:t xml:space="preserve"> or </w:t>
      </w:r>
      <w:r w:rsidRPr="00181A44">
        <w:rPr>
          <w:szCs w:val="24"/>
          <w:lang w:val="en-US"/>
        </w:rPr>
        <w:t>her</w:t>
      </w:r>
      <w:r w:rsidR="00DA334A" w:rsidRPr="00181A44">
        <w:rPr>
          <w:szCs w:val="24"/>
          <w:lang w:val="en-US"/>
        </w:rPr>
        <w:t xml:space="preserve"> medical situation. What matters is not a </w:t>
      </w:r>
      <w:r w:rsidR="00AA6904" w:rsidRPr="00181A44">
        <w:rPr>
          <w:szCs w:val="24"/>
          <w:lang w:val="en-US"/>
        </w:rPr>
        <w:t>diagnosis</w:t>
      </w:r>
      <w:r w:rsidR="00B83B61" w:rsidRPr="00181A44">
        <w:rPr>
          <w:szCs w:val="24"/>
          <w:lang w:val="en-US"/>
        </w:rPr>
        <w:t xml:space="preserve"> but</w:t>
      </w:r>
      <w:r w:rsidR="00DA334A" w:rsidRPr="00181A44">
        <w:rPr>
          <w:szCs w:val="24"/>
          <w:lang w:val="en-US"/>
        </w:rPr>
        <w:t xml:space="preserve"> the ability of the patient to make and co</w:t>
      </w:r>
      <w:r w:rsidRPr="00181A44">
        <w:rPr>
          <w:szCs w:val="24"/>
          <w:lang w:val="en-US"/>
        </w:rPr>
        <w:t xml:space="preserve">nvey </w:t>
      </w:r>
      <w:r w:rsidR="00DA334A" w:rsidRPr="00181A44">
        <w:rPr>
          <w:szCs w:val="24"/>
          <w:lang w:val="en-US"/>
        </w:rPr>
        <w:t xml:space="preserve">a decision about a </w:t>
      </w:r>
      <w:r w:rsidR="00DE3B16" w:rsidRPr="00181A44">
        <w:rPr>
          <w:szCs w:val="24"/>
          <w:lang w:val="en-US"/>
        </w:rPr>
        <w:t>certain</w:t>
      </w:r>
      <w:r w:rsidR="00DA334A" w:rsidRPr="00181A44">
        <w:rPr>
          <w:szCs w:val="24"/>
          <w:lang w:val="en-US"/>
        </w:rPr>
        <w:t xml:space="preserve"> matter at a </w:t>
      </w:r>
      <w:r w:rsidR="00DE3B16" w:rsidRPr="00181A44">
        <w:rPr>
          <w:szCs w:val="24"/>
          <w:lang w:val="en-US"/>
        </w:rPr>
        <w:t>certain</w:t>
      </w:r>
      <w:r w:rsidR="00DA334A" w:rsidRPr="00181A44">
        <w:rPr>
          <w:szCs w:val="24"/>
          <w:lang w:val="en-US"/>
        </w:rPr>
        <w:t xml:space="preserve"> </w:t>
      </w:r>
      <w:r w:rsidR="00DE3B16" w:rsidRPr="00181A44">
        <w:rPr>
          <w:szCs w:val="24"/>
          <w:lang w:val="en-US"/>
        </w:rPr>
        <w:t>moment</w:t>
      </w:r>
      <w:r w:rsidR="00DA334A" w:rsidRPr="00181A44">
        <w:rPr>
          <w:szCs w:val="24"/>
          <w:lang w:val="en-US"/>
        </w:rPr>
        <w:t>.</w:t>
      </w:r>
      <w:r w:rsidR="00DE3B16" w:rsidRPr="00181A44">
        <w:rPr>
          <w:szCs w:val="24"/>
          <w:lang w:val="en-US"/>
        </w:rPr>
        <w:t xml:space="preserve"> As a consequence</w:t>
      </w:r>
      <w:r w:rsidR="00DA334A" w:rsidRPr="00181A44">
        <w:rPr>
          <w:szCs w:val="24"/>
          <w:lang w:val="en-US"/>
        </w:rPr>
        <w:t xml:space="preserve">, living with a mental disorder, like </w:t>
      </w:r>
      <w:r w:rsidR="007F106F" w:rsidRPr="00181A44">
        <w:rPr>
          <w:szCs w:val="24"/>
          <w:lang w:val="en-US"/>
        </w:rPr>
        <w:t xml:space="preserve">Alzheimer disease or </w:t>
      </w:r>
      <w:r w:rsidR="00DA334A" w:rsidRPr="00181A44">
        <w:rPr>
          <w:szCs w:val="24"/>
          <w:lang w:val="en-US"/>
        </w:rPr>
        <w:t>a psychiatric illness, does not necessarily mean that the patient has lost decision-making capacity</w:t>
      </w:r>
      <w:r w:rsidR="00A335BE">
        <w:rPr>
          <w:szCs w:val="24"/>
          <w:lang w:val="en-US"/>
        </w:rPr>
        <w:t>.</w:t>
      </w:r>
      <w:r w:rsidR="00AE384D" w:rsidRPr="00181A44">
        <w:rPr>
          <w:rStyle w:val="Appelnotedebasdep"/>
          <w:szCs w:val="24"/>
          <w:lang w:val="en-US"/>
        </w:rPr>
        <w:footnoteReference w:id="3"/>
      </w:r>
      <w:r w:rsidR="007F106F" w:rsidRPr="00181A44">
        <w:rPr>
          <w:szCs w:val="24"/>
          <w:lang w:val="en-US"/>
        </w:rPr>
        <w:t xml:space="preserve"> Capacity</w:t>
      </w:r>
      <w:r w:rsidR="00DA334A" w:rsidRPr="00181A44">
        <w:rPr>
          <w:szCs w:val="24"/>
          <w:lang w:val="en-US"/>
        </w:rPr>
        <w:t xml:space="preserve"> </w:t>
      </w:r>
      <w:r w:rsidR="007F106F" w:rsidRPr="00181A44">
        <w:rPr>
          <w:szCs w:val="24"/>
          <w:lang w:val="en-US"/>
        </w:rPr>
        <w:t>depends on</w:t>
      </w:r>
      <w:r w:rsidR="00DA334A" w:rsidRPr="00181A44">
        <w:rPr>
          <w:szCs w:val="24"/>
          <w:lang w:val="en-US"/>
        </w:rPr>
        <w:t xml:space="preserve"> </w:t>
      </w:r>
      <w:r w:rsidR="00804269" w:rsidRPr="00181A44">
        <w:rPr>
          <w:szCs w:val="24"/>
          <w:lang w:val="en-US"/>
        </w:rPr>
        <w:t xml:space="preserve">the patient’s real </w:t>
      </w:r>
      <w:r w:rsidR="00DA334A" w:rsidRPr="00181A44">
        <w:rPr>
          <w:szCs w:val="24"/>
          <w:lang w:val="en-US"/>
        </w:rPr>
        <w:t xml:space="preserve">abilities </w:t>
      </w:r>
      <w:r w:rsidR="009E2454" w:rsidRPr="00181A44">
        <w:rPr>
          <w:szCs w:val="24"/>
          <w:lang w:val="en-US"/>
        </w:rPr>
        <w:t>at the moment a decision must be made</w:t>
      </w:r>
      <w:r w:rsidR="00A335BE">
        <w:rPr>
          <w:szCs w:val="24"/>
          <w:lang w:val="en-US"/>
        </w:rPr>
        <w:t>.</w:t>
      </w:r>
      <w:r w:rsidR="00E3721D" w:rsidRPr="00181A44">
        <w:rPr>
          <w:rStyle w:val="Appelnotedebasdep"/>
          <w:szCs w:val="24"/>
          <w:lang w:val="en-US"/>
        </w:rPr>
        <w:footnoteReference w:id="4"/>
      </w:r>
      <w:r w:rsidR="00480496" w:rsidRPr="00181A44">
        <w:rPr>
          <w:szCs w:val="24"/>
          <w:lang w:val="en-US"/>
        </w:rPr>
        <w:t xml:space="preserve"> </w:t>
      </w:r>
    </w:p>
    <w:p w:rsidR="007F106F" w:rsidRPr="00181A44" w:rsidRDefault="007F106F" w:rsidP="00181A44">
      <w:pPr>
        <w:spacing w:line="240" w:lineRule="auto"/>
        <w:rPr>
          <w:szCs w:val="24"/>
          <w:lang w:val="en-US"/>
        </w:rPr>
      </w:pPr>
    </w:p>
    <w:p w:rsidR="00DA334A" w:rsidRPr="00181A44" w:rsidRDefault="00B511E7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lastRenderedPageBreak/>
        <w:t xml:space="preserve">The </w:t>
      </w:r>
      <w:r w:rsidR="00DA334A" w:rsidRPr="00181A44">
        <w:rPr>
          <w:szCs w:val="24"/>
          <w:lang w:val="en-US"/>
        </w:rPr>
        <w:t>manifestation of a mental disorder can</w:t>
      </w:r>
      <w:r w:rsidRPr="00181A44">
        <w:rPr>
          <w:szCs w:val="24"/>
          <w:lang w:val="en-US"/>
        </w:rPr>
        <w:t xml:space="preserve"> nevertheless</w:t>
      </w:r>
      <w:r w:rsidR="00DA334A" w:rsidRPr="00181A44">
        <w:rPr>
          <w:szCs w:val="24"/>
          <w:lang w:val="en-US"/>
        </w:rPr>
        <w:t xml:space="preserve"> infer doubts about capacity</w:t>
      </w:r>
      <w:r w:rsidR="00AF28C6" w:rsidRPr="00181A44">
        <w:rPr>
          <w:szCs w:val="24"/>
          <w:lang w:val="en-US"/>
        </w:rPr>
        <w:t xml:space="preserve"> </w:t>
      </w:r>
      <w:r w:rsidR="00DA334A" w:rsidRPr="00181A44">
        <w:rPr>
          <w:szCs w:val="24"/>
          <w:lang w:val="en-US"/>
        </w:rPr>
        <w:t>and make it necessary for the health profession</w:t>
      </w:r>
      <w:r w:rsidR="007F106F" w:rsidRPr="00181A44">
        <w:rPr>
          <w:szCs w:val="24"/>
          <w:lang w:val="en-US"/>
        </w:rPr>
        <w:t xml:space="preserve">al to assess </w:t>
      </w:r>
      <w:r w:rsidR="00D343A2" w:rsidRPr="00181A44">
        <w:rPr>
          <w:szCs w:val="24"/>
          <w:lang w:val="en-US"/>
        </w:rPr>
        <w:t xml:space="preserve">the </w:t>
      </w:r>
      <w:r w:rsidR="007F106F" w:rsidRPr="00181A44">
        <w:rPr>
          <w:szCs w:val="24"/>
          <w:lang w:val="en-US"/>
        </w:rPr>
        <w:t>patient’s capacity. The purpose of such an assessment is</w:t>
      </w:r>
      <w:r w:rsidR="00DA334A" w:rsidRPr="00181A44">
        <w:rPr>
          <w:szCs w:val="24"/>
          <w:lang w:val="en-US"/>
        </w:rPr>
        <w:t xml:space="preserve"> to determine </w:t>
      </w:r>
      <w:r w:rsidR="007F106F" w:rsidRPr="00181A44">
        <w:rPr>
          <w:szCs w:val="24"/>
          <w:lang w:val="en-US"/>
        </w:rPr>
        <w:t xml:space="preserve">whether </w:t>
      </w:r>
      <w:r w:rsidR="00DA334A" w:rsidRPr="00181A44">
        <w:rPr>
          <w:szCs w:val="24"/>
          <w:lang w:val="en-US"/>
        </w:rPr>
        <w:t xml:space="preserve">the patient can </w:t>
      </w:r>
      <w:r w:rsidR="007F106F" w:rsidRPr="00181A44">
        <w:rPr>
          <w:szCs w:val="24"/>
          <w:lang w:val="en-US"/>
        </w:rPr>
        <w:t>make a decision for</w:t>
      </w:r>
      <w:r w:rsidR="00DA334A" w:rsidRPr="00181A44">
        <w:rPr>
          <w:szCs w:val="24"/>
          <w:lang w:val="en-US"/>
        </w:rPr>
        <w:t xml:space="preserve"> him</w:t>
      </w:r>
      <w:r w:rsidR="004C315A" w:rsidRPr="00181A44">
        <w:rPr>
          <w:szCs w:val="24"/>
          <w:lang w:val="en-US"/>
        </w:rPr>
        <w:t>- or her</w:t>
      </w:r>
      <w:r w:rsidR="00DA334A" w:rsidRPr="00181A44">
        <w:rPr>
          <w:szCs w:val="24"/>
          <w:lang w:val="en-US"/>
        </w:rPr>
        <w:t xml:space="preserve">self or </w:t>
      </w:r>
      <w:r w:rsidR="007F106F" w:rsidRPr="00181A44">
        <w:rPr>
          <w:szCs w:val="24"/>
          <w:lang w:val="en-US"/>
        </w:rPr>
        <w:t>whether</w:t>
      </w:r>
      <w:r w:rsidR="00DA334A" w:rsidRPr="00181A44">
        <w:rPr>
          <w:szCs w:val="24"/>
          <w:lang w:val="en-US"/>
        </w:rPr>
        <w:t xml:space="preserve"> a surrogate</w:t>
      </w:r>
      <w:r w:rsidRPr="00181A44">
        <w:rPr>
          <w:szCs w:val="24"/>
          <w:lang w:val="en-US"/>
        </w:rPr>
        <w:t xml:space="preserve"> decision-maker must be </w:t>
      </w:r>
      <w:r w:rsidR="00036AA0" w:rsidRPr="00181A44">
        <w:rPr>
          <w:szCs w:val="24"/>
          <w:lang w:val="en-US"/>
        </w:rPr>
        <w:t>appointed</w:t>
      </w:r>
      <w:r w:rsidRPr="00181A44">
        <w:rPr>
          <w:szCs w:val="24"/>
          <w:lang w:val="en-US"/>
        </w:rPr>
        <w:t>. Investigating decision-making capacity of a patient is not a rare task in medical practice…</w:t>
      </w:r>
      <w:r w:rsidR="00121966" w:rsidRPr="00181A44">
        <w:rPr>
          <w:szCs w:val="24"/>
          <w:lang w:val="en-US"/>
        </w:rPr>
        <w:t>But is it only a matter of clinical practice, or does law have a part to play here?</w:t>
      </w:r>
    </w:p>
    <w:p w:rsidR="00E62A5D" w:rsidRPr="00181A44" w:rsidRDefault="00E62A5D" w:rsidP="00181A44">
      <w:pPr>
        <w:spacing w:line="240" w:lineRule="auto"/>
        <w:rPr>
          <w:szCs w:val="24"/>
          <w:lang w:val="en-US"/>
        </w:rPr>
      </w:pPr>
    </w:p>
    <w:p w:rsidR="0018476B" w:rsidRPr="00181A44" w:rsidRDefault="00121966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I</w:t>
      </w:r>
      <w:r w:rsidR="00E62A5D" w:rsidRPr="00181A44">
        <w:rPr>
          <w:szCs w:val="24"/>
          <w:lang w:val="en-US"/>
        </w:rPr>
        <w:t xml:space="preserve"> </w:t>
      </w:r>
      <w:r w:rsidR="00B511E7" w:rsidRPr="00181A44">
        <w:rPr>
          <w:szCs w:val="24"/>
          <w:lang w:val="en-US"/>
        </w:rPr>
        <w:t>think it does</w:t>
      </w:r>
      <w:r w:rsidR="0018476B" w:rsidRPr="00181A44">
        <w:rPr>
          <w:szCs w:val="24"/>
          <w:lang w:val="en-US"/>
        </w:rPr>
        <w:t xml:space="preserve"> and that</w:t>
      </w:r>
      <w:r w:rsidR="00C87A61" w:rsidRPr="00181A44">
        <w:rPr>
          <w:szCs w:val="24"/>
          <w:lang w:val="en-US"/>
        </w:rPr>
        <w:t xml:space="preserve"> Belgian law</w:t>
      </w:r>
      <w:r w:rsidR="0018476B" w:rsidRPr="00181A44">
        <w:rPr>
          <w:szCs w:val="24"/>
          <w:lang w:val="en-US"/>
        </w:rPr>
        <w:t xml:space="preserve"> unfortunately </w:t>
      </w:r>
      <w:r w:rsidR="00DD0E65" w:rsidRPr="00181A44">
        <w:rPr>
          <w:szCs w:val="24"/>
          <w:lang w:val="en-US"/>
        </w:rPr>
        <w:t>fails to</w:t>
      </w:r>
      <w:r w:rsidR="0018476B" w:rsidRPr="00181A44">
        <w:rPr>
          <w:szCs w:val="24"/>
          <w:lang w:val="en-US"/>
        </w:rPr>
        <w:t xml:space="preserve"> </w:t>
      </w:r>
      <w:r w:rsidR="00D343A2" w:rsidRPr="00181A44">
        <w:rPr>
          <w:szCs w:val="24"/>
          <w:lang w:val="en-US"/>
        </w:rPr>
        <w:t xml:space="preserve">take on </w:t>
      </w:r>
      <w:r w:rsidR="00DD0E65" w:rsidRPr="00181A44">
        <w:rPr>
          <w:szCs w:val="24"/>
          <w:lang w:val="en-US"/>
        </w:rPr>
        <w:t>t</w:t>
      </w:r>
      <w:r w:rsidR="0018476B" w:rsidRPr="00181A44">
        <w:rPr>
          <w:szCs w:val="24"/>
          <w:lang w:val="en-US"/>
        </w:rPr>
        <w:t>his part satisfactorily.</w:t>
      </w:r>
      <w:r w:rsidR="00B94EC3" w:rsidRPr="00181A44">
        <w:rPr>
          <w:szCs w:val="24"/>
          <w:lang w:val="en-US"/>
        </w:rPr>
        <w:t xml:space="preserve"> </w:t>
      </w:r>
    </w:p>
    <w:p w:rsidR="0018476B" w:rsidRPr="00181A44" w:rsidRDefault="0018476B" w:rsidP="00181A44">
      <w:pPr>
        <w:spacing w:line="240" w:lineRule="auto"/>
        <w:rPr>
          <w:szCs w:val="24"/>
          <w:lang w:val="en-US"/>
        </w:rPr>
      </w:pPr>
    </w:p>
    <w:p w:rsidR="00C12355" w:rsidRPr="00181A44" w:rsidRDefault="00D343A2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The </w:t>
      </w:r>
      <w:r w:rsidR="004573AE" w:rsidRPr="00181A44">
        <w:rPr>
          <w:szCs w:val="24"/>
          <w:lang w:val="en-US"/>
        </w:rPr>
        <w:t xml:space="preserve">Belgian Patient’s Rights Act only deals with the consequences of incapacity: </w:t>
      </w:r>
      <w:r w:rsidR="004573AE" w:rsidRPr="00181A44">
        <w:rPr>
          <w:i/>
          <w:szCs w:val="24"/>
          <w:lang w:val="en-US"/>
        </w:rPr>
        <w:t>if the patient is incapacitated</w:t>
      </w:r>
      <w:r w:rsidR="004573AE" w:rsidRPr="00181A44">
        <w:rPr>
          <w:szCs w:val="24"/>
          <w:lang w:val="en-US"/>
        </w:rPr>
        <w:t>, the health professional must address a surrogate decision-maker</w:t>
      </w:r>
      <w:r w:rsidR="00A335BE">
        <w:rPr>
          <w:szCs w:val="24"/>
          <w:lang w:val="en-US"/>
        </w:rPr>
        <w:t>.</w:t>
      </w:r>
      <w:r w:rsidR="00D823C8" w:rsidRPr="00181A44">
        <w:rPr>
          <w:rStyle w:val="Appelnotedebasdep"/>
          <w:szCs w:val="24"/>
          <w:lang w:val="en-US"/>
        </w:rPr>
        <w:footnoteReference w:id="5"/>
      </w:r>
      <w:r w:rsidR="004573AE" w:rsidRPr="00181A44">
        <w:rPr>
          <w:szCs w:val="24"/>
          <w:lang w:val="en-US"/>
        </w:rPr>
        <w:t xml:space="preserve"> However, beside this consequence, at leas</w:t>
      </w:r>
      <w:r w:rsidRPr="00181A44">
        <w:rPr>
          <w:szCs w:val="24"/>
          <w:lang w:val="en-US"/>
        </w:rPr>
        <w:t>t three other questions arise: W</w:t>
      </w:r>
      <w:r w:rsidR="004573AE" w:rsidRPr="00181A44">
        <w:rPr>
          <w:szCs w:val="24"/>
          <w:lang w:val="en-US"/>
        </w:rPr>
        <w:t>hat is capacity? Who should assess capacity? How should capacity be assessed?</w:t>
      </w:r>
      <w:r w:rsidR="00121966" w:rsidRPr="00181A44">
        <w:rPr>
          <w:szCs w:val="24"/>
          <w:lang w:val="en-US"/>
        </w:rPr>
        <w:t xml:space="preserve"> Law could at least provide for a definition and a procedure, as recommended by </w:t>
      </w:r>
      <w:r w:rsidR="00036AA0" w:rsidRPr="00181A44">
        <w:rPr>
          <w:szCs w:val="24"/>
          <w:lang w:val="en-US"/>
        </w:rPr>
        <w:t xml:space="preserve">the </w:t>
      </w:r>
      <w:r w:rsidR="00121966" w:rsidRPr="00181A44">
        <w:rPr>
          <w:szCs w:val="24"/>
          <w:lang w:val="en-US"/>
        </w:rPr>
        <w:t>World Health Organization</w:t>
      </w:r>
      <w:r w:rsidR="00A335BE">
        <w:rPr>
          <w:szCs w:val="24"/>
          <w:lang w:val="en-US"/>
        </w:rPr>
        <w:t>.</w:t>
      </w:r>
      <w:r w:rsidR="00121966" w:rsidRPr="00181A44">
        <w:rPr>
          <w:szCs w:val="24"/>
          <w:vertAlign w:val="superscript"/>
          <w:lang w:val="en-US"/>
        </w:rPr>
        <w:footnoteReference w:id="6"/>
      </w:r>
    </w:p>
    <w:p w:rsidR="00D216F4" w:rsidRPr="00181A44" w:rsidRDefault="00D216F4" w:rsidP="00181A44">
      <w:pPr>
        <w:spacing w:line="240" w:lineRule="auto"/>
        <w:rPr>
          <w:szCs w:val="24"/>
          <w:lang w:val="en-US"/>
        </w:rPr>
      </w:pPr>
    </w:p>
    <w:p w:rsidR="00D823C8" w:rsidRPr="00181A44" w:rsidRDefault="00D823C8" w:rsidP="00181A44">
      <w:pPr>
        <w:spacing w:line="240" w:lineRule="auto"/>
        <w:rPr>
          <w:szCs w:val="24"/>
          <w:lang w:val="en-US"/>
        </w:rPr>
      </w:pPr>
    </w:p>
    <w:p w:rsidR="00D823C8" w:rsidRPr="001E0C69" w:rsidRDefault="00D823C8" w:rsidP="001E0C69">
      <w:pPr>
        <w:pStyle w:val="Paragraphedeliste"/>
        <w:numPr>
          <w:ilvl w:val="0"/>
          <w:numId w:val="12"/>
        </w:numPr>
        <w:spacing w:line="240" w:lineRule="auto"/>
        <w:rPr>
          <w:b/>
          <w:szCs w:val="24"/>
          <w:lang w:val="en-US"/>
        </w:rPr>
      </w:pPr>
      <w:r w:rsidRPr="001E0C69">
        <w:rPr>
          <w:b/>
          <w:szCs w:val="24"/>
          <w:lang w:val="en-US"/>
        </w:rPr>
        <w:t>What is capacity? Need for a definition</w:t>
      </w:r>
    </w:p>
    <w:p w:rsidR="00FA34B7" w:rsidRPr="001E0C69" w:rsidRDefault="00FA34B7" w:rsidP="00181A44">
      <w:pPr>
        <w:spacing w:line="240" w:lineRule="auto"/>
        <w:rPr>
          <w:b/>
          <w:szCs w:val="24"/>
          <w:lang w:val="en-US"/>
        </w:rPr>
      </w:pPr>
    </w:p>
    <w:p w:rsidR="00BD2F6C" w:rsidRPr="00181A44" w:rsidRDefault="00C87A61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By dealing with the consequences of incapacity, law implies </w:t>
      </w:r>
      <w:r w:rsidR="00B40E36" w:rsidRPr="00181A44">
        <w:rPr>
          <w:szCs w:val="24"/>
          <w:lang w:val="en-US"/>
        </w:rPr>
        <w:t>that the patient’s capacity should be assessed</w:t>
      </w:r>
      <w:r w:rsidRPr="00181A44">
        <w:rPr>
          <w:szCs w:val="24"/>
          <w:lang w:val="en-US"/>
        </w:rPr>
        <w:t xml:space="preserve">. </w:t>
      </w:r>
      <w:r w:rsidR="003506E4" w:rsidRPr="00181A44">
        <w:rPr>
          <w:szCs w:val="24"/>
          <w:lang w:val="en-US"/>
        </w:rPr>
        <w:t>So</w:t>
      </w:r>
      <w:r w:rsidRPr="00181A44">
        <w:rPr>
          <w:szCs w:val="24"/>
          <w:lang w:val="en-US"/>
        </w:rPr>
        <w:t>,</w:t>
      </w:r>
      <w:r w:rsidR="003506E4" w:rsidRPr="00181A44">
        <w:rPr>
          <w:szCs w:val="24"/>
          <w:lang w:val="en-US"/>
        </w:rPr>
        <w:t xml:space="preserve"> </w:t>
      </w:r>
      <w:r w:rsidRPr="00181A44">
        <w:rPr>
          <w:szCs w:val="24"/>
          <w:lang w:val="en-US"/>
        </w:rPr>
        <w:t xml:space="preserve">law should </w:t>
      </w:r>
      <w:r w:rsidR="00B40E36" w:rsidRPr="00181A44">
        <w:rPr>
          <w:szCs w:val="24"/>
          <w:lang w:val="en-US"/>
        </w:rPr>
        <w:t xml:space="preserve">first </w:t>
      </w:r>
      <w:r w:rsidRPr="00181A44">
        <w:rPr>
          <w:szCs w:val="24"/>
          <w:lang w:val="en-US"/>
        </w:rPr>
        <w:t>provide for a definition</w:t>
      </w:r>
      <w:r w:rsidRPr="00181A44">
        <w:rPr>
          <w:b/>
          <w:szCs w:val="24"/>
          <w:lang w:val="en-US"/>
        </w:rPr>
        <w:t xml:space="preserve"> </w:t>
      </w:r>
      <w:r w:rsidRPr="00181A44">
        <w:rPr>
          <w:szCs w:val="24"/>
          <w:lang w:val="en-US"/>
        </w:rPr>
        <w:t>to</w:t>
      </w:r>
      <w:r w:rsidR="00FD6C0A" w:rsidRPr="00181A44">
        <w:rPr>
          <w:szCs w:val="24"/>
          <w:lang w:val="en-US"/>
        </w:rPr>
        <w:t xml:space="preserve"> clarify the</w:t>
      </w:r>
      <w:r w:rsidR="00BD2F6C" w:rsidRPr="00181A44">
        <w:rPr>
          <w:szCs w:val="24"/>
          <w:lang w:val="en-US"/>
        </w:rPr>
        <w:t xml:space="preserve"> </w:t>
      </w:r>
      <w:r w:rsidR="00FD6C0A" w:rsidRPr="00181A44">
        <w:rPr>
          <w:szCs w:val="24"/>
          <w:lang w:val="en-US"/>
        </w:rPr>
        <w:t>criteria on which</w:t>
      </w:r>
      <w:r w:rsidR="00B40E36" w:rsidRPr="00181A44">
        <w:rPr>
          <w:szCs w:val="24"/>
          <w:lang w:val="en-US"/>
        </w:rPr>
        <w:t xml:space="preserve"> such an assessment should be</w:t>
      </w:r>
      <w:r w:rsidR="00BD2F6C" w:rsidRPr="00181A44">
        <w:rPr>
          <w:szCs w:val="24"/>
          <w:lang w:val="en-US"/>
        </w:rPr>
        <w:t xml:space="preserve"> based. Moreover, if patients cannot realize easily what they</w:t>
      </w:r>
      <w:r w:rsidR="003C091B" w:rsidRPr="00181A44">
        <w:rPr>
          <w:szCs w:val="24"/>
          <w:lang w:val="en-US"/>
        </w:rPr>
        <w:t xml:space="preserve"> ha</w:t>
      </w:r>
      <w:r w:rsidR="00BD2F6C" w:rsidRPr="00181A44">
        <w:rPr>
          <w:szCs w:val="24"/>
          <w:lang w:val="en-US"/>
        </w:rPr>
        <w:t xml:space="preserve">ve been assessed on, the right to appeal remains very theoretical: to </w:t>
      </w:r>
      <w:r w:rsidR="00B40E36" w:rsidRPr="00181A44">
        <w:rPr>
          <w:szCs w:val="24"/>
          <w:lang w:val="en-US"/>
        </w:rPr>
        <w:t xml:space="preserve">be able to </w:t>
      </w:r>
      <w:r w:rsidR="00BD2F6C" w:rsidRPr="00181A44">
        <w:rPr>
          <w:szCs w:val="24"/>
          <w:lang w:val="en-US"/>
        </w:rPr>
        <w:t xml:space="preserve">challenge a </w:t>
      </w:r>
      <w:r w:rsidR="00B40E36" w:rsidRPr="00181A44">
        <w:rPr>
          <w:szCs w:val="24"/>
          <w:lang w:val="en-US"/>
        </w:rPr>
        <w:t xml:space="preserve">decision </w:t>
      </w:r>
      <w:r w:rsidR="00B83B61" w:rsidRPr="00181A44">
        <w:rPr>
          <w:szCs w:val="24"/>
          <w:lang w:val="en-US"/>
        </w:rPr>
        <w:t xml:space="preserve">about </w:t>
      </w:r>
      <w:r w:rsidR="00B40E36" w:rsidRPr="00181A44">
        <w:rPr>
          <w:szCs w:val="24"/>
          <w:lang w:val="en-US"/>
        </w:rPr>
        <w:t>one’s</w:t>
      </w:r>
      <w:r w:rsidR="00BD2F6C" w:rsidRPr="00181A44">
        <w:rPr>
          <w:szCs w:val="24"/>
          <w:lang w:val="en-US"/>
        </w:rPr>
        <w:t xml:space="preserve"> capacity or incapacit</w:t>
      </w:r>
      <w:r w:rsidR="00806C67" w:rsidRPr="00181A44">
        <w:rPr>
          <w:szCs w:val="24"/>
          <w:lang w:val="en-US"/>
        </w:rPr>
        <w:t xml:space="preserve">y, </w:t>
      </w:r>
      <w:r w:rsidR="00B40E36" w:rsidRPr="00181A44">
        <w:rPr>
          <w:szCs w:val="24"/>
          <w:lang w:val="en-US"/>
        </w:rPr>
        <w:t>patient</w:t>
      </w:r>
      <w:r w:rsidR="004C315A" w:rsidRPr="00181A44">
        <w:rPr>
          <w:szCs w:val="24"/>
          <w:lang w:val="en-US"/>
        </w:rPr>
        <w:t>s need</w:t>
      </w:r>
      <w:r w:rsidR="00806C67" w:rsidRPr="00181A44">
        <w:rPr>
          <w:szCs w:val="24"/>
          <w:lang w:val="en-US"/>
        </w:rPr>
        <w:t xml:space="preserve"> to know what </w:t>
      </w:r>
      <w:r w:rsidR="00B40E36" w:rsidRPr="00181A44">
        <w:rPr>
          <w:szCs w:val="24"/>
          <w:lang w:val="en-US"/>
        </w:rPr>
        <w:t xml:space="preserve">these </w:t>
      </w:r>
      <w:r w:rsidR="00036AA0" w:rsidRPr="00181A44">
        <w:rPr>
          <w:szCs w:val="24"/>
          <w:lang w:val="en-US"/>
        </w:rPr>
        <w:t>concepts</w:t>
      </w:r>
      <w:r w:rsidR="00B6353B" w:rsidRPr="00181A44">
        <w:rPr>
          <w:szCs w:val="24"/>
          <w:lang w:val="en-US"/>
        </w:rPr>
        <w:t xml:space="preserve"> </w:t>
      </w:r>
      <w:r w:rsidR="00036AA0" w:rsidRPr="00181A44">
        <w:rPr>
          <w:szCs w:val="24"/>
          <w:lang w:val="en-US"/>
        </w:rPr>
        <w:t xml:space="preserve">really </w:t>
      </w:r>
      <w:r w:rsidR="00B83B61" w:rsidRPr="00181A44">
        <w:rPr>
          <w:szCs w:val="24"/>
          <w:lang w:val="en-US"/>
        </w:rPr>
        <w:t>encompass</w:t>
      </w:r>
      <w:r w:rsidR="00CB179E" w:rsidRPr="00181A44">
        <w:rPr>
          <w:szCs w:val="24"/>
          <w:lang w:val="en-US"/>
        </w:rPr>
        <w:t>.</w:t>
      </w:r>
    </w:p>
    <w:p w:rsidR="00806C67" w:rsidRPr="00181A44" w:rsidRDefault="00806C67" w:rsidP="00181A44">
      <w:pPr>
        <w:spacing w:line="240" w:lineRule="auto"/>
        <w:rPr>
          <w:szCs w:val="24"/>
          <w:lang w:val="en-US"/>
        </w:rPr>
      </w:pPr>
    </w:p>
    <w:p w:rsidR="004C315A" w:rsidRDefault="00B6353B" w:rsidP="001E0C69">
      <w:pPr>
        <w:spacing w:line="240" w:lineRule="auto"/>
        <w:rPr>
          <w:b/>
          <w:szCs w:val="24"/>
          <w:lang w:val="en-US"/>
        </w:rPr>
      </w:pPr>
      <w:r w:rsidRPr="00181A44">
        <w:rPr>
          <w:szCs w:val="24"/>
          <w:lang w:val="en-US"/>
        </w:rPr>
        <w:t>In this respect, t</w:t>
      </w:r>
      <w:r w:rsidR="00806C67" w:rsidRPr="00181A44">
        <w:rPr>
          <w:szCs w:val="24"/>
          <w:lang w:val="en-US"/>
        </w:rPr>
        <w:t xml:space="preserve">he purpose of </w:t>
      </w:r>
      <w:r w:rsidR="00B83B61" w:rsidRPr="00181A44">
        <w:rPr>
          <w:szCs w:val="24"/>
          <w:lang w:val="en-US"/>
        </w:rPr>
        <w:t>law</w:t>
      </w:r>
      <w:r w:rsidR="002C2C5F" w:rsidRPr="00181A44">
        <w:rPr>
          <w:szCs w:val="24"/>
          <w:lang w:val="en-US"/>
        </w:rPr>
        <w:t xml:space="preserve"> </w:t>
      </w:r>
      <w:r w:rsidR="00CB179E" w:rsidRPr="00181A44">
        <w:rPr>
          <w:szCs w:val="24"/>
          <w:lang w:val="en-US"/>
        </w:rPr>
        <w:t xml:space="preserve">is only to be consistent, not to try to describe in details a complex and </w:t>
      </w:r>
      <w:r w:rsidR="002C2C5F" w:rsidRPr="00181A44">
        <w:rPr>
          <w:szCs w:val="24"/>
          <w:lang w:val="en-US"/>
        </w:rPr>
        <w:t>changing reality</w:t>
      </w:r>
      <w:r w:rsidR="00CB179E" w:rsidRPr="00181A44">
        <w:rPr>
          <w:szCs w:val="24"/>
          <w:lang w:val="en-US"/>
        </w:rPr>
        <w:t xml:space="preserve">, </w:t>
      </w:r>
      <w:r w:rsidR="00CB179E" w:rsidRPr="00181A44">
        <w:rPr>
          <w:rStyle w:val="hps"/>
          <w:szCs w:val="24"/>
          <w:lang w:val="en"/>
        </w:rPr>
        <w:t>assuming</w:t>
      </w:r>
      <w:r w:rsidR="00CB179E" w:rsidRPr="00181A44">
        <w:rPr>
          <w:rStyle w:val="shorttext"/>
          <w:szCs w:val="24"/>
          <w:lang w:val="en"/>
        </w:rPr>
        <w:t xml:space="preserve"> </w:t>
      </w:r>
      <w:r w:rsidR="00CB179E" w:rsidRPr="00181A44">
        <w:rPr>
          <w:rStyle w:val="hps"/>
          <w:szCs w:val="24"/>
          <w:lang w:val="en"/>
        </w:rPr>
        <w:t>that such a definition</w:t>
      </w:r>
      <w:r w:rsidR="00CB179E" w:rsidRPr="00181A44">
        <w:rPr>
          <w:rStyle w:val="shorttext"/>
          <w:szCs w:val="24"/>
          <w:lang w:val="en"/>
        </w:rPr>
        <w:t xml:space="preserve"> </w:t>
      </w:r>
      <w:r w:rsidR="00CB179E" w:rsidRPr="00181A44">
        <w:rPr>
          <w:rStyle w:val="hps"/>
          <w:szCs w:val="24"/>
          <w:lang w:val="en"/>
        </w:rPr>
        <w:t>is possible. In order to help health professionals and patients to have an idea</w:t>
      </w:r>
      <w:r w:rsidR="00CB179E" w:rsidRPr="00181A44">
        <w:rPr>
          <w:szCs w:val="24"/>
          <w:lang w:val="en-US"/>
        </w:rPr>
        <w:t xml:space="preserve"> of the skills referred </w:t>
      </w:r>
      <w:r w:rsidR="00B40E36" w:rsidRPr="00181A44">
        <w:rPr>
          <w:szCs w:val="24"/>
          <w:lang w:val="en-US"/>
        </w:rPr>
        <w:t xml:space="preserve">to </w:t>
      </w:r>
      <w:r w:rsidR="00CB179E" w:rsidRPr="00181A44">
        <w:rPr>
          <w:szCs w:val="24"/>
          <w:lang w:val="en-US"/>
        </w:rPr>
        <w:t xml:space="preserve">by </w:t>
      </w:r>
      <w:r w:rsidR="00CB179E" w:rsidRPr="00181A44">
        <w:rPr>
          <w:i/>
          <w:szCs w:val="24"/>
          <w:lang w:val="en-US"/>
        </w:rPr>
        <w:t>capacity</w:t>
      </w:r>
      <w:r w:rsidR="00CB179E" w:rsidRPr="00181A44">
        <w:rPr>
          <w:szCs w:val="24"/>
          <w:lang w:val="en-US"/>
        </w:rPr>
        <w:t>, broad criteria defining this concept</w:t>
      </w:r>
      <w:r w:rsidR="00CB179E" w:rsidRPr="00181A44">
        <w:rPr>
          <w:b/>
          <w:szCs w:val="24"/>
          <w:lang w:val="en-US"/>
        </w:rPr>
        <w:t xml:space="preserve"> </w:t>
      </w:r>
      <w:r w:rsidR="00351C27" w:rsidRPr="00181A44">
        <w:rPr>
          <w:szCs w:val="24"/>
          <w:lang w:val="en-US"/>
        </w:rPr>
        <w:t xml:space="preserve">could be </w:t>
      </w:r>
      <w:r w:rsidR="00FD6C0A" w:rsidRPr="00181A44">
        <w:rPr>
          <w:szCs w:val="24"/>
          <w:lang w:val="en-US"/>
        </w:rPr>
        <w:t>mentioned</w:t>
      </w:r>
      <w:r w:rsidR="00C87A61" w:rsidRPr="00181A44">
        <w:rPr>
          <w:szCs w:val="24"/>
          <w:lang w:val="en-US"/>
        </w:rPr>
        <w:t xml:space="preserve"> in a legal text</w:t>
      </w:r>
      <w:r w:rsidR="00DD0E65" w:rsidRPr="00181A44">
        <w:rPr>
          <w:szCs w:val="24"/>
          <w:lang w:val="en-US"/>
        </w:rPr>
        <w:t>. I</w:t>
      </w:r>
      <w:r w:rsidR="00806C67" w:rsidRPr="00181A44">
        <w:rPr>
          <w:szCs w:val="24"/>
          <w:lang w:val="en-US"/>
        </w:rPr>
        <w:t xml:space="preserve">n Belgium, it could be the Patient’s Rights Act or a more general instrument </w:t>
      </w:r>
      <w:r w:rsidRPr="00181A44">
        <w:rPr>
          <w:szCs w:val="24"/>
          <w:lang w:val="en-US"/>
        </w:rPr>
        <w:t xml:space="preserve">dealing with </w:t>
      </w:r>
      <w:r w:rsidR="00806C67" w:rsidRPr="00181A44">
        <w:rPr>
          <w:szCs w:val="24"/>
          <w:lang w:val="en-US"/>
        </w:rPr>
        <w:t xml:space="preserve">incapacity and its consequences, </w:t>
      </w:r>
      <w:r w:rsidR="00BB290D" w:rsidRPr="00181A44">
        <w:rPr>
          <w:szCs w:val="24"/>
          <w:lang w:val="en-US"/>
        </w:rPr>
        <w:t xml:space="preserve">such as </w:t>
      </w:r>
      <w:r w:rsidR="00806C67" w:rsidRPr="00181A44">
        <w:rPr>
          <w:szCs w:val="24"/>
          <w:lang w:val="en-US"/>
        </w:rPr>
        <w:t>the Code</w:t>
      </w:r>
      <w:r w:rsidRPr="00181A44">
        <w:rPr>
          <w:szCs w:val="24"/>
          <w:lang w:val="en-US"/>
        </w:rPr>
        <w:t xml:space="preserve"> of Civil Law</w:t>
      </w:r>
      <w:r w:rsidR="00806C67" w:rsidRPr="00181A44">
        <w:rPr>
          <w:szCs w:val="24"/>
          <w:lang w:val="en-US"/>
        </w:rPr>
        <w:t xml:space="preserve">. </w:t>
      </w:r>
    </w:p>
    <w:p w:rsidR="001E0C69" w:rsidRPr="001E0C69" w:rsidRDefault="001E0C69" w:rsidP="001E0C69">
      <w:pPr>
        <w:spacing w:line="240" w:lineRule="auto"/>
        <w:rPr>
          <w:b/>
          <w:szCs w:val="24"/>
          <w:lang w:val="en-US"/>
        </w:rPr>
      </w:pPr>
    </w:p>
    <w:p w:rsidR="004C3F43" w:rsidRPr="00181A44" w:rsidRDefault="009607CD" w:rsidP="00181A44">
      <w:pPr>
        <w:spacing w:after="200" w:line="240" w:lineRule="auto"/>
        <w:jc w:val="left"/>
        <w:rPr>
          <w:szCs w:val="24"/>
          <w:lang w:val="en-US"/>
        </w:rPr>
      </w:pPr>
      <w:r w:rsidRPr="00181A44">
        <w:rPr>
          <w:szCs w:val="24"/>
          <w:lang w:val="en-US"/>
        </w:rPr>
        <w:t>Concretely</w:t>
      </w:r>
      <w:r w:rsidR="006A2B18" w:rsidRPr="00181A44">
        <w:rPr>
          <w:szCs w:val="24"/>
          <w:lang w:val="en-US"/>
        </w:rPr>
        <w:t>, decision-making</w:t>
      </w:r>
      <w:r w:rsidR="0079355E" w:rsidRPr="00181A44">
        <w:rPr>
          <w:szCs w:val="24"/>
          <w:lang w:val="en-US"/>
        </w:rPr>
        <w:t xml:space="preserve"> </w:t>
      </w:r>
      <w:r w:rsidR="006A2B18" w:rsidRPr="00181A44">
        <w:rPr>
          <w:szCs w:val="24"/>
          <w:lang w:val="en-US"/>
        </w:rPr>
        <w:t xml:space="preserve">capacity </w:t>
      </w:r>
      <w:r w:rsidR="00351C27" w:rsidRPr="00181A44">
        <w:rPr>
          <w:szCs w:val="24"/>
          <w:lang w:val="en-US"/>
        </w:rPr>
        <w:t>is</w:t>
      </w:r>
      <w:r w:rsidR="000F4745" w:rsidRPr="00181A44">
        <w:rPr>
          <w:szCs w:val="24"/>
          <w:lang w:val="en-US"/>
        </w:rPr>
        <w:t xml:space="preserve"> the ability</w:t>
      </w:r>
      <w:r w:rsidR="006A2B18" w:rsidRPr="00181A44">
        <w:rPr>
          <w:szCs w:val="24"/>
          <w:lang w:val="en-US"/>
        </w:rPr>
        <w:t xml:space="preserve"> </w:t>
      </w:r>
      <w:r w:rsidR="000F4745" w:rsidRPr="00181A44">
        <w:rPr>
          <w:szCs w:val="24"/>
          <w:lang w:val="en-US"/>
        </w:rPr>
        <w:t>to</w:t>
      </w:r>
      <w:r w:rsidR="004C3F43" w:rsidRPr="00181A44">
        <w:rPr>
          <w:szCs w:val="24"/>
          <w:lang w:val="en-US"/>
        </w:rPr>
        <w:t xml:space="preserve"> </w:t>
      </w:r>
    </w:p>
    <w:p w:rsidR="004C3F43" w:rsidRPr="00181A44" w:rsidRDefault="00351C27" w:rsidP="00181A44">
      <w:pPr>
        <w:pStyle w:val="Paragraphedeliste"/>
        <w:numPr>
          <w:ilvl w:val="0"/>
          <w:numId w:val="9"/>
        </w:num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understand the relevant information</w:t>
      </w:r>
      <w:r w:rsidR="004C3F43" w:rsidRPr="00181A44">
        <w:rPr>
          <w:szCs w:val="24"/>
          <w:lang w:val="en-US"/>
        </w:rPr>
        <w:t>, which implies that</w:t>
      </w:r>
      <w:r w:rsidR="00733C11" w:rsidRPr="00181A44">
        <w:rPr>
          <w:szCs w:val="24"/>
          <w:lang w:val="en-US"/>
        </w:rPr>
        <w:t xml:space="preserve"> </w:t>
      </w:r>
      <w:r w:rsidR="004C3F43" w:rsidRPr="00181A44">
        <w:rPr>
          <w:szCs w:val="24"/>
          <w:lang w:val="en-US"/>
        </w:rPr>
        <w:t xml:space="preserve">the </w:t>
      </w:r>
      <w:r w:rsidR="00733C11" w:rsidRPr="00181A44">
        <w:rPr>
          <w:szCs w:val="24"/>
          <w:lang w:val="en-US"/>
        </w:rPr>
        <w:t xml:space="preserve">received </w:t>
      </w:r>
      <w:r w:rsidR="007F4C6C" w:rsidRPr="00181A44">
        <w:rPr>
          <w:szCs w:val="24"/>
          <w:lang w:val="en-US"/>
        </w:rPr>
        <w:t xml:space="preserve">information </w:t>
      </w:r>
      <w:r w:rsidR="00F816D6" w:rsidRPr="00181A44">
        <w:rPr>
          <w:szCs w:val="24"/>
          <w:lang w:val="en-US"/>
        </w:rPr>
        <w:t>was</w:t>
      </w:r>
      <w:r w:rsidR="00BB290D" w:rsidRPr="00181A44">
        <w:rPr>
          <w:szCs w:val="24"/>
          <w:lang w:val="en-US"/>
        </w:rPr>
        <w:t xml:space="preserve"> conveyed </w:t>
      </w:r>
      <w:r w:rsidR="007F4C6C" w:rsidRPr="00181A44">
        <w:rPr>
          <w:szCs w:val="24"/>
          <w:lang w:val="en-US"/>
        </w:rPr>
        <w:t xml:space="preserve">in </w:t>
      </w:r>
      <w:r w:rsidR="004C3F43" w:rsidRPr="00181A44">
        <w:rPr>
          <w:szCs w:val="24"/>
          <w:lang w:val="en-US"/>
        </w:rPr>
        <w:t>a clear and accessible language;</w:t>
      </w:r>
    </w:p>
    <w:p w:rsidR="004C3F43" w:rsidRPr="00181A44" w:rsidRDefault="00351C27" w:rsidP="00181A44">
      <w:pPr>
        <w:pStyle w:val="Paragraphedeliste"/>
        <w:numPr>
          <w:ilvl w:val="0"/>
          <w:numId w:val="9"/>
        </w:num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a</w:t>
      </w:r>
      <w:r w:rsidR="00BB290D" w:rsidRPr="00181A44">
        <w:rPr>
          <w:szCs w:val="24"/>
          <w:lang w:val="en-US"/>
        </w:rPr>
        <w:t>ssess</w:t>
      </w:r>
      <w:r w:rsidRPr="00181A44">
        <w:rPr>
          <w:szCs w:val="24"/>
          <w:lang w:val="en-US"/>
        </w:rPr>
        <w:t xml:space="preserve"> </w:t>
      </w:r>
      <w:r w:rsidR="006B5EFC" w:rsidRPr="00181A44">
        <w:rPr>
          <w:szCs w:val="24"/>
          <w:lang w:val="en-US"/>
        </w:rPr>
        <w:t>one’s own</w:t>
      </w:r>
      <w:r w:rsidRPr="00181A44">
        <w:rPr>
          <w:szCs w:val="24"/>
          <w:lang w:val="en-US"/>
        </w:rPr>
        <w:t xml:space="preserve"> situation </w:t>
      </w:r>
      <w:r w:rsidR="004C3F43" w:rsidRPr="00181A44">
        <w:rPr>
          <w:szCs w:val="24"/>
          <w:lang w:val="en-US"/>
        </w:rPr>
        <w:t xml:space="preserve">and the reasonably foreseeable consequences, for </w:t>
      </w:r>
      <w:r w:rsidR="006B5EFC" w:rsidRPr="00181A44">
        <w:rPr>
          <w:szCs w:val="24"/>
          <w:lang w:val="en-US"/>
        </w:rPr>
        <w:t>one</w:t>
      </w:r>
      <w:r w:rsidR="004C3F43" w:rsidRPr="00181A44">
        <w:rPr>
          <w:szCs w:val="24"/>
          <w:lang w:val="en-US"/>
        </w:rPr>
        <w:t xml:space="preserve">self, of </w:t>
      </w:r>
      <w:r w:rsidR="006B5EFC" w:rsidRPr="00181A44">
        <w:rPr>
          <w:szCs w:val="24"/>
          <w:lang w:val="en-US"/>
        </w:rPr>
        <w:t>the</w:t>
      </w:r>
      <w:r w:rsidR="004C3F43" w:rsidRPr="00181A44">
        <w:rPr>
          <w:szCs w:val="24"/>
          <w:lang w:val="en-US"/>
        </w:rPr>
        <w:t xml:space="preserve"> decision;</w:t>
      </w:r>
    </w:p>
    <w:p w:rsidR="004C3F43" w:rsidRPr="00181A44" w:rsidRDefault="00351C27" w:rsidP="00181A44">
      <w:pPr>
        <w:pStyle w:val="Paragraphedeliste"/>
        <w:numPr>
          <w:ilvl w:val="0"/>
          <w:numId w:val="9"/>
        </w:num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reason </w:t>
      </w:r>
      <w:r w:rsidR="00733C11" w:rsidRPr="00181A44">
        <w:rPr>
          <w:szCs w:val="24"/>
          <w:lang w:val="en-US"/>
        </w:rPr>
        <w:t>about treatment options</w:t>
      </w:r>
      <w:r w:rsidR="004C3F43" w:rsidRPr="00181A44">
        <w:rPr>
          <w:szCs w:val="24"/>
          <w:lang w:val="en-US"/>
        </w:rPr>
        <w:t xml:space="preserve">, </w:t>
      </w:r>
      <w:r w:rsidR="004E5B16" w:rsidRPr="00181A44">
        <w:rPr>
          <w:szCs w:val="24"/>
          <w:lang w:val="en-US"/>
        </w:rPr>
        <w:t xml:space="preserve">to weigh </w:t>
      </w:r>
      <w:r w:rsidR="00BB290D" w:rsidRPr="00181A44">
        <w:rPr>
          <w:szCs w:val="24"/>
          <w:lang w:val="en-US"/>
        </w:rPr>
        <w:t>up different options</w:t>
      </w:r>
      <w:r w:rsidR="004E5B16" w:rsidRPr="00181A44">
        <w:rPr>
          <w:szCs w:val="24"/>
          <w:lang w:val="en-US"/>
        </w:rPr>
        <w:t xml:space="preserve">; </w:t>
      </w:r>
      <w:r w:rsidR="007F4C6C" w:rsidRPr="00181A44">
        <w:rPr>
          <w:rFonts w:eastAsia="Times New Roman"/>
          <w:szCs w:val="24"/>
          <w:lang w:val="en-US" w:eastAsia="fr-BE"/>
        </w:rPr>
        <w:t xml:space="preserve">the </w:t>
      </w:r>
      <w:r w:rsidR="007F4C6C" w:rsidRPr="00181A44">
        <w:rPr>
          <w:rFonts w:eastAsia="Times New Roman"/>
          <w:i/>
          <w:szCs w:val="24"/>
          <w:lang w:val="en-US" w:eastAsia="fr-BE"/>
        </w:rPr>
        <w:t>result</w:t>
      </w:r>
      <w:r w:rsidR="000E38FE" w:rsidRPr="00181A44">
        <w:rPr>
          <w:rFonts w:eastAsia="Times New Roman"/>
          <w:szCs w:val="24"/>
          <w:lang w:val="en-US" w:eastAsia="fr-BE"/>
        </w:rPr>
        <w:t xml:space="preserve"> must not be reasonable</w:t>
      </w:r>
      <w:r w:rsidR="007F4C6C" w:rsidRPr="00181A44">
        <w:rPr>
          <w:rFonts w:eastAsia="Times New Roman"/>
          <w:szCs w:val="24"/>
          <w:lang w:val="en-US" w:eastAsia="fr-BE"/>
        </w:rPr>
        <w:t xml:space="preserve"> but </w:t>
      </w:r>
      <w:r w:rsidR="00733C11" w:rsidRPr="00181A44">
        <w:rPr>
          <w:rFonts w:eastAsia="Times New Roman"/>
          <w:szCs w:val="24"/>
          <w:lang w:val="en-US" w:eastAsia="fr-BE"/>
        </w:rPr>
        <w:t xml:space="preserve">the </w:t>
      </w:r>
      <w:r w:rsidR="00733C11" w:rsidRPr="00181A44">
        <w:rPr>
          <w:rFonts w:eastAsia="Times New Roman"/>
          <w:i/>
          <w:szCs w:val="24"/>
          <w:lang w:val="en-US" w:eastAsia="fr-BE"/>
        </w:rPr>
        <w:t xml:space="preserve">process </w:t>
      </w:r>
      <w:r w:rsidR="00733C11" w:rsidRPr="00181A44">
        <w:rPr>
          <w:rFonts w:eastAsia="Times New Roman"/>
          <w:szCs w:val="24"/>
          <w:lang w:val="en-US" w:eastAsia="fr-BE"/>
        </w:rPr>
        <w:t xml:space="preserve">must be understandable, </w:t>
      </w:r>
      <w:r w:rsidR="00BB290D" w:rsidRPr="00181A44">
        <w:rPr>
          <w:rFonts w:eastAsia="Times New Roman"/>
          <w:szCs w:val="24"/>
          <w:lang w:val="en-US" w:eastAsia="fr-BE"/>
        </w:rPr>
        <w:t xml:space="preserve">in accordance with </w:t>
      </w:r>
      <w:r w:rsidR="006B5EFC" w:rsidRPr="00181A44">
        <w:rPr>
          <w:rFonts w:eastAsia="Times New Roman"/>
          <w:szCs w:val="24"/>
          <w:lang w:val="en-US" w:eastAsia="fr-BE"/>
        </w:rPr>
        <w:t>one</w:t>
      </w:r>
      <w:r w:rsidR="00733C11" w:rsidRPr="00181A44">
        <w:rPr>
          <w:rFonts w:eastAsia="Times New Roman"/>
          <w:szCs w:val="24"/>
          <w:lang w:val="en-US" w:eastAsia="fr-BE"/>
        </w:rPr>
        <w:t>’s values</w:t>
      </w:r>
      <w:r w:rsidR="004C3F43" w:rsidRPr="00181A44">
        <w:rPr>
          <w:rFonts w:eastAsia="Times New Roman"/>
          <w:szCs w:val="24"/>
          <w:lang w:val="en-US" w:eastAsia="fr-BE"/>
        </w:rPr>
        <w:t xml:space="preserve">; </w:t>
      </w:r>
    </w:p>
    <w:p w:rsidR="0079355E" w:rsidRPr="00181A44" w:rsidRDefault="00595034" w:rsidP="00181A44">
      <w:pPr>
        <w:pStyle w:val="Paragraphedeliste"/>
        <w:numPr>
          <w:ilvl w:val="0"/>
          <w:numId w:val="9"/>
        </w:numPr>
        <w:spacing w:line="240" w:lineRule="auto"/>
        <w:rPr>
          <w:szCs w:val="24"/>
          <w:lang w:val="en-US"/>
        </w:rPr>
      </w:pPr>
      <w:proofErr w:type="gramStart"/>
      <w:r w:rsidRPr="00181A44">
        <w:rPr>
          <w:szCs w:val="24"/>
          <w:lang w:val="en-US"/>
        </w:rPr>
        <w:t>make</w:t>
      </w:r>
      <w:proofErr w:type="gramEnd"/>
      <w:r w:rsidRPr="00181A44">
        <w:rPr>
          <w:szCs w:val="24"/>
          <w:lang w:val="en-US"/>
        </w:rPr>
        <w:t xml:space="preserve"> </w:t>
      </w:r>
      <w:r w:rsidR="006B5EFC" w:rsidRPr="00181A44">
        <w:rPr>
          <w:szCs w:val="24"/>
          <w:lang w:val="en-US"/>
        </w:rPr>
        <w:t>one’s</w:t>
      </w:r>
      <w:r w:rsidR="004C3F43" w:rsidRPr="00181A44">
        <w:rPr>
          <w:szCs w:val="24"/>
          <w:lang w:val="en-US"/>
        </w:rPr>
        <w:t xml:space="preserve"> choice</w:t>
      </w:r>
      <w:r w:rsidRPr="00181A44">
        <w:rPr>
          <w:szCs w:val="24"/>
          <w:lang w:val="en-US"/>
        </w:rPr>
        <w:t xml:space="preserve"> known</w:t>
      </w:r>
      <w:r w:rsidR="00A335BE">
        <w:rPr>
          <w:szCs w:val="24"/>
          <w:lang w:val="en-US"/>
        </w:rPr>
        <w:t>.</w:t>
      </w:r>
      <w:r w:rsidR="00C0395B" w:rsidRPr="00181A44">
        <w:rPr>
          <w:rStyle w:val="Appelnotedebasdep"/>
          <w:szCs w:val="24"/>
          <w:lang w:val="en-US"/>
        </w:rPr>
        <w:footnoteReference w:id="7"/>
      </w:r>
    </w:p>
    <w:p w:rsidR="00806C67" w:rsidRPr="00181A44" w:rsidRDefault="00806C67" w:rsidP="00181A44">
      <w:pPr>
        <w:spacing w:line="240" w:lineRule="auto"/>
        <w:rPr>
          <w:szCs w:val="24"/>
          <w:lang w:val="en-US"/>
        </w:rPr>
      </w:pPr>
    </w:p>
    <w:p w:rsidR="00B05EF3" w:rsidRPr="00181A44" w:rsidRDefault="00B05EF3" w:rsidP="00181A44">
      <w:pPr>
        <w:spacing w:line="240" w:lineRule="auto"/>
        <w:rPr>
          <w:b/>
          <w:i/>
          <w:szCs w:val="24"/>
          <w:lang w:val="en-US"/>
        </w:rPr>
      </w:pPr>
    </w:p>
    <w:p w:rsidR="0001666C" w:rsidRPr="001E0C69" w:rsidRDefault="0001666C" w:rsidP="001E0C69">
      <w:pPr>
        <w:pStyle w:val="Paragraphedeliste"/>
        <w:numPr>
          <w:ilvl w:val="0"/>
          <w:numId w:val="12"/>
        </w:numPr>
        <w:spacing w:line="240" w:lineRule="auto"/>
        <w:rPr>
          <w:b/>
          <w:szCs w:val="24"/>
          <w:lang w:val="en-US"/>
        </w:rPr>
      </w:pPr>
      <w:r w:rsidRPr="001E0C69">
        <w:rPr>
          <w:b/>
          <w:szCs w:val="24"/>
          <w:lang w:val="en-US"/>
        </w:rPr>
        <w:t>Who assesses capacity? Need for a procedure</w:t>
      </w:r>
    </w:p>
    <w:p w:rsidR="00806C67" w:rsidRPr="00181A44" w:rsidRDefault="00806C67" w:rsidP="00181A44">
      <w:pPr>
        <w:spacing w:line="240" w:lineRule="auto"/>
        <w:rPr>
          <w:szCs w:val="24"/>
          <w:lang w:val="en-US"/>
        </w:rPr>
      </w:pPr>
    </w:p>
    <w:p w:rsidR="0001666C" w:rsidRPr="00181A44" w:rsidRDefault="0001666C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C</w:t>
      </w:r>
      <w:r w:rsidR="00C87A61" w:rsidRPr="00181A44">
        <w:rPr>
          <w:szCs w:val="24"/>
          <w:lang w:val="en-US"/>
        </w:rPr>
        <w:t>oncerning the professional assessing capacity,</w:t>
      </w:r>
      <w:r w:rsidR="00595034" w:rsidRPr="00181A44">
        <w:rPr>
          <w:szCs w:val="24"/>
          <w:lang w:val="en-US"/>
        </w:rPr>
        <w:t xml:space="preserve"> the </w:t>
      </w:r>
      <w:r w:rsidR="00704A39" w:rsidRPr="00181A44">
        <w:rPr>
          <w:szCs w:val="24"/>
          <w:lang w:val="en-US"/>
        </w:rPr>
        <w:t xml:space="preserve">Belgian </w:t>
      </w:r>
      <w:r w:rsidR="004030E4" w:rsidRPr="00181A44">
        <w:rPr>
          <w:szCs w:val="24"/>
          <w:lang w:val="en-US"/>
        </w:rPr>
        <w:t>Patient’s Rights Act</w:t>
      </w:r>
      <w:r w:rsidR="00704A39" w:rsidRPr="00181A44">
        <w:rPr>
          <w:szCs w:val="24"/>
          <w:lang w:val="en-US"/>
        </w:rPr>
        <w:t xml:space="preserve"> provides that the “health professional” will address a surrogate decision-maker if the patient cannot exercise his</w:t>
      </w:r>
      <w:r w:rsidR="00C0395B" w:rsidRPr="00181A44">
        <w:rPr>
          <w:szCs w:val="24"/>
          <w:lang w:val="en-US"/>
        </w:rPr>
        <w:t xml:space="preserve"> or her</w:t>
      </w:r>
      <w:r w:rsidR="00704A39" w:rsidRPr="00181A44">
        <w:rPr>
          <w:szCs w:val="24"/>
          <w:lang w:val="en-US"/>
        </w:rPr>
        <w:t xml:space="preserve"> rights </w:t>
      </w:r>
      <w:r w:rsidR="00595034" w:rsidRPr="00181A44">
        <w:rPr>
          <w:szCs w:val="24"/>
          <w:lang w:val="en-US"/>
        </w:rPr>
        <w:t xml:space="preserve">by </w:t>
      </w:r>
      <w:r w:rsidR="00704A39" w:rsidRPr="00181A44">
        <w:rPr>
          <w:szCs w:val="24"/>
          <w:lang w:val="en-US"/>
        </w:rPr>
        <w:t>him</w:t>
      </w:r>
      <w:r w:rsidR="00C0395B" w:rsidRPr="00181A44">
        <w:rPr>
          <w:szCs w:val="24"/>
          <w:lang w:val="en-US"/>
        </w:rPr>
        <w:t>- or her</w:t>
      </w:r>
      <w:r w:rsidR="00704A39" w:rsidRPr="00181A44">
        <w:rPr>
          <w:szCs w:val="24"/>
          <w:lang w:val="en-US"/>
        </w:rPr>
        <w:t>self</w:t>
      </w:r>
      <w:r w:rsidR="000E38FE" w:rsidRPr="00181A44">
        <w:rPr>
          <w:szCs w:val="24"/>
          <w:lang w:val="en-US"/>
        </w:rPr>
        <w:t>. C</w:t>
      </w:r>
      <w:r w:rsidR="00704A39" w:rsidRPr="00181A44">
        <w:rPr>
          <w:szCs w:val="24"/>
          <w:lang w:val="en-US"/>
        </w:rPr>
        <w:t xml:space="preserve">onsequently, any health professional is supposed to assess </w:t>
      </w:r>
      <w:r w:rsidR="00595034" w:rsidRPr="00181A44">
        <w:rPr>
          <w:szCs w:val="24"/>
          <w:lang w:val="en-US"/>
        </w:rPr>
        <w:t xml:space="preserve">a </w:t>
      </w:r>
      <w:r w:rsidR="00704A39" w:rsidRPr="00181A44">
        <w:rPr>
          <w:szCs w:val="24"/>
          <w:lang w:val="en-US"/>
        </w:rPr>
        <w:t xml:space="preserve">patient’s </w:t>
      </w:r>
      <w:r w:rsidR="000B102C" w:rsidRPr="00181A44">
        <w:rPr>
          <w:szCs w:val="24"/>
          <w:lang w:val="en-US"/>
        </w:rPr>
        <w:t>capacity</w:t>
      </w:r>
      <w:r w:rsidR="00C62E5B" w:rsidRPr="00181A44">
        <w:rPr>
          <w:szCs w:val="24"/>
          <w:lang w:val="en-US"/>
        </w:rPr>
        <w:t xml:space="preserve"> when a decision must be</w:t>
      </w:r>
      <w:r w:rsidR="00C0395B" w:rsidRPr="00181A44">
        <w:rPr>
          <w:szCs w:val="24"/>
          <w:lang w:val="en-US"/>
        </w:rPr>
        <w:t xml:space="preserve"> made</w:t>
      </w:r>
      <w:r w:rsidR="00C62E5B" w:rsidRPr="00181A44">
        <w:rPr>
          <w:szCs w:val="24"/>
          <w:lang w:val="en-US"/>
        </w:rPr>
        <w:t xml:space="preserve"> </w:t>
      </w:r>
      <w:r w:rsidR="00595034" w:rsidRPr="00181A44">
        <w:rPr>
          <w:szCs w:val="24"/>
          <w:lang w:val="en-US"/>
        </w:rPr>
        <w:t xml:space="preserve">within </w:t>
      </w:r>
      <w:r w:rsidR="00036AA0" w:rsidRPr="00181A44">
        <w:rPr>
          <w:szCs w:val="24"/>
          <w:lang w:val="en-US"/>
        </w:rPr>
        <w:t xml:space="preserve">his or </w:t>
      </w:r>
      <w:r w:rsidR="00595034" w:rsidRPr="00181A44">
        <w:rPr>
          <w:szCs w:val="24"/>
          <w:lang w:val="en-US"/>
        </w:rPr>
        <w:t>her</w:t>
      </w:r>
      <w:r w:rsidR="00C62E5B" w:rsidRPr="00181A44">
        <w:rPr>
          <w:szCs w:val="24"/>
          <w:lang w:val="en-US"/>
        </w:rPr>
        <w:t xml:space="preserve"> </w:t>
      </w:r>
      <w:r w:rsidR="00595034" w:rsidRPr="00181A44">
        <w:rPr>
          <w:szCs w:val="24"/>
          <w:lang w:val="en-US"/>
        </w:rPr>
        <w:t>field of</w:t>
      </w:r>
      <w:r w:rsidR="00C62E5B" w:rsidRPr="00181A44">
        <w:rPr>
          <w:szCs w:val="24"/>
          <w:lang w:val="en-US"/>
        </w:rPr>
        <w:t xml:space="preserve"> competence</w:t>
      </w:r>
      <w:r w:rsidR="00704A39" w:rsidRPr="00181A44">
        <w:rPr>
          <w:szCs w:val="24"/>
          <w:lang w:val="en-US"/>
        </w:rPr>
        <w:t xml:space="preserve">. </w:t>
      </w:r>
    </w:p>
    <w:p w:rsidR="0001666C" w:rsidRPr="00181A44" w:rsidRDefault="0001666C" w:rsidP="00181A44">
      <w:pPr>
        <w:spacing w:line="240" w:lineRule="auto"/>
        <w:rPr>
          <w:szCs w:val="24"/>
          <w:lang w:val="en-US"/>
        </w:rPr>
      </w:pPr>
    </w:p>
    <w:p w:rsidR="009C0860" w:rsidRPr="00181A44" w:rsidRDefault="0001666C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Law should</w:t>
      </w:r>
      <w:r w:rsidR="00C87A61" w:rsidRPr="00181A44">
        <w:rPr>
          <w:szCs w:val="24"/>
          <w:lang w:val="en-US"/>
        </w:rPr>
        <w:t xml:space="preserve"> be more specific about </w:t>
      </w:r>
      <w:r w:rsidRPr="00181A44">
        <w:rPr>
          <w:szCs w:val="24"/>
          <w:lang w:val="en-US"/>
        </w:rPr>
        <w:t xml:space="preserve">who assesses </w:t>
      </w:r>
      <w:r w:rsidR="00595034" w:rsidRPr="00181A44">
        <w:rPr>
          <w:szCs w:val="24"/>
          <w:lang w:val="en-US"/>
        </w:rPr>
        <w:t xml:space="preserve">the </w:t>
      </w:r>
      <w:r w:rsidRPr="00181A44">
        <w:rPr>
          <w:szCs w:val="24"/>
          <w:lang w:val="en-US"/>
        </w:rPr>
        <w:t>patient’s capacity,</w:t>
      </w:r>
      <w:r w:rsidRPr="00181A44">
        <w:rPr>
          <w:b/>
          <w:szCs w:val="24"/>
          <w:lang w:val="en-US"/>
        </w:rPr>
        <w:t xml:space="preserve"> </w:t>
      </w:r>
      <w:r w:rsidR="000E38FE" w:rsidRPr="00181A44">
        <w:rPr>
          <w:szCs w:val="24"/>
          <w:lang w:val="en-US"/>
        </w:rPr>
        <w:t>in order</w:t>
      </w:r>
      <w:r w:rsidRPr="00181A44">
        <w:rPr>
          <w:szCs w:val="24"/>
          <w:lang w:val="en-US"/>
        </w:rPr>
        <w:t xml:space="preserve"> to underline the</w:t>
      </w:r>
      <w:r w:rsidR="00F035ED" w:rsidRPr="00181A44">
        <w:rPr>
          <w:szCs w:val="24"/>
          <w:lang w:val="en-US"/>
        </w:rPr>
        <w:t xml:space="preserve"> difference between </w:t>
      </w:r>
      <w:r w:rsidR="00F035ED" w:rsidRPr="00181A44">
        <w:rPr>
          <w:i/>
          <w:szCs w:val="24"/>
          <w:lang w:val="en-US"/>
        </w:rPr>
        <w:t>formal</w:t>
      </w:r>
      <w:r w:rsidR="00F035ED" w:rsidRPr="00181A44">
        <w:rPr>
          <w:szCs w:val="24"/>
          <w:lang w:val="en-US"/>
        </w:rPr>
        <w:t xml:space="preserve"> and </w:t>
      </w:r>
      <w:r w:rsidR="000E38FE" w:rsidRPr="00181A44">
        <w:rPr>
          <w:i/>
          <w:szCs w:val="24"/>
          <w:lang w:val="en-US"/>
        </w:rPr>
        <w:t xml:space="preserve">informal </w:t>
      </w:r>
      <w:r w:rsidR="000E38FE" w:rsidRPr="00181A44">
        <w:rPr>
          <w:szCs w:val="24"/>
          <w:lang w:val="en-US"/>
        </w:rPr>
        <w:t>capacity assessment</w:t>
      </w:r>
      <w:r w:rsidRPr="00181A44">
        <w:rPr>
          <w:szCs w:val="24"/>
          <w:lang w:val="en-US"/>
        </w:rPr>
        <w:t>. I</w:t>
      </w:r>
      <w:r w:rsidR="00F035ED" w:rsidRPr="00181A44">
        <w:rPr>
          <w:szCs w:val="24"/>
          <w:lang w:val="en-US"/>
        </w:rPr>
        <w:t xml:space="preserve">n </w:t>
      </w:r>
      <w:r w:rsidR="00771687" w:rsidRPr="00181A44">
        <w:rPr>
          <w:szCs w:val="24"/>
          <w:lang w:val="en-US"/>
        </w:rPr>
        <w:t xml:space="preserve">everyday </w:t>
      </w:r>
      <w:r w:rsidR="00F035ED" w:rsidRPr="00181A44">
        <w:rPr>
          <w:szCs w:val="24"/>
          <w:lang w:val="en-US"/>
        </w:rPr>
        <w:t>practice</w:t>
      </w:r>
      <w:r w:rsidR="0074453C" w:rsidRPr="00181A44">
        <w:rPr>
          <w:szCs w:val="24"/>
          <w:lang w:val="en-US"/>
        </w:rPr>
        <w:t xml:space="preserve"> health professionals perform assessments of </w:t>
      </w:r>
      <w:r w:rsidR="00771687" w:rsidRPr="00181A44">
        <w:rPr>
          <w:szCs w:val="24"/>
          <w:lang w:val="en-US"/>
        </w:rPr>
        <w:t xml:space="preserve">their </w:t>
      </w:r>
      <w:r w:rsidR="0074453C" w:rsidRPr="00181A44">
        <w:rPr>
          <w:szCs w:val="24"/>
          <w:lang w:val="en-US"/>
        </w:rPr>
        <w:t xml:space="preserve">patients’ capacity all the time, but these </w:t>
      </w:r>
      <w:r w:rsidR="000C3B67" w:rsidRPr="00181A44">
        <w:rPr>
          <w:szCs w:val="24"/>
          <w:lang w:val="en-US"/>
        </w:rPr>
        <w:t xml:space="preserve">are </w:t>
      </w:r>
      <w:r w:rsidR="0074453C" w:rsidRPr="00181A44">
        <w:rPr>
          <w:szCs w:val="24"/>
          <w:lang w:val="en-US"/>
        </w:rPr>
        <w:t>informal assessments</w:t>
      </w:r>
      <w:r w:rsidRPr="00181A44">
        <w:rPr>
          <w:szCs w:val="24"/>
          <w:lang w:val="en-US"/>
        </w:rPr>
        <w:t>:</w:t>
      </w:r>
      <w:r w:rsidR="000C3B67" w:rsidRPr="00181A44">
        <w:rPr>
          <w:szCs w:val="24"/>
          <w:lang w:val="en-US"/>
        </w:rPr>
        <w:t xml:space="preserve"> a mere </w:t>
      </w:r>
      <w:r w:rsidR="00595034" w:rsidRPr="00181A44">
        <w:rPr>
          <w:szCs w:val="24"/>
          <w:lang w:val="en-US"/>
        </w:rPr>
        <w:t>maybe even unconscious</w:t>
      </w:r>
      <w:r w:rsidR="00C0395B" w:rsidRPr="00181A44">
        <w:rPr>
          <w:szCs w:val="24"/>
          <w:lang w:val="en-US"/>
        </w:rPr>
        <w:t xml:space="preserve"> observation</w:t>
      </w:r>
      <w:r w:rsidR="00595034" w:rsidRPr="00181A44">
        <w:rPr>
          <w:szCs w:val="24"/>
          <w:lang w:val="en-US"/>
        </w:rPr>
        <w:t xml:space="preserve"> </w:t>
      </w:r>
      <w:r w:rsidR="0074453C" w:rsidRPr="00181A44">
        <w:rPr>
          <w:szCs w:val="24"/>
          <w:lang w:val="en-US"/>
        </w:rPr>
        <w:t>that the presumption of capacity should not be questioned</w:t>
      </w:r>
      <w:r w:rsidR="000C3B67" w:rsidRPr="00181A44">
        <w:rPr>
          <w:szCs w:val="24"/>
          <w:lang w:val="en-US"/>
        </w:rPr>
        <w:t xml:space="preserve">. Healthcare practice would be impossible if every single patient </w:t>
      </w:r>
      <w:r w:rsidR="00341455" w:rsidRPr="00181A44">
        <w:rPr>
          <w:szCs w:val="24"/>
          <w:lang w:val="en-US"/>
        </w:rPr>
        <w:t>had to be submitted to a formal assessment</w:t>
      </w:r>
      <w:r w:rsidR="000C3B67" w:rsidRPr="00181A44">
        <w:rPr>
          <w:szCs w:val="24"/>
          <w:lang w:val="en-US"/>
        </w:rPr>
        <w:t>, despite an apparent capacity.</w:t>
      </w:r>
      <w:r w:rsidR="009C0860" w:rsidRPr="00181A44">
        <w:rPr>
          <w:szCs w:val="24"/>
          <w:lang w:val="en-US"/>
        </w:rPr>
        <w:t xml:space="preserve"> </w:t>
      </w:r>
      <w:r w:rsidR="000738FC" w:rsidRPr="00181A44">
        <w:rPr>
          <w:szCs w:val="24"/>
          <w:lang w:val="en-US"/>
        </w:rPr>
        <w:t>It is only when</w:t>
      </w:r>
      <w:r w:rsidR="000C3B67" w:rsidRPr="00181A44">
        <w:rPr>
          <w:szCs w:val="24"/>
          <w:lang w:val="en-US"/>
        </w:rPr>
        <w:t xml:space="preserve"> </w:t>
      </w:r>
      <w:r w:rsidR="00DF4B79" w:rsidRPr="00181A44">
        <w:rPr>
          <w:szCs w:val="24"/>
          <w:lang w:val="en-US"/>
        </w:rPr>
        <w:t xml:space="preserve">a health professional has a doubt about </w:t>
      </w:r>
      <w:r w:rsidR="00341455" w:rsidRPr="00181A44">
        <w:rPr>
          <w:szCs w:val="24"/>
          <w:lang w:val="en-US"/>
        </w:rPr>
        <w:t xml:space="preserve">a </w:t>
      </w:r>
      <w:r w:rsidR="00DF4B79" w:rsidRPr="00181A44">
        <w:rPr>
          <w:szCs w:val="24"/>
          <w:lang w:val="en-US"/>
        </w:rPr>
        <w:t xml:space="preserve">patient’s </w:t>
      </w:r>
      <w:r w:rsidR="000738FC" w:rsidRPr="00181A44">
        <w:rPr>
          <w:szCs w:val="24"/>
          <w:lang w:val="en-US"/>
        </w:rPr>
        <w:t>capacity that</w:t>
      </w:r>
      <w:r w:rsidR="00DF4B79" w:rsidRPr="00181A44">
        <w:rPr>
          <w:szCs w:val="24"/>
          <w:lang w:val="en-US"/>
        </w:rPr>
        <w:t xml:space="preserve"> </w:t>
      </w:r>
      <w:r w:rsidR="00B1235E" w:rsidRPr="00181A44">
        <w:rPr>
          <w:szCs w:val="24"/>
          <w:lang w:val="en-US"/>
        </w:rPr>
        <w:t>a formal assessment</w:t>
      </w:r>
      <w:r w:rsidR="009C0860" w:rsidRPr="00181A44">
        <w:rPr>
          <w:szCs w:val="24"/>
          <w:lang w:val="en-US"/>
        </w:rPr>
        <w:t xml:space="preserve"> should be </w:t>
      </w:r>
      <w:r w:rsidR="00341455" w:rsidRPr="00181A44">
        <w:rPr>
          <w:szCs w:val="24"/>
          <w:lang w:val="en-US"/>
        </w:rPr>
        <w:t>carried out</w:t>
      </w:r>
      <w:r w:rsidR="00CF1DAF">
        <w:rPr>
          <w:szCs w:val="24"/>
          <w:lang w:val="en-US"/>
        </w:rPr>
        <w:t>,</w:t>
      </w:r>
      <w:r w:rsidR="00F7389C" w:rsidRPr="00181A44">
        <w:rPr>
          <w:rStyle w:val="Appelnotedebasdep"/>
          <w:szCs w:val="24"/>
          <w:lang w:val="en-US"/>
        </w:rPr>
        <w:footnoteReference w:id="8"/>
      </w:r>
      <w:r w:rsidR="000738FC" w:rsidRPr="00181A44">
        <w:rPr>
          <w:szCs w:val="24"/>
          <w:lang w:val="en-US"/>
        </w:rPr>
        <w:t xml:space="preserve"> following specific guidelines. </w:t>
      </w:r>
    </w:p>
    <w:p w:rsidR="000774EC" w:rsidRPr="00181A44" w:rsidRDefault="000774EC" w:rsidP="00181A44">
      <w:pPr>
        <w:spacing w:line="240" w:lineRule="auto"/>
        <w:rPr>
          <w:szCs w:val="24"/>
          <w:lang w:val="en-US"/>
        </w:rPr>
      </w:pPr>
    </w:p>
    <w:p w:rsidR="00DF4B79" w:rsidRPr="00181A44" w:rsidRDefault="0001666C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A</w:t>
      </w:r>
      <w:r w:rsidR="009C0860" w:rsidRPr="00181A44">
        <w:rPr>
          <w:szCs w:val="24"/>
          <w:lang w:val="en-US"/>
        </w:rPr>
        <w:t xml:space="preserve">ny health professional can </w:t>
      </w:r>
      <w:r w:rsidR="006A0F11" w:rsidRPr="00181A44">
        <w:rPr>
          <w:szCs w:val="24"/>
          <w:lang w:val="en-US"/>
        </w:rPr>
        <w:t>form a first opinion about</w:t>
      </w:r>
      <w:r w:rsidR="009C0860" w:rsidRPr="00181A44">
        <w:rPr>
          <w:szCs w:val="24"/>
          <w:lang w:val="en-US"/>
        </w:rPr>
        <w:t xml:space="preserve"> </w:t>
      </w:r>
      <w:r w:rsidR="00771687" w:rsidRPr="00181A44">
        <w:rPr>
          <w:szCs w:val="24"/>
          <w:lang w:val="en-US"/>
        </w:rPr>
        <w:t xml:space="preserve">a </w:t>
      </w:r>
      <w:r w:rsidR="009C0860" w:rsidRPr="00181A44">
        <w:rPr>
          <w:szCs w:val="24"/>
          <w:lang w:val="en-US"/>
        </w:rPr>
        <w:t xml:space="preserve">patient’s capacity, </w:t>
      </w:r>
      <w:r w:rsidR="006A0F11" w:rsidRPr="00181A44">
        <w:rPr>
          <w:szCs w:val="24"/>
          <w:lang w:val="en-US"/>
        </w:rPr>
        <w:t>but the</w:t>
      </w:r>
      <w:r w:rsidR="009C0860" w:rsidRPr="00181A44">
        <w:rPr>
          <w:szCs w:val="24"/>
          <w:lang w:val="en-US"/>
        </w:rPr>
        <w:t xml:space="preserve"> formal assessment needed in case of doubt should be </w:t>
      </w:r>
      <w:r w:rsidR="006A0F11" w:rsidRPr="00181A44">
        <w:rPr>
          <w:szCs w:val="24"/>
          <w:lang w:val="en-US"/>
        </w:rPr>
        <w:t>performe</w:t>
      </w:r>
      <w:r w:rsidR="007B1410" w:rsidRPr="00181A44">
        <w:rPr>
          <w:szCs w:val="24"/>
          <w:lang w:val="en-US"/>
        </w:rPr>
        <w:t>d by a duly trained physician</w:t>
      </w:r>
      <w:r w:rsidR="006A0F11" w:rsidRPr="00181A44">
        <w:rPr>
          <w:szCs w:val="24"/>
          <w:lang w:val="en-US"/>
        </w:rPr>
        <w:t>.</w:t>
      </w:r>
      <w:r w:rsidR="009C0860" w:rsidRPr="00181A44">
        <w:rPr>
          <w:szCs w:val="24"/>
          <w:lang w:val="en-US"/>
        </w:rPr>
        <w:t xml:space="preserve"> </w:t>
      </w:r>
      <w:r w:rsidRPr="00181A44">
        <w:rPr>
          <w:szCs w:val="24"/>
          <w:lang w:val="en-US"/>
        </w:rPr>
        <w:t>W</w:t>
      </w:r>
      <w:r w:rsidR="007B1410" w:rsidRPr="00181A44">
        <w:rPr>
          <w:szCs w:val="24"/>
          <w:lang w:val="en-US"/>
        </w:rPr>
        <w:t>hether th</w:t>
      </w:r>
      <w:r w:rsidR="00036AA0" w:rsidRPr="00181A44">
        <w:rPr>
          <w:szCs w:val="24"/>
          <w:lang w:val="en-US"/>
        </w:rPr>
        <w:t xml:space="preserve">is physician </w:t>
      </w:r>
      <w:r w:rsidR="007B1410" w:rsidRPr="00181A44">
        <w:rPr>
          <w:szCs w:val="24"/>
          <w:lang w:val="en-US"/>
        </w:rPr>
        <w:t>is a psychiatrist</w:t>
      </w:r>
      <w:r w:rsidR="000C3B67" w:rsidRPr="00181A44">
        <w:rPr>
          <w:szCs w:val="24"/>
          <w:lang w:val="en-US"/>
        </w:rPr>
        <w:t xml:space="preserve"> or </w:t>
      </w:r>
      <w:proofErr w:type="gramStart"/>
      <w:r w:rsidR="000C3B67" w:rsidRPr="00181A44">
        <w:rPr>
          <w:szCs w:val="24"/>
          <w:lang w:val="en-US"/>
        </w:rPr>
        <w:t xml:space="preserve">another </w:t>
      </w:r>
      <w:r w:rsidR="007B1410" w:rsidRPr="00181A44">
        <w:rPr>
          <w:szCs w:val="24"/>
          <w:lang w:val="en-US"/>
        </w:rPr>
        <w:t>physician</w:t>
      </w:r>
      <w:r w:rsidR="000C3B67" w:rsidRPr="00181A44">
        <w:rPr>
          <w:szCs w:val="24"/>
          <w:lang w:val="en-US"/>
        </w:rPr>
        <w:t xml:space="preserve"> matters</w:t>
      </w:r>
      <w:proofErr w:type="gramEnd"/>
      <w:r w:rsidR="000C3B67" w:rsidRPr="00181A44">
        <w:rPr>
          <w:szCs w:val="24"/>
          <w:lang w:val="en-US"/>
        </w:rPr>
        <w:t xml:space="preserve"> probably less than his</w:t>
      </w:r>
      <w:r w:rsidR="00036AA0" w:rsidRPr="00181A44">
        <w:rPr>
          <w:szCs w:val="24"/>
          <w:lang w:val="en-US"/>
        </w:rPr>
        <w:t xml:space="preserve"> or </w:t>
      </w:r>
      <w:r w:rsidR="00B83B61" w:rsidRPr="00181A44">
        <w:rPr>
          <w:szCs w:val="24"/>
          <w:lang w:val="en-US"/>
        </w:rPr>
        <w:t>her specific</w:t>
      </w:r>
      <w:r w:rsidR="000C3B67" w:rsidRPr="00181A44">
        <w:rPr>
          <w:szCs w:val="24"/>
          <w:lang w:val="en-US"/>
        </w:rPr>
        <w:t xml:space="preserve"> training and experience regarding capacity assessment</w:t>
      </w:r>
      <w:r w:rsidR="00CF1DAF">
        <w:rPr>
          <w:szCs w:val="24"/>
          <w:lang w:val="en-US"/>
        </w:rPr>
        <w:t>.</w:t>
      </w:r>
      <w:r w:rsidR="007B1410" w:rsidRPr="00181A44">
        <w:rPr>
          <w:rStyle w:val="Appelnotedebasdep"/>
          <w:szCs w:val="24"/>
          <w:lang w:val="en-US"/>
        </w:rPr>
        <w:footnoteReference w:id="9"/>
      </w:r>
      <w:r w:rsidR="000C3B67" w:rsidRPr="00181A44">
        <w:rPr>
          <w:szCs w:val="24"/>
          <w:lang w:val="en-US"/>
        </w:rPr>
        <w:t xml:space="preserve"> </w:t>
      </w:r>
      <w:r w:rsidR="000738FC" w:rsidRPr="00181A44">
        <w:rPr>
          <w:szCs w:val="24"/>
          <w:lang w:val="en-US"/>
        </w:rPr>
        <w:t xml:space="preserve">According to a recent research conducted among members of the American Academy of Psychosomatic Medicine, </w:t>
      </w:r>
      <w:r w:rsidR="000B102C" w:rsidRPr="00181A44">
        <w:rPr>
          <w:szCs w:val="24"/>
          <w:lang w:val="en-US"/>
        </w:rPr>
        <w:t xml:space="preserve">even </w:t>
      </w:r>
      <w:r w:rsidR="000738FC" w:rsidRPr="00181A44">
        <w:rPr>
          <w:szCs w:val="24"/>
          <w:lang w:val="en-US"/>
        </w:rPr>
        <w:t xml:space="preserve">psychiatrists find capacity assessments challenging and feel under-trained to </w:t>
      </w:r>
      <w:r w:rsidR="00B83B61" w:rsidRPr="00181A44">
        <w:rPr>
          <w:szCs w:val="24"/>
          <w:lang w:val="en-US"/>
        </w:rPr>
        <w:t xml:space="preserve">deal with </w:t>
      </w:r>
      <w:r w:rsidR="000738FC" w:rsidRPr="00181A44">
        <w:rPr>
          <w:szCs w:val="24"/>
          <w:lang w:val="en-US"/>
        </w:rPr>
        <w:t>th</w:t>
      </w:r>
      <w:r w:rsidR="006A0F11" w:rsidRPr="00181A44">
        <w:rPr>
          <w:szCs w:val="24"/>
          <w:lang w:val="en-US"/>
        </w:rPr>
        <w:t>at task</w:t>
      </w:r>
      <w:r w:rsidR="00CF1DAF">
        <w:rPr>
          <w:szCs w:val="24"/>
          <w:lang w:val="en-US"/>
        </w:rPr>
        <w:t>.</w:t>
      </w:r>
      <w:r w:rsidR="000738FC" w:rsidRPr="00181A44">
        <w:rPr>
          <w:rStyle w:val="Appelnotedebasdep"/>
          <w:szCs w:val="24"/>
          <w:lang w:val="en-US"/>
        </w:rPr>
        <w:footnoteReference w:id="10"/>
      </w:r>
    </w:p>
    <w:p w:rsidR="009C0860" w:rsidRPr="00181A44" w:rsidRDefault="009C0860" w:rsidP="00181A44">
      <w:pPr>
        <w:spacing w:line="240" w:lineRule="auto"/>
        <w:rPr>
          <w:szCs w:val="24"/>
          <w:lang w:val="en-US"/>
        </w:rPr>
      </w:pPr>
    </w:p>
    <w:p w:rsidR="00DA3F73" w:rsidRPr="00181A44" w:rsidRDefault="0001666C" w:rsidP="00181A44">
      <w:pPr>
        <w:spacing w:line="240" w:lineRule="auto"/>
        <w:rPr>
          <w:szCs w:val="24"/>
          <w:lang w:val="en"/>
        </w:rPr>
      </w:pPr>
      <w:r w:rsidRPr="00181A44">
        <w:rPr>
          <w:szCs w:val="24"/>
          <w:lang w:val="en-US"/>
        </w:rPr>
        <w:t xml:space="preserve">So, </w:t>
      </w:r>
      <w:r w:rsidR="009A27C9" w:rsidRPr="00181A44">
        <w:rPr>
          <w:szCs w:val="24"/>
          <w:lang w:val="en-US"/>
        </w:rPr>
        <w:t xml:space="preserve">in addition to </w:t>
      </w:r>
      <w:r w:rsidR="000738FC" w:rsidRPr="00181A44">
        <w:rPr>
          <w:szCs w:val="24"/>
          <w:lang w:val="en-US"/>
        </w:rPr>
        <w:t xml:space="preserve">criteria guiding </w:t>
      </w:r>
      <w:r w:rsidR="00BC292D" w:rsidRPr="00181A44">
        <w:rPr>
          <w:szCs w:val="24"/>
          <w:lang w:val="en-US"/>
        </w:rPr>
        <w:t xml:space="preserve">capacity </w:t>
      </w:r>
      <w:r w:rsidR="000738FC" w:rsidRPr="00181A44">
        <w:rPr>
          <w:szCs w:val="24"/>
          <w:lang w:val="en-US"/>
        </w:rPr>
        <w:t>assessment, law could</w:t>
      </w:r>
      <w:r w:rsidR="005123A3" w:rsidRPr="00181A44">
        <w:rPr>
          <w:szCs w:val="24"/>
          <w:lang w:val="en-US"/>
        </w:rPr>
        <w:t xml:space="preserve"> promote </w:t>
      </w:r>
      <w:r w:rsidR="009A27C9" w:rsidRPr="00181A44">
        <w:rPr>
          <w:szCs w:val="24"/>
          <w:lang w:val="en-US"/>
        </w:rPr>
        <w:t xml:space="preserve">a specific </w:t>
      </w:r>
      <w:r w:rsidR="005123A3" w:rsidRPr="00181A44">
        <w:rPr>
          <w:szCs w:val="24"/>
          <w:lang w:val="en-US"/>
        </w:rPr>
        <w:t>training</w:t>
      </w:r>
      <w:r w:rsidR="00036AA0" w:rsidRPr="00181A44">
        <w:rPr>
          <w:szCs w:val="24"/>
          <w:lang w:val="en-US"/>
        </w:rPr>
        <w:t xml:space="preserve"> for the professionals</w:t>
      </w:r>
      <w:r w:rsidR="009A27C9" w:rsidRPr="00181A44">
        <w:rPr>
          <w:szCs w:val="24"/>
          <w:lang w:val="en-US"/>
        </w:rPr>
        <w:t xml:space="preserve"> who will be expected to carry out these assessments</w:t>
      </w:r>
      <w:r w:rsidR="005123A3" w:rsidRPr="00181A44">
        <w:rPr>
          <w:szCs w:val="24"/>
          <w:lang w:val="en-US"/>
        </w:rPr>
        <w:t>, by</w:t>
      </w:r>
      <w:r w:rsidR="000738FC" w:rsidRPr="00181A44">
        <w:rPr>
          <w:szCs w:val="24"/>
          <w:lang w:val="en-US"/>
        </w:rPr>
        <w:t xml:space="preserve"> </w:t>
      </w:r>
      <w:r w:rsidR="005123A3" w:rsidRPr="00181A44">
        <w:rPr>
          <w:szCs w:val="24"/>
          <w:lang w:val="en-US"/>
        </w:rPr>
        <w:t xml:space="preserve">expressly </w:t>
      </w:r>
      <w:r w:rsidR="002C21E0" w:rsidRPr="00181A44">
        <w:rPr>
          <w:szCs w:val="24"/>
          <w:lang w:val="en-US"/>
        </w:rPr>
        <w:t>declaring</w:t>
      </w:r>
      <w:r w:rsidR="00BC292D" w:rsidRPr="00181A44">
        <w:rPr>
          <w:szCs w:val="24"/>
          <w:lang w:val="en-US"/>
        </w:rPr>
        <w:t xml:space="preserve"> that only </w:t>
      </w:r>
      <w:r w:rsidR="00036AA0" w:rsidRPr="00181A44">
        <w:rPr>
          <w:szCs w:val="24"/>
          <w:lang w:val="en-US"/>
        </w:rPr>
        <w:t xml:space="preserve">these </w:t>
      </w:r>
      <w:r w:rsidR="00BC292D" w:rsidRPr="00181A44">
        <w:rPr>
          <w:szCs w:val="24"/>
          <w:lang w:val="en-US"/>
        </w:rPr>
        <w:t xml:space="preserve">trained professionals will perform formal assessments and </w:t>
      </w:r>
      <w:r w:rsidR="005123A3" w:rsidRPr="00181A44">
        <w:rPr>
          <w:szCs w:val="24"/>
          <w:lang w:val="en-US"/>
        </w:rPr>
        <w:t xml:space="preserve">by </w:t>
      </w:r>
      <w:r w:rsidR="00BC292D" w:rsidRPr="00181A44">
        <w:rPr>
          <w:szCs w:val="24"/>
          <w:lang w:val="en-US"/>
        </w:rPr>
        <w:t>defin</w:t>
      </w:r>
      <w:r w:rsidR="005123A3" w:rsidRPr="00181A44">
        <w:rPr>
          <w:szCs w:val="24"/>
          <w:lang w:val="en-US"/>
        </w:rPr>
        <w:t>ing</w:t>
      </w:r>
      <w:r w:rsidR="00BC292D" w:rsidRPr="00181A44">
        <w:rPr>
          <w:szCs w:val="24"/>
          <w:lang w:val="en-US"/>
        </w:rPr>
        <w:t xml:space="preserve"> </w:t>
      </w:r>
      <w:r w:rsidR="00771687" w:rsidRPr="00181A44">
        <w:rPr>
          <w:szCs w:val="24"/>
          <w:lang w:val="en-US"/>
        </w:rPr>
        <w:t xml:space="preserve">the </w:t>
      </w:r>
      <w:r w:rsidR="005123A3" w:rsidRPr="00181A44">
        <w:rPr>
          <w:szCs w:val="24"/>
          <w:lang w:val="en-US"/>
        </w:rPr>
        <w:t>minimum</w:t>
      </w:r>
      <w:r w:rsidR="00BC292D" w:rsidRPr="00181A44">
        <w:rPr>
          <w:szCs w:val="24"/>
          <w:lang w:val="en-US"/>
        </w:rPr>
        <w:t xml:space="preserve"> conditions of an appropriate training. This should at</w:t>
      </w:r>
      <w:r w:rsidR="006A0F11" w:rsidRPr="00181A44">
        <w:rPr>
          <w:szCs w:val="24"/>
          <w:lang w:val="en-US"/>
        </w:rPr>
        <w:t xml:space="preserve"> least </w:t>
      </w:r>
      <w:r w:rsidR="00BC292D" w:rsidRPr="00181A44">
        <w:rPr>
          <w:szCs w:val="24"/>
          <w:lang w:val="en-US"/>
        </w:rPr>
        <w:t xml:space="preserve">be provided </w:t>
      </w:r>
      <w:r w:rsidR="006A0F11" w:rsidRPr="00181A44">
        <w:rPr>
          <w:szCs w:val="24"/>
          <w:lang w:val="en-US"/>
        </w:rPr>
        <w:t>for certain categories of patients</w:t>
      </w:r>
      <w:r w:rsidR="0011143A" w:rsidRPr="00181A44">
        <w:rPr>
          <w:szCs w:val="24"/>
          <w:lang w:val="en-US"/>
        </w:rPr>
        <w:t>, whose</w:t>
      </w:r>
      <w:r w:rsidR="00BC292D" w:rsidRPr="00181A44">
        <w:rPr>
          <w:szCs w:val="24"/>
          <w:lang w:val="en-US"/>
        </w:rPr>
        <w:t xml:space="preserve"> capacity </w:t>
      </w:r>
      <w:r w:rsidR="0011143A" w:rsidRPr="00181A44">
        <w:rPr>
          <w:szCs w:val="24"/>
          <w:lang w:val="en-US"/>
        </w:rPr>
        <w:t xml:space="preserve">is particularly complex to assess, like people living with a </w:t>
      </w:r>
      <w:r w:rsidR="00FC3541" w:rsidRPr="00181A44">
        <w:rPr>
          <w:szCs w:val="24"/>
          <w:lang w:val="en-US"/>
        </w:rPr>
        <w:t>mental disorder</w:t>
      </w:r>
      <w:r w:rsidR="0011143A" w:rsidRPr="00181A44">
        <w:rPr>
          <w:szCs w:val="24"/>
          <w:lang w:val="en-US"/>
        </w:rPr>
        <w:t>.</w:t>
      </w:r>
      <w:r w:rsidR="00C1620D" w:rsidRPr="00181A44">
        <w:rPr>
          <w:szCs w:val="24"/>
          <w:lang w:val="en"/>
        </w:rPr>
        <w:t xml:space="preserve"> </w:t>
      </w:r>
      <w:r w:rsidR="00DA3F73" w:rsidRPr="00181A44">
        <w:rPr>
          <w:szCs w:val="24"/>
          <w:lang w:val="en"/>
        </w:rPr>
        <w:t>In Belgian law, Royal Decrees</w:t>
      </w:r>
      <w:r w:rsidR="00DA3F73" w:rsidRPr="00181A44">
        <w:rPr>
          <w:rStyle w:val="Appelnotedebasdep"/>
          <w:szCs w:val="24"/>
          <w:lang w:val="en"/>
        </w:rPr>
        <w:footnoteReference w:id="11"/>
      </w:r>
      <w:r w:rsidR="00DA3F73" w:rsidRPr="00181A44">
        <w:rPr>
          <w:szCs w:val="24"/>
          <w:lang w:val="en"/>
        </w:rPr>
        <w:t xml:space="preserve"> could be </w:t>
      </w:r>
      <w:r w:rsidR="00C0395B" w:rsidRPr="00181A44">
        <w:rPr>
          <w:szCs w:val="24"/>
          <w:lang w:val="en"/>
        </w:rPr>
        <w:t>issued</w:t>
      </w:r>
      <w:r w:rsidR="00DA3F73" w:rsidRPr="00181A44">
        <w:rPr>
          <w:szCs w:val="24"/>
          <w:lang w:val="en"/>
        </w:rPr>
        <w:t xml:space="preserve">, in </w:t>
      </w:r>
      <w:r w:rsidR="00771687" w:rsidRPr="00181A44">
        <w:rPr>
          <w:szCs w:val="24"/>
          <w:lang w:val="en"/>
        </w:rPr>
        <w:t>conformity</w:t>
      </w:r>
      <w:r w:rsidR="00DA3F73" w:rsidRPr="00181A44">
        <w:rPr>
          <w:szCs w:val="24"/>
          <w:lang w:val="en"/>
        </w:rPr>
        <w:t xml:space="preserve"> with</w:t>
      </w:r>
      <w:r w:rsidR="00DA3F73" w:rsidRPr="00181A44">
        <w:rPr>
          <w:szCs w:val="24"/>
          <w:lang w:val="en-US"/>
        </w:rPr>
        <w:t xml:space="preserve"> </w:t>
      </w:r>
      <w:r w:rsidR="00771687" w:rsidRPr="00181A44">
        <w:rPr>
          <w:szCs w:val="24"/>
          <w:lang w:val="en-US"/>
        </w:rPr>
        <w:t xml:space="preserve">the </w:t>
      </w:r>
      <w:r w:rsidR="00DA3F73" w:rsidRPr="00181A44">
        <w:rPr>
          <w:szCs w:val="24"/>
          <w:lang w:val="en-US"/>
        </w:rPr>
        <w:t>Patient’s Rights Act</w:t>
      </w:r>
      <w:r w:rsidR="00CF1DAF">
        <w:rPr>
          <w:szCs w:val="24"/>
          <w:lang w:val="en-US"/>
        </w:rPr>
        <w:t>,</w:t>
      </w:r>
      <w:r w:rsidR="00DA3F73" w:rsidRPr="00181A44">
        <w:rPr>
          <w:rStyle w:val="Appelnotedebasdep"/>
          <w:szCs w:val="24"/>
          <w:lang w:val="en"/>
        </w:rPr>
        <w:footnoteReference w:id="12"/>
      </w:r>
      <w:r w:rsidR="00DA3F73" w:rsidRPr="00181A44">
        <w:rPr>
          <w:szCs w:val="24"/>
          <w:lang w:val="en-US"/>
        </w:rPr>
        <w:t xml:space="preserve"> to</w:t>
      </w:r>
      <w:r w:rsidR="00DA3F73" w:rsidRPr="00181A44">
        <w:rPr>
          <w:szCs w:val="24"/>
          <w:lang w:val="en"/>
        </w:rPr>
        <w:t xml:space="preserve"> specify the training </w:t>
      </w:r>
      <w:r w:rsidR="00771687" w:rsidRPr="00181A44">
        <w:rPr>
          <w:szCs w:val="24"/>
          <w:lang w:val="en"/>
        </w:rPr>
        <w:t xml:space="preserve">which should be attended by </w:t>
      </w:r>
      <w:r w:rsidR="002C21E0" w:rsidRPr="00181A44">
        <w:rPr>
          <w:szCs w:val="24"/>
          <w:lang w:val="en"/>
        </w:rPr>
        <w:t>the professionals</w:t>
      </w:r>
      <w:r w:rsidR="00DA3F73" w:rsidRPr="00181A44">
        <w:rPr>
          <w:szCs w:val="24"/>
          <w:lang w:val="en"/>
        </w:rPr>
        <w:t xml:space="preserve"> who </w:t>
      </w:r>
      <w:r w:rsidR="00771687" w:rsidRPr="00181A44">
        <w:rPr>
          <w:szCs w:val="24"/>
          <w:lang w:val="en"/>
        </w:rPr>
        <w:t xml:space="preserve">are supposed to carry out </w:t>
      </w:r>
      <w:r w:rsidR="009A27C9" w:rsidRPr="00181A44">
        <w:rPr>
          <w:szCs w:val="24"/>
          <w:lang w:val="en"/>
        </w:rPr>
        <w:t xml:space="preserve">these </w:t>
      </w:r>
      <w:r w:rsidR="00771687" w:rsidRPr="00181A44">
        <w:rPr>
          <w:szCs w:val="24"/>
          <w:lang w:val="en"/>
        </w:rPr>
        <w:t xml:space="preserve">formal assessments </w:t>
      </w:r>
      <w:r w:rsidR="00E169CA" w:rsidRPr="00181A44">
        <w:rPr>
          <w:szCs w:val="24"/>
          <w:lang w:val="en"/>
        </w:rPr>
        <w:t>of the</w:t>
      </w:r>
      <w:r w:rsidR="00771687" w:rsidRPr="00181A44">
        <w:rPr>
          <w:szCs w:val="24"/>
          <w:lang w:val="en"/>
        </w:rPr>
        <w:t xml:space="preserve"> </w:t>
      </w:r>
      <w:r w:rsidR="00DA3F73" w:rsidRPr="00181A44">
        <w:rPr>
          <w:szCs w:val="24"/>
          <w:lang w:val="en"/>
        </w:rPr>
        <w:t>capacity of patients with mental disorders.</w:t>
      </w:r>
    </w:p>
    <w:p w:rsidR="000774EC" w:rsidRDefault="000774EC" w:rsidP="00181A44">
      <w:pPr>
        <w:spacing w:line="240" w:lineRule="auto"/>
        <w:rPr>
          <w:szCs w:val="24"/>
          <w:lang w:val="en"/>
        </w:rPr>
      </w:pPr>
    </w:p>
    <w:p w:rsidR="001E0C69" w:rsidRPr="00181A44" w:rsidRDefault="001E0C69" w:rsidP="00181A44">
      <w:pPr>
        <w:spacing w:line="240" w:lineRule="auto"/>
        <w:rPr>
          <w:szCs w:val="24"/>
          <w:lang w:val="en"/>
        </w:rPr>
      </w:pPr>
    </w:p>
    <w:p w:rsidR="00907A78" w:rsidRPr="001E0C69" w:rsidRDefault="00830C0E" w:rsidP="001E0C69">
      <w:pPr>
        <w:pStyle w:val="Paragraphedeliste"/>
        <w:numPr>
          <w:ilvl w:val="0"/>
          <w:numId w:val="12"/>
        </w:numPr>
        <w:spacing w:line="240" w:lineRule="auto"/>
        <w:rPr>
          <w:b/>
          <w:szCs w:val="24"/>
          <w:lang w:val="en-US"/>
        </w:rPr>
      </w:pPr>
      <w:r w:rsidRPr="001E0C69">
        <w:rPr>
          <w:b/>
          <w:szCs w:val="24"/>
          <w:lang w:val="en-US"/>
        </w:rPr>
        <w:t>How should capacity be assessed? Still need for a procedure</w:t>
      </w:r>
    </w:p>
    <w:p w:rsidR="00830C0E" w:rsidRPr="00181A44" w:rsidRDefault="00830C0E" w:rsidP="00181A44">
      <w:pPr>
        <w:spacing w:line="240" w:lineRule="auto"/>
        <w:rPr>
          <w:b/>
          <w:szCs w:val="24"/>
          <w:lang w:val="en-US"/>
        </w:rPr>
      </w:pPr>
    </w:p>
    <w:p w:rsidR="003A025A" w:rsidRPr="00181A44" w:rsidRDefault="00F406FF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lastRenderedPageBreak/>
        <w:t>Finally</w:t>
      </w:r>
      <w:r w:rsidRPr="00181A44">
        <w:rPr>
          <w:b/>
          <w:szCs w:val="24"/>
          <w:lang w:val="en-US"/>
        </w:rPr>
        <w:t xml:space="preserve">, </w:t>
      </w:r>
      <w:r w:rsidR="00C87A61" w:rsidRPr="00181A44">
        <w:rPr>
          <w:szCs w:val="24"/>
          <w:lang w:val="en-US"/>
        </w:rPr>
        <w:t xml:space="preserve">even if there is an implicit consensus to say that a health professional </w:t>
      </w:r>
      <w:r w:rsidR="00E5567D" w:rsidRPr="00181A44">
        <w:rPr>
          <w:szCs w:val="24"/>
          <w:lang w:val="en-US"/>
        </w:rPr>
        <w:t xml:space="preserve">has to </w:t>
      </w:r>
      <w:r w:rsidR="00C87A61" w:rsidRPr="00181A44">
        <w:rPr>
          <w:szCs w:val="24"/>
          <w:lang w:val="en-US"/>
        </w:rPr>
        <w:t xml:space="preserve">assess </w:t>
      </w:r>
      <w:r w:rsidR="009A27C9" w:rsidRPr="00181A44">
        <w:rPr>
          <w:szCs w:val="24"/>
          <w:lang w:val="en-US"/>
        </w:rPr>
        <w:t xml:space="preserve">a </w:t>
      </w:r>
      <w:r w:rsidR="00C87A61" w:rsidRPr="00181A44">
        <w:rPr>
          <w:szCs w:val="24"/>
          <w:lang w:val="en-US"/>
        </w:rPr>
        <w:t xml:space="preserve">patient’s capacity before </w:t>
      </w:r>
      <w:r w:rsidR="009A27C9" w:rsidRPr="00181A44">
        <w:rPr>
          <w:szCs w:val="24"/>
          <w:lang w:val="en-US"/>
        </w:rPr>
        <w:t xml:space="preserve">trying to obtain </w:t>
      </w:r>
      <w:r w:rsidR="00C87A61" w:rsidRPr="00181A44">
        <w:rPr>
          <w:szCs w:val="24"/>
          <w:lang w:val="en-US"/>
        </w:rPr>
        <w:t>his</w:t>
      </w:r>
      <w:r w:rsidR="00B479F0" w:rsidRPr="00181A44">
        <w:rPr>
          <w:szCs w:val="24"/>
          <w:lang w:val="en-US"/>
        </w:rPr>
        <w:t xml:space="preserve"> or </w:t>
      </w:r>
      <w:r w:rsidR="009A27C9" w:rsidRPr="00181A44">
        <w:rPr>
          <w:szCs w:val="24"/>
          <w:lang w:val="en-US"/>
        </w:rPr>
        <w:t xml:space="preserve">her </w:t>
      </w:r>
      <w:r w:rsidR="00C87A61" w:rsidRPr="00181A44">
        <w:rPr>
          <w:szCs w:val="24"/>
          <w:lang w:val="en-US"/>
        </w:rPr>
        <w:t xml:space="preserve">consent, </w:t>
      </w:r>
      <w:r w:rsidR="009A27C9" w:rsidRPr="00181A44">
        <w:rPr>
          <w:szCs w:val="24"/>
          <w:lang w:val="en-US"/>
        </w:rPr>
        <w:t xml:space="preserve">the </w:t>
      </w:r>
      <w:r w:rsidR="00C87A61" w:rsidRPr="00181A44">
        <w:rPr>
          <w:szCs w:val="24"/>
          <w:lang w:val="en-US"/>
        </w:rPr>
        <w:t xml:space="preserve">Belgian Patient’s Rights Act is mute on how such an assessment should be </w:t>
      </w:r>
      <w:r w:rsidR="009A27C9" w:rsidRPr="00181A44">
        <w:rPr>
          <w:szCs w:val="24"/>
          <w:lang w:val="en-US"/>
        </w:rPr>
        <w:t>carried out</w:t>
      </w:r>
      <w:r w:rsidR="00C87A61" w:rsidRPr="00181A44">
        <w:rPr>
          <w:szCs w:val="24"/>
          <w:lang w:val="en-US"/>
        </w:rPr>
        <w:t>.</w:t>
      </w:r>
    </w:p>
    <w:p w:rsidR="003A025A" w:rsidRPr="00181A44" w:rsidRDefault="003A025A" w:rsidP="00181A44">
      <w:pPr>
        <w:spacing w:line="240" w:lineRule="auto"/>
        <w:rPr>
          <w:szCs w:val="24"/>
          <w:lang w:val="en-US"/>
        </w:rPr>
      </w:pPr>
    </w:p>
    <w:p w:rsidR="0004318A" w:rsidRPr="00181A44" w:rsidRDefault="003A025A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Of course it is not the role of law to tell health professionals how to do their job but providing for a </w:t>
      </w:r>
      <w:r w:rsidRPr="00181A44">
        <w:rPr>
          <w:i/>
          <w:szCs w:val="24"/>
          <w:lang w:val="en-US"/>
        </w:rPr>
        <w:t>frame-procedure</w:t>
      </w:r>
      <w:r w:rsidRPr="00181A44">
        <w:rPr>
          <w:szCs w:val="24"/>
          <w:lang w:val="en-US"/>
        </w:rPr>
        <w:t xml:space="preserve"> guiding capacity assessment </w:t>
      </w:r>
      <w:r w:rsidR="0004318A" w:rsidRPr="00181A44">
        <w:rPr>
          <w:szCs w:val="24"/>
          <w:lang w:val="en-US"/>
        </w:rPr>
        <w:t>would be an acknowledgment of the complexity of th</w:t>
      </w:r>
      <w:r w:rsidRPr="00181A44">
        <w:rPr>
          <w:szCs w:val="24"/>
          <w:lang w:val="en-US"/>
        </w:rPr>
        <w:t>is</w:t>
      </w:r>
      <w:r w:rsidR="0004318A" w:rsidRPr="00181A44">
        <w:rPr>
          <w:szCs w:val="24"/>
          <w:lang w:val="en-US"/>
        </w:rPr>
        <w:t xml:space="preserve"> process.</w:t>
      </w:r>
    </w:p>
    <w:p w:rsidR="00ED6D0D" w:rsidRPr="00181A44" w:rsidRDefault="00ED6D0D" w:rsidP="00181A44">
      <w:pPr>
        <w:spacing w:line="240" w:lineRule="auto"/>
        <w:rPr>
          <w:szCs w:val="24"/>
          <w:lang w:val="en-US"/>
        </w:rPr>
      </w:pPr>
    </w:p>
    <w:p w:rsidR="00A221C5" w:rsidRPr="00181A44" w:rsidRDefault="003A025A" w:rsidP="00181A44">
      <w:pPr>
        <w:spacing w:line="240" w:lineRule="auto"/>
        <w:rPr>
          <w:strike/>
          <w:szCs w:val="24"/>
          <w:lang w:val="en-US"/>
        </w:rPr>
      </w:pPr>
      <w:r w:rsidRPr="00181A44">
        <w:rPr>
          <w:szCs w:val="24"/>
          <w:lang w:val="en-US"/>
        </w:rPr>
        <w:t xml:space="preserve">A minimal but legally sustained procedure </w:t>
      </w:r>
      <w:r w:rsidR="000E38FE" w:rsidRPr="00181A44">
        <w:rPr>
          <w:szCs w:val="24"/>
          <w:lang w:val="en-US"/>
        </w:rPr>
        <w:t xml:space="preserve">could help to </w:t>
      </w:r>
      <w:r w:rsidR="00A221C5" w:rsidRPr="00181A44">
        <w:rPr>
          <w:szCs w:val="24"/>
          <w:lang w:val="en-US"/>
        </w:rPr>
        <w:t xml:space="preserve">realize that a mere doubt about capacity is not a </w:t>
      </w:r>
      <w:r w:rsidR="00E5567D" w:rsidRPr="00181A44">
        <w:rPr>
          <w:szCs w:val="24"/>
          <w:lang w:val="en-US"/>
        </w:rPr>
        <w:t xml:space="preserve">statement </w:t>
      </w:r>
      <w:r w:rsidR="00A221C5" w:rsidRPr="00181A44">
        <w:rPr>
          <w:szCs w:val="24"/>
          <w:lang w:val="en-US"/>
        </w:rPr>
        <w:t>of incapacity</w:t>
      </w:r>
      <w:r w:rsidR="000E38FE" w:rsidRPr="00181A44">
        <w:rPr>
          <w:szCs w:val="24"/>
          <w:lang w:val="en-US"/>
        </w:rPr>
        <w:t xml:space="preserve"> and</w:t>
      </w:r>
      <w:r w:rsidR="00A221C5" w:rsidRPr="00181A44">
        <w:rPr>
          <w:szCs w:val="24"/>
          <w:lang w:val="en-US"/>
        </w:rPr>
        <w:t xml:space="preserve"> </w:t>
      </w:r>
      <w:r w:rsidR="00693018" w:rsidRPr="00181A44">
        <w:rPr>
          <w:szCs w:val="24"/>
          <w:lang w:val="en-US"/>
        </w:rPr>
        <w:t xml:space="preserve">that </w:t>
      </w:r>
      <w:r w:rsidR="00F62823" w:rsidRPr="00181A44">
        <w:rPr>
          <w:szCs w:val="24"/>
          <w:lang w:val="en-US"/>
        </w:rPr>
        <w:t>it</w:t>
      </w:r>
      <w:r w:rsidR="00A221C5" w:rsidRPr="00181A44">
        <w:rPr>
          <w:szCs w:val="24"/>
          <w:lang w:val="en-US"/>
        </w:rPr>
        <w:t xml:space="preserve"> only calls for a more formal assessment, without prejudice </w:t>
      </w:r>
      <w:r w:rsidR="002C21E0" w:rsidRPr="00181A44">
        <w:rPr>
          <w:szCs w:val="24"/>
          <w:lang w:val="en-US"/>
        </w:rPr>
        <w:t xml:space="preserve">to </w:t>
      </w:r>
      <w:r w:rsidR="00A221C5" w:rsidRPr="00181A44">
        <w:rPr>
          <w:szCs w:val="24"/>
          <w:lang w:val="en-US"/>
        </w:rPr>
        <w:t xml:space="preserve"> the conclusion of that assessment. A legal frame could also </w:t>
      </w:r>
      <w:r w:rsidR="00E5567D" w:rsidRPr="00181A44">
        <w:rPr>
          <w:szCs w:val="24"/>
          <w:lang w:val="en-US"/>
        </w:rPr>
        <w:t>help the p</w:t>
      </w:r>
      <w:r w:rsidR="00B479F0" w:rsidRPr="00181A44">
        <w:rPr>
          <w:szCs w:val="24"/>
          <w:lang w:val="en-US"/>
        </w:rPr>
        <w:t>rofessionals</w:t>
      </w:r>
      <w:r w:rsidR="00E5567D" w:rsidRPr="00181A44">
        <w:rPr>
          <w:szCs w:val="24"/>
          <w:lang w:val="en-US"/>
        </w:rPr>
        <w:t xml:space="preserve"> in charge of assessment </w:t>
      </w:r>
      <w:r w:rsidR="000E38FE" w:rsidRPr="00181A44">
        <w:rPr>
          <w:szCs w:val="24"/>
          <w:lang w:val="en-US"/>
        </w:rPr>
        <w:t>s</w:t>
      </w:r>
      <w:r w:rsidR="00A221C5" w:rsidRPr="00181A44">
        <w:rPr>
          <w:szCs w:val="24"/>
          <w:lang w:val="en-US"/>
        </w:rPr>
        <w:t>tructur</w:t>
      </w:r>
      <w:r w:rsidR="000E38FE" w:rsidRPr="00181A44">
        <w:rPr>
          <w:szCs w:val="24"/>
          <w:lang w:val="en-US"/>
        </w:rPr>
        <w:t>ing</w:t>
      </w:r>
      <w:r w:rsidR="00A221C5" w:rsidRPr="00181A44">
        <w:rPr>
          <w:szCs w:val="24"/>
          <w:lang w:val="en-US"/>
        </w:rPr>
        <w:t xml:space="preserve"> their assessment</w:t>
      </w:r>
      <w:r w:rsidR="000E38FE" w:rsidRPr="00181A44">
        <w:rPr>
          <w:szCs w:val="24"/>
          <w:lang w:val="en-US"/>
        </w:rPr>
        <w:t xml:space="preserve"> or </w:t>
      </w:r>
      <w:r w:rsidR="006F3249" w:rsidRPr="00181A44">
        <w:rPr>
          <w:szCs w:val="24"/>
          <w:lang w:val="en-US"/>
        </w:rPr>
        <w:t xml:space="preserve">comfort them in the idea that a </w:t>
      </w:r>
      <w:r w:rsidR="00E5567D" w:rsidRPr="00181A44">
        <w:rPr>
          <w:szCs w:val="24"/>
          <w:lang w:val="en-US"/>
        </w:rPr>
        <w:t xml:space="preserve">statement </w:t>
      </w:r>
      <w:r w:rsidR="006F3249" w:rsidRPr="00181A44">
        <w:rPr>
          <w:szCs w:val="24"/>
          <w:lang w:val="en-US"/>
        </w:rPr>
        <w:t xml:space="preserve">of capacity or incapacity is the result of </w:t>
      </w:r>
      <w:r w:rsidR="00E5567D" w:rsidRPr="00181A44">
        <w:rPr>
          <w:szCs w:val="24"/>
          <w:lang w:val="en-US"/>
        </w:rPr>
        <w:t xml:space="preserve">a </w:t>
      </w:r>
      <w:r w:rsidR="006F3249" w:rsidRPr="00181A44">
        <w:rPr>
          <w:szCs w:val="24"/>
          <w:lang w:val="en-US"/>
        </w:rPr>
        <w:t>balance of probabilities</w:t>
      </w:r>
      <w:r w:rsidR="006F3249" w:rsidRPr="00181A44">
        <w:rPr>
          <w:rStyle w:val="Appelnotedebasdep"/>
          <w:szCs w:val="24"/>
          <w:lang w:val="en-US"/>
        </w:rPr>
        <w:footnoteReference w:id="13"/>
      </w:r>
      <w:r w:rsidR="006F3249" w:rsidRPr="00181A44">
        <w:rPr>
          <w:szCs w:val="24"/>
          <w:lang w:val="en-US"/>
        </w:rPr>
        <w:t xml:space="preserve"> and not the observation of a categorical and unchanging reality:</w:t>
      </w:r>
      <w:r w:rsidR="00636377" w:rsidRPr="00181A44">
        <w:rPr>
          <w:szCs w:val="24"/>
          <w:lang w:val="en-US"/>
        </w:rPr>
        <w:t xml:space="preserve"> as certitude is dangerous</w:t>
      </w:r>
      <w:r w:rsidR="006F3249" w:rsidRPr="00181A44">
        <w:rPr>
          <w:szCs w:val="24"/>
          <w:lang w:val="en-US"/>
        </w:rPr>
        <w:t xml:space="preserve"> in that field, law could help to assume a certain level of </w:t>
      </w:r>
      <w:r w:rsidR="00B479F0" w:rsidRPr="00181A44">
        <w:rPr>
          <w:szCs w:val="24"/>
          <w:lang w:val="en-US"/>
        </w:rPr>
        <w:t>uncertainty</w:t>
      </w:r>
      <w:r w:rsidR="006F3249" w:rsidRPr="00181A44">
        <w:rPr>
          <w:szCs w:val="24"/>
          <w:lang w:val="en-US"/>
        </w:rPr>
        <w:t xml:space="preserve">. </w:t>
      </w:r>
      <w:r w:rsidR="00A221C5" w:rsidRPr="00181A44">
        <w:rPr>
          <w:szCs w:val="24"/>
          <w:lang w:val="en-US"/>
        </w:rPr>
        <w:t>Last but not least, the systematic use of a similar procedure could stimulate good practices’ exchanges and evidence-based research about</w:t>
      </w:r>
      <w:r w:rsidR="002C21E0" w:rsidRPr="00181A44">
        <w:rPr>
          <w:szCs w:val="24"/>
          <w:lang w:val="en-US"/>
        </w:rPr>
        <w:t xml:space="preserve"> the</w:t>
      </w:r>
      <w:r w:rsidR="00A221C5" w:rsidRPr="00181A44">
        <w:rPr>
          <w:szCs w:val="24"/>
          <w:lang w:val="en-US"/>
        </w:rPr>
        <w:t xml:space="preserve"> reliability of capacity assessment tests, in order to </w:t>
      </w:r>
      <w:r w:rsidR="00E5567D" w:rsidRPr="00181A44">
        <w:rPr>
          <w:szCs w:val="24"/>
          <w:lang w:val="en-US"/>
        </w:rPr>
        <w:t xml:space="preserve">be </w:t>
      </w:r>
      <w:r w:rsidR="002C21E0" w:rsidRPr="00181A44">
        <w:rPr>
          <w:szCs w:val="24"/>
          <w:lang w:val="en-US"/>
        </w:rPr>
        <w:t xml:space="preserve">more </w:t>
      </w:r>
      <w:r w:rsidR="00E5567D" w:rsidRPr="00181A44">
        <w:rPr>
          <w:szCs w:val="24"/>
          <w:lang w:val="en-US"/>
        </w:rPr>
        <w:t xml:space="preserve">able to </w:t>
      </w:r>
      <w:r w:rsidR="00A221C5" w:rsidRPr="00181A44">
        <w:rPr>
          <w:szCs w:val="24"/>
          <w:lang w:val="en-US"/>
        </w:rPr>
        <w:t xml:space="preserve">define </w:t>
      </w:r>
      <w:r w:rsidR="00E5567D" w:rsidRPr="00181A44">
        <w:rPr>
          <w:szCs w:val="24"/>
          <w:lang w:val="en-US"/>
        </w:rPr>
        <w:t xml:space="preserve">in a next step </w:t>
      </w:r>
      <w:r w:rsidR="00B479F0" w:rsidRPr="00181A44">
        <w:rPr>
          <w:szCs w:val="24"/>
          <w:lang w:val="en-US"/>
        </w:rPr>
        <w:t xml:space="preserve">what </w:t>
      </w:r>
      <w:bookmarkStart w:id="0" w:name="_GoBack"/>
      <w:bookmarkEnd w:id="0"/>
      <w:r w:rsidR="000F62FA" w:rsidRPr="00181A44">
        <w:rPr>
          <w:szCs w:val="24"/>
          <w:lang w:val="en-US"/>
        </w:rPr>
        <w:t>the best practices are</w:t>
      </w:r>
      <w:r w:rsidR="00B479F0" w:rsidRPr="00181A44">
        <w:rPr>
          <w:szCs w:val="24"/>
          <w:lang w:val="en-US"/>
        </w:rPr>
        <w:t>.</w:t>
      </w:r>
      <w:r w:rsidR="00A221C5" w:rsidRPr="00181A44">
        <w:rPr>
          <w:szCs w:val="24"/>
          <w:lang w:val="en-US"/>
        </w:rPr>
        <w:t xml:space="preserve"> </w:t>
      </w:r>
    </w:p>
    <w:p w:rsidR="00A221C5" w:rsidRPr="00181A44" w:rsidRDefault="00A221C5" w:rsidP="00181A44">
      <w:pPr>
        <w:spacing w:line="240" w:lineRule="auto"/>
        <w:rPr>
          <w:szCs w:val="24"/>
          <w:lang w:val="en-US"/>
        </w:rPr>
      </w:pPr>
    </w:p>
    <w:p w:rsidR="00917BD9" w:rsidRPr="00181A44" w:rsidRDefault="005C64B0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In practice, </w:t>
      </w:r>
      <w:r w:rsidR="00CF2F29" w:rsidRPr="00181A44">
        <w:rPr>
          <w:szCs w:val="24"/>
          <w:lang w:val="en-US"/>
        </w:rPr>
        <w:t xml:space="preserve">numerous </w:t>
      </w:r>
      <w:r w:rsidR="00A221C5" w:rsidRPr="00181A44">
        <w:rPr>
          <w:szCs w:val="24"/>
          <w:lang w:val="en-US"/>
        </w:rPr>
        <w:t xml:space="preserve">assessment </w:t>
      </w:r>
      <w:r w:rsidR="00CF2F29" w:rsidRPr="00181A44">
        <w:rPr>
          <w:szCs w:val="24"/>
          <w:lang w:val="en-US"/>
        </w:rPr>
        <w:t xml:space="preserve">tools </w:t>
      </w:r>
      <w:r w:rsidR="00A221C5" w:rsidRPr="00181A44">
        <w:rPr>
          <w:szCs w:val="24"/>
          <w:lang w:val="en-US"/>
        </w:rPr>
        <w:t xml:space="preserve">exist, like the “Aid </w:t>
      </w:r>
      <w:r w:rsidR="0020588A" w:rsidRPr="00181A44">
        <w:rPr>
          <w:szCs w:val="24"/>
          <w:lang w:val="en-US"/>
        </w:rPr>
        <w:t>f</w:t>
      </w:r>
      <w:r w:rsidR="00A221C5" w:rsidRPr="00181A44">
        <w:rPr>
          <w:szCs w:val="24"/>
          <w:lang w:val="en-US"/>
        </w:rPr>
        <w:t>o</w:t>
      </w:r>
      <w:r w:rsidR="0020588A" w:rsidRPr="00181A44">
        <w:rPr>
          <w:szCs w:val="24"/>
          <w:lang w:val="en-US"/>
        </w:rPr>
        <w:t>r</w:t>
      </w:r>
      <w:r w:rsidR="00A221C5" w:rsidRPr="00181A44">
        <w:rPr>
          <w:szCs w:val="24"/>
          <w:lang w:val="en-US"/>
        </w:rPr>
        <w:t xml:space="preserve"> Capacity Evaluation” of the University of Toronto</w:t>
      </w:r>
      <w:r w:rsidR="009607CD" w:rsidRPr="00181A44">
        <w:rPr>
          <w:rStyle w:val="Appelnotedebasdep"/>
          <w:szCs w:val="24"/>
          <w:lang w:val="en-US"/>
        </w:rPr>
        <w:footnoteReference w:id="14"/>
      </w:r>
      <w:r w:rsidR="00106FEF" w:rsidRPr="00181A44">
        <w:rPr>
          <w:szCs w:val="24"/>
          <w:lang w:val="en-US"/>
        </w:rPr>
        <w:t xml:space="preserve"> or the </w:t>
      </w:r>
      <w:r w:rsidR="000E38FE" w:rsidRPr="00181A44">
        <w:rPr>
          <w:szCs w:val="24"/>
          <w:lang w:val="en-US"/>
        </w:rPr>
        <w:t>“</w:t>
      </w:r>
      <w:r w:rsidR="00106FEF" w:rsidRPr="00181A44">
        <w:rPr>
          <w:szCs w:val="24"/>
          <w:lang w:val="en-US"/>
        </w:rPr>
        <w:t>Mac Arthur Competence Assessment Tool-Treatment</w:t>
      </w:r>
      <w:r w:rsidR="000E38FE" w:rsidRPr="00181A44">
        <w:rPr>
          <w:szCs w:val="24"/>
          <w:lang w:val="en-US"/>
        </w:rPr>
        <w:t>”</w:t>
      </w:r>
      <w:r w:rsidR="00CF1DAF">
        <w:rPr>
          <w:szCs w:val="24"/>
          <w:lang w:val="en-US"/>
        </w:rPr>
        <w:t>,</w:t>
      </w:r>
      <w:r w:rsidR="00106FEF" w:rsidRPr="00181A44">
        <w:rPr>
          <w:rStyle w:val="Appelnotedebasdep"/>
          <w:szCs w:val="24"/>
          <w:lang w:val="en-US"/>
        </w:rPr>
        <w:footnoteReference w:id="15"/>
      </w:r>
      <w:r w:rsidR="00CF2F29" w:rsidRPr="00181A44">
        <w:rPr>
          <w:szCs w:val="24"/>
          <w:lang w:val="en-US"/>
        </w:rPr>
        <w:t xml:space="preserve"> but there is no</w:t>
      </w:r>
      <w:r w:rsidR="00A221C5" w:rsidRPr="00181A44">
        <w:rPr>
          <w:szCs w:val="24"/>
          <w:lang w:val="en-US"/>
        </w:rPr>
        <w:t xml:space="preserve"> universal consensus</w:t>
      </w:r>
      <w:r w:rsidRPr="00181A44">
        <w:rPr>
          <w:color w:val="FF0000"/>
          <w:szCs w:val="24"/>
          <w:lang w:val="en-US"/>
        </w:rPr>
        <w:t xml:space="preserve"> </w:t>
      </w:r>
      <w:r w:rsidR="00CF2F29" w:rsidRPr="00181A44">
        <w:rPr>
          <w:szCs w:val="24"/>
          <w:lang w:val="en-US"/>
        </w:rPr>
        <w:t>and i</w:t>
      </w:r>
      <w:r w:rsidR="00961C1D" w:rsidRPr="00181A44">
        <w:rPr>
          <w:szCs w:val="24"/>
          <w:lang w:val="en-US"/>
        </w:rPr>
        <w:t xml:space="preserve">t is not the </w:t>
      </w:r>
      <w:r w:rsidR="000E38FE" w:rsidRPr="00181A44">
        <w:rPr>
          <w:szCs w:val="24"/>
          <w:lang w:val="en-US"/>
        </w:rPr>
        <w:t>role</w:t>
      </w:r>
      <w:r w:rsidR="00961C1D" w:rsidRPr="00181A44">
        <w:rPr>
          <w:szCs w:val="24"/>
          <w:lang w:val="en-US"/>
        </w:rPr>
        <w:t xml:space="preserve"> of </w:t>
      </w:r>
      <w:r w:rsidRPr="00181A44">
        <w:rPr>
          <w:szCs w:val="24"/>
          <w:lang w:val="en-US"/>
        </w:rPr>
        <w:t xml:space="preserve">law </w:t>
      </w:r>
      <w:r w:rsidR="00961C1D" w:rsidRPr="00181A44">
        <w:rPr>
          <w:szCs w:val="24"/>
          <w:lang w:val="en-US"/>
        </w:rPr>
        <w:t>to freeze practices by imposing</w:t>
      </w:r>
      <w:r w:rsidR="00A221C5" w:rsidRPr="00181A44">
        <w:rPr>
          <w:szCs w:val="24"/>
          <w:lang w:val="en-US"/>
        </w:rPr>
        <w:t xml:space="preserve"> a </w:t>
      </w:r>
      <w:r w:rsidR="00961C1D" w:rsidRPr="00181A44">
        <w:rPr>
          <w:szCs w:val="24"/>
          <w:lang w:val="en-US"/>
        </w:rPr>
        <w:t>tool</w:t>
      </w:r>
      <w:r w:rsidR="00ED6D0D" w:rsidRPr="00181A44">
        <w:rPr>
          <w:szCs w:val="24"/>
          <w:lang w:val="en-US"/>
        </w:rPr>
        <w:t xml:space="preserve"> or another</w:t>
      </w:r>
      <w:r w:rsidR="00E5567D" w:rsidRPr="00181A44">
        <w:rPr>
          <w:szCs w:val="24"/>
          <w:lang w:val="en-US"/>
        </w:rPr>
        <w:t>. L</w:t>
      </w:r>
      <w:r w:rsidR="00CF2F29" w:rsidRPr="00181A44">
        <w:rPr>
          <w:szCs w:val="24"/>
          <w:lang w:val="en-US"/>
        </w:rPr>
        <w:t>aw</w:t>
      </w:r>
      <w:r w:rsidR="00961C1D" w:rsidRPr="00181A44">
        <w:rPr>
          <w:szCs w:val="24"/>
          <w:lang w:val="en-US"/>
        </w:rPr>
        <w:t xml:space="preserve"> </w:t>
      </w:r>
      <w:r w:rsidRPr="00181A44">
        <w:rPr>
          <w:szCs w:val="24"/>
          <w:lang w:val="en-US"/>
        </w:rPr>
        <w:t xml:space="preserve">could </w:t>
      </w:r>
      <w:r w:rsidR="00E5567D" w:rsidRPr="00181A44">
        <w:rPr>
          <w:szCs w:val="24"/>
          <w:lang w:val="en-US"/>
        </w:rPr>
        <w:t xml:space="preserve">however </w:t>
      </w:r>
      <w:r w:rsidRPr="00181A44">
        <w:rPr>
          <w:szCs w:val="24"/>
          <w:lang w:val="en-US"/>
        </w:rPr>
        <w:t xml:space="preserve">provide </w:t>
      </w:r>
      <w:r w:rsidR="00E5567D" w:rsidRPr="00181A44">
        <w:rPr>
          <w:szCs w:val="24"/>
          <w:lang w:val="en-US"/>
        </w:rPr>
        <w:t xml:space="preserve">at least </w:t>
      </w:r>
      <w:r w:rsidRPr="00181A44">
        <w:rPr>
          <w:szCs w:val="24"/>
          <w:lang w:val="en-US"/>
        </w:rPr>
        <w:t xml:space="preserve">for a procedure with minimum steps </w:t>
      </w:r>
      <w:r w:rsidR="007B1410" w:rsidRPr="00181A44">
        <w:rPr>
          <w:szCs w:val="24"/>
          <w:lang w:val="en-US"/>
        </w:rPr>
        <w:t xml:space="preserve">and principles </w:t>
      </w:r>
      <w:r w:rsidRPr="00181A44">
        <w:rPr>
          <w:szCs w:val="24"/>
          <w:lang w:val="en-US"/>
        </w:rPr>
        <w:t xml:space="preserve">to </w:t>
      </w:r>
      <w:r w:rsidR="00E5567D" w:rsidRPr="00181A44">
        <w:rPr>
          <w:szCs w:val="24"/>
          <w:lang w:val="en-US"/>
        </w:rPr>
        <w:t xml:space="preserve">be </w:t>
      </w:r>
      <w:r w:rsidR="00A773D6" w:rsidRPr="00181A44">
        <w:rPr>
          <w:szCs w:val="24"/>
          <w:lang w:val="en-US"/>
        </w:rPr>
        <w:t>respect</w:t>
      </w:r>
      <w:r w:rsidR="00E5567D" w:rsidRPr="00181A44">
        <w:rPr>
          <w:szCs w:val="24"/>
          <w:lang w:val="en-US"/>
        </w:rPr>
        <w:t>ed</w:t>
      </w:r>
      <w:r w:rsidR="00A773D6" w:rsidRPr="00181A44">
        <w:rPr>
          <w:szCs w:val="24"/>
          <w:lang w:val="en-US"/>
        </w:rPr>
        <w:t xml:space="preserve">: </w:t>
      </w:r>
      <w:r w:rsidR="00917BD9" w:rsidRPr="00181A44">
        <w:rPr>
          <w:szCs w:val="24"/>
          <w:lang w:val="en-US"/>
        </w:rPr>
        <w:t xml:space="preserve">using a tool recognized as </w:t>
      </w:r>
      <w:r w:rsidR="00BD2CF1" w:rsidRPr="00181A44">
        <w:rPr>
          <w:szCs w:val="24"/>
          <w:lang w:val="en-US"/>
        </w:rPr>
        <w:t xml:space="preserve">efficient </w:t>
      </w:r>
      <w:r w:rsidR="00917BD9" w:rsidRPr="00181A44">
        <w:rPr>
          <w:szCs w:val="24"/>
          <w:lang w:val="en-US"/>
        </w:rPr>
        <w:t xml:space="preserve">by peers, </w:t>
      </w:r>
      <w:r w:rsidR="00BD2CF1" w:rsidRPr="00181A44">
        <w:rPr>
          <w:szCs w:val="24"/>
          <w:lang w:val="en-US"/>
        </w:rPr>
        <w:t xml:space="preserve">carrying out </w:t>
      </w:r>
      <w:r w:rsidR="00693018" w:rsidRPr="00181A44">
        <w:rPr>
          <w:szCs w:val="24"/>
          <w:lang w:val="en-US"/>
        </w:rPr>
        <w:t>an</w:t>
      </w:r>
      <w:r w:rsidR="00917BD9" w:rsidRPr="00181A44">
        <w:rPr>
          <w:szCs w:val="24"/>
          <w:lang w:val="en-US"/>
        </w:rPr>
        <w:t xml:space="preserve"> assessment</w:t>
      </w:r>
      <w:r w:rsidR="00693018" w:rsidRPr="00181A44">
        <w:rPr>
          <w:szCs w:val="24"/>
          <w:lang w:val="en-US"/>
        </w:rPr>
        <w:t xml:space="preserve"> </w:t>
      </w:r>
      <w:r w:rsidR="00BD2CF1" w:rsidRPr="00181A44">
        <w:rPr>
          <w:szCs w:val="24"/>
          <w:lang w:val="en-US"/>
        </w:rPr>
        <w:t>which is</w:t>
      </w:r>
      <w:r w:rsidR="00693018" w:rsidRPr="00181A44">
        <w:rPr>
          <w:szCs w:val="24"/>
          <w:lang w:val="en-US"/>
        </w:rPr>
        <w:t xml:space="preserve"> specific to a decision</w:t>
      </w:r>
      <w:r w:rsidR="00917BD9" w:rsidRPr="00181A44">
        <w:rPr>
          <w:szCs w:val="24"/>
          <w:lang w:val="en-US"/>
        </w:rPr>
        <w:t xml:space="preserve">, </w:t>
      </w:r>
      <w:r w:rsidR="000117E6" w:rsidRPr="00181A44">
        <w:rPr>
          <w:szCs w:val="24"/>
          <w:lang w:val="en-US"/>
        </w:rPr>
        <w:t>trying to identify causes of incapacity and to remedy them</w:t>
      </w:r>
      <w:r w:rsidR="00CF1DAF">
        <w:rPr>
          <w:szCs w:val="24"/>
          <w:lang w:val="en-US"/>
        </w:rPr>
        <w:t>,</w:t>
      </w:r>
      <w:r w:rsidR="000117E6" w:rsidRPr="00181A44">
        <w:rPr>
          <w:rStyle w:val="Appelnotedebasdep"/>
          <w:szCs w:val="24"/>
          <w:lang w:val="en-US"/>
        </w:rPr>
        <w:footnoteReference w:id="16"/>
      </w:r>
      <w:r w:rsidR="000117E6" w:rsidRPr="00181A44">
        <w:rPr>
          <w:szCs w:val="24"/>
          <w:lang w:val="en-US"/>
        </w:rPr>
        <w:t xml:space="preserve"> </w:t>
      </w:r>
      <w:r w:rsidR="00917BD9" w:rsidRPr="00181A44">
        <w:rPr>
          <w:szCs w:val="24"/>
          <w:lang w:val="en-US"/>
        </w:rPr>
        <w:t xml:space="preserve">describing </w:t>
      </w:r>
      <w:r w:rsidR="00E5567D" w:rsidRPr="00181A44">
        <w:rPr>
          <w:szCs w:val="24"/>
          <w:lang w:val="en-US"/>
        </w:rPr>
        <w:t xml:space="preserve">the </w:t>
      </w:r>
      <w:r w:rsidR="00917BD9" w:rsidRPr="00181A44">
        <w:rPr>
          <w:szCs w:val="24"/>
          <w:lang w:val="en-US"/>
        </w:rPr>
        <w:t xml:space="preserve">assessment process and </w:t>
      </w:r>
      <w:r w:rsidR="00E5567D" w:rsidRPr="00181A44">
        <w:rPr>
          <w:szCs w:val="24"/>
          <w:lang w:val="en-US"/>
        </w:rPr>
        <w:t xml:space="preserve">observations </w:t>
      </w:r>
      <w:r w:rsidR="000117E6" w:rsidRPr="00181A44">
        <w:rPr>
          <w:szCs w:val="24"/>
          <w:lang w:val="en-US"/>
        </w:rPr>
        <w:t xml:space="preserve">in </w:t>
      </w:r>
      <w:r w:rsidR="00CA1340" w:rsidRPr="00181A44">
        <w:rPr>
          <w:szCs w:val="24"/>
          <w:lang w:val="en-US"/>
        </w:rPr>
        <w:t>the</w:t>
      </w:r>
      <w:r w:rsidR="00E5567D" w:rsidRPr="00181A44">
        <w:rPr>
          <w:szCs w:val="24"/>
          <w:lang w:val="en-US"/>
        </w:rPr>
        <w:t xml:space="preserve"> </w:t>
      </w:r>
      <w:r w:rsidR="000117E6" w:rsidRPr="00181A44">
        <w:rPr>
          <w:szCs w:val="24"/>
          <w:lang w:val="en-US"/>
        </w:rPr>
        <w:t xml:space="preserve">patient’s record, </w:t>
      </w:r>
      <w:r w:rsidR="00917BD9" w:rsidRPr="00181A44">
        <w:rPr>
          <w:szCs w:val="24"/>
          <w:lang w:val="en-US"/>
        </w:rPr>
        <w:t>performing regular re-assessments</w:t>
      </w:r>
      <w:r w:rsidR="00EA603D" w:rsidRPr="00181A44">
        <w:rPr>
          <w:szCs w:val="24"/>
          <w:lang w:val="en-US"/>
        </w:rPr>
        <w:t>…</w:t>
      </w:r>
    </w:p>
    <w:p w:rsidR="00F41A88" w:rsidRPr="00181A44" w:rsidRDefault="00F41A88" w:rsidP="00181A44">
      <w:pPr>
        <w:spacing w:line="240" w:lineRule="auto"/>
        <w:rPr>
          <w:szCs w:val="24"/>
          <w:lang w:val="en-US"/>
        </w:rPr>
      </w:pPr>
    </w:p>
    <w:p w:rsidR="003D44F3" w:rsidRPr="00181A44" w:rsidRDefault="003D44F3" w:rsidP="00181A44">
      <w:pPr>
        <w:spacing w:line="240" w:lineRule="auto"/>
        <w:rPr>
          <w:szCs w:val="24"/>
          <w:lang w:val="en-US"/>
        </w:rPr>
      </w:pPr>
    </w:p>
    <w:p w:rsidR="009C0860" w:rsidRPr="001E0C69" w:rsidRDefault="00EA603D" w:rsidP="001E0C69">
      <w:pPr>
        <w:pStyle w:val="Paragraphedeliste"/>
        <w:numPr>
          <w:ilvl w:val="0"/>
          <w:numId w:val="12"/>
        </w:numPr>
        <w:spacing w:line="240" w:lineRule="auto"/>
        <w:rPr>
          <w:b/>
          <w:szCs w:val="24"/>
          <w:lang w:val="en-US"/>
        </w:rPr>
      </w:pPr>
      <w:r w:rsidRPr="001E0C69">
        <w:rPr>
          <w:b/>
          <w:szCs w:val="24"/>
          <w:lang w:val="en-US"/>
        </w:rPr>
        <w:t>Conclusions</w:t>
      </w:r>
    </w:p>
    <w:p w:rsidR="00640EDB" w:rsidRPr="00181A44" w:rsidRDefault="00640EDB" w:rsidP="00181A44">
      <w:pPr>
        <w:spacing w:line="240" w:lineRule="auto"/>
        <w:rPr>
          <w:szCs w:val="24"/>
          <w:lang w:val="en-US"/>
        </w:rPr>
      </w:pPr>
    </w:p>
    <w:p w:rsidR="00A5356D" w:rsidRPr="00181A44" w:rsidRDefault="00640EDB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The consequences of a </w:t>
      </w:r>
      <w:r w:rsidR="00BD2CF1" w:rsidRPr="00181A44">
        <w:rPr>
          <w:szCs w:val="24"/>
          <w:lang w:val="en-US"/>
        </w:rPr>
        <w:t xml:space="preserve">statement </w:t>
      </w:r>
      <w:r w:rsidRPr="00181A44">
        <w:rPr>
          <w:szCs w:val="24"/>
          <w:lang w:val="en-US"/>
        </w:rPr>
        <w:t xml:space="preserve">of incapacity </w:t>
      </w:r>
      <w:r w:rsidR="000E38FE" w:rsidRPr="00181A44">
        <w:rPr>
          <w:szCs w:val="24"/>
          <w:lang w:val="en-US"/>
        </w:rPr>
        <w:t>are</w:t>
      </w:r>
      <w:r w:rsidRPr="00181A44">
        <w:rPr>
          <w:szCs w:val="24"/>
          <w:lang w:val="en-US"/>
        </w:rPr>
        <w:t xml:space="preserve"> heavy, for the patient</w:t>
      </w:r>
      <w:r w:rsidR="00CA1340" w:rsidRPr="00181A44">
        <w:rPr>
          <w:szCs w:val="24"/>
          <w:lang w:val="en-US"/>
        </w:rPr>
        <w:t>s</w:t>
      </w:r>
      <w:r w:rsidRPr="00181A44">
        <w:rPr>
          <w:szCs w:val="24"/>
          <w:lang w:val="en-US"/>
        </w:rPr>
        <w:t xml:space="preserve"> can</w:t>
      </w:r>
      <w:r w:rsidR="000E38FE" w:rsidRPr="00181A44">
        <w:rPr>
          <w:szCs w:val="24"/>
          <w:lang w:val="en-US"/>
        </w:rPr>
        <w:t xml:space="preserve"> be denied the possibility to</w:t>
      </w:r>
      <w:r w:rsidRPr="00181A44">
        <w:rPr>
          <w:szCs w:val="24"/>
          <w:lang w:val="en-US"/>
        </w:rPr>
        <w:t xml:space="preserve"> exercise </w:t>
      </w:r>
      <w:r w:rsidR="00CA1340" w:rsidRPr="00181A44">
        <w:rPr>
          <w:szCs w:val="24"/>
          <w:lang w:val="en-US"/>
        </w:rPr>
        <w:t>their</w:t>
      </w:r>
      <w:r w:rsidR="00BD2CF1" w:rsidRPr="00181A44">
        <w:rPr>
          <w:szCs w:val="24"/>
          <w:lang w:val="en-US"/>
        </w:rPr>
        <w:t xml:space="preserve"> rights – particularly the</w:t>
      </w:r>
      <w:r w:rsidRPr="00181A44">
        <w:rPr>
          <w:szCs w:val="24"/>
          <w:lang w:val="en-US"/>
        </w:rPr>
        <w:t xml:space="preserve"> right to consent </w:t>
      </w:r>
      <w:r w:rsidR="00BD2CF1" w:rsidRPr="00181A44">
        <w:rPr>
          <w:szCs w:val="24"/>
          <w:lang w:val="en-US"/>
        </w:rPr>
        <w:t xml:space="preserve">to </w:t>
      </w:r>
      <w:r w:rsidRPr="00181A44">
        <w:rPr>
          <w:szCs w:val="24"/>
          <w:lang w:val="en-US"/>
        </w:rPr>
        <w:t xml:space="preserve">or </w:t>
      </w:r>
      <w:r w:rsidR="00B479F0" w:rsidRPr="00181A44">
        <w:rPr>
          <w:szCs w:val="24"/>
          <w:lang w:val="en-US"/>
        </w:rPr>
        <w:t xml:space="preserve">to </w:t>
      </w:r>
      <w:r w:rsidRPr="00181A44">
        <w:rPr>
          <w:szCs w:val="24"/>
          <w:lang w:val="en-US"/>
        </w:rPr>
        <w:t xml:space="preserve">refuse </w:t>
      </w:r>
      <w:r w:rsidR="00BD2CF1" w:rsidRPr="00181A44">
        <w:rPr>
          <w:szCs w:val="24"/>
          <w:lang w:val="en-US"/>
        </w:rPr>
        <w:t xml:space="preserve">a </w:t>
      </w:r>
      <w:r w:rsidRPr="00181A44">
        <w:rPr>
          <w:szCs w:val="24"/>
          <w:lang w:val="en-US"/>
        </w:rPr>
        <w:t xml:space="preserve">treatment – by </w:t>
      </w:r>
      <w:r w:rsidR="00CA1340" w:rsidRPr="00181A44">
        <w:rPr>
          <w:szCs w:val="24"/>
          <w:lang w:val="en-US"/>
        </w:rPr>
        <w:t>themselves</w:t>
      </w:r>
      <w:r w:rsidRPr="00181A44">
        <w:rPr>
          <w:szCs w:val="24"/>
          <w:lang w:val="en-US"/>
        </w:rPr>
        <w:t xml:space="preserve">. Therefore, law should not only pay attention to the </w:t>
      </w:r>
      <w:r w:rsidRPr="00181A44">
        <w:rPr>
          <w:i/>
          <w:szCs w:val="24"/>
          <w:lang w:val="en-US"/>
        </w:rPr>
        <w:t>consequences</w:t>
      </w:r>
      <w:r w:rsidRPr="00181A44">
        <w:rPr>
          <w:szCs w:val="24"/>
          <w:lang w:val="en-US"/>
        </w:rPr>
        <w:t xml:space="preserve"> </w:t>
      </w:r>
      <w:r w:rsidRPr="00181A44">
        <w:rPr>
          <w:i/>
          <w:szCs w:val="24"/>
          <w:lang w:val="en-US"/>
        </w:rPr>
        <w:t>of incapacity</w:t>
      </w:r>
      <w:r w:rsidRPr="00181A44">
        <w:rPr>
          <w:szCs w:val="24"/>
          <w:lang w:val="en-US"/>
        </w:rPr>
        <w:t xml:space="preserve"> but also to </w:t>
      </w:r>
      <w:r w:rsidR="000E38FE" w:rsidRPr="00181A44">
        <w:rPr>
          <w:i/>
          <w:szCs w:val="24"/>
          <w:lang w:val="en-US"/>
        </w:rPr>
        <w:t xml:space="preserve">capacity itself and </w:t>
      </w:r>
      <w:r w:rsidRPr="00181A44">
        <w:rPr>
          <w:i/>
          <w:szCs w:val="24"/>
          <w:lang w:val="en-US"/>
        </w:rPr>
        <w:t>the</w:t>
      </w:r>
      <w:r w:rsidRPr="00181A44">
        <w:rPr>
          <w:szCs w:val="24"/>
          <w:lang w:val="en-US"/>
        </w:rPr>
        <w:t xml:space="preserve"> </w:t>
      </w:r>
      <w:r w:rsidRPr="00181A44">
        <w:rPr>
          <w:i/>
          <w:szCs w:val="24"/>
          <w:lang w:val="en-US"/>
        </w:rPr>
        <w:t>process</w:t>
      </w:r>
      <w:r w:rsidRPr="00181A44">
        <w:rPr>
          <w:szCs w:val="24"/>
          <w:lang w:val="en-US"/>
        </w:rPr>
        <w:t xml:space="preserve"> </w:t>
      </w:r>
      <w:r w:rsidRPr="00181A44">
        <w:rPr>
          <w:i/>
          <w:szCs w:val="24"/>
          <w:lang w:val="en-US"/>
        </w:rPr>
        <w:t>guiding its assessment</w:t>
      </w:r>
      <w:r w:rsidRPr="00181A44">
        <w:rPr>
          <w:szCs w:val="24"/>
          <w:lang w:val="en-US"/>
        </w:rPr>
        <w:t xml:space="preserve">. </w:t>
      </w:r>
      <w:r w:rsidR="00686027" w:rsidRPr="00181A44">
        <w:rPr>
          <w:szCs w:val="24"/>
          <w:lang w:val="en-US"/>
        </w:rPr>
        <w:t>As our legal culture</w:t>
      </w:r>
      <w:r w:rsidR="006A7AD3" w:rsidRPr="00181A44">
        <w:rPr>
          <w:szCs w:val="24"/>
          <w:lang w:val="en-US"/>
        </w:rPr>
        <w:t xml:space="preserve"> promotes patient’s </w:t>
      </w:r>
      <w:r w:rsidR="00A5356D" w:rsidRPr="00181A44">
        <w:rPr>
          <w:szCs w:val="24"/>
          <w:lang w:val="en-US"/>
        </w:rPr>
        <w:t xml:space="preserve">autonomy, it is quite inconsistent not to deal with the elements that will lead </w:t>
      </w:r>
      <w:r w:rsidR="00E60B9C" w:rsidRPr="00181A44">
        <w:rPr>
          <w:szCs w:val="24"/>
          <w:lang w:val="en-US"/>
        </w:rPr>
        <w:t xml:space="preserve">a </w:t>
      </w:r>
      <w:r w:rsidR="00A5356D" w:rsidRPr="00181A44">
        <w:rPr>
          <w:szCs w:val="24"/>
          <w:lang w:val="en-US"/>
        </w:rPr>
        <w:t>health professional to add</w:t>
      </w:r>
      <w:r w:rsidR="00E60B9C" w:rsidRPr="00181A44">
        <w:rPr>
          <w:szCs w:val="24"/>
          <w:lang w:val="en-US"/>
        </w:rPr>
        <w:t xml:space="preserve">ress a surrogate decision-maker </w:t>
      </w:r>
      <w:r w:rsidR="000E38FE" w:rsidRPr="00181A44">
        <w:rPr>
          <w:szCs w:val="24"/>
          <w:lang w:val="en-US"/>
        </w:rPr>
        <w:t>beside (</w:t>
      </w:r>
      <w:r w:rsidR="00E60B9C" w:rsidRPr="00181A44">
        <w:rPr>
          <w:szCs w:val="24"/>
          <w:lang w:val="en-US"/>
        </w:rPr>
        <w:t>instead of</w:t>
      </w:r>
      <w:r w:rsidR="000E38FE" w:rsidRPr="00181A44">
        <w:rPr>
          <w:szCs w:val="24"/>
          <w:lang w:val="en-US"/>
        </w:rPr>
        <w:t>?)</w:t>
      </w:r>
      <w:r w:rsidR="00E60B9C" w:rsidRPr="00181A44">
        <w:rPr>
          <w:szCs w:val="24"/>
          <w:lang w:val="en-US"/>
        </w:rPr>
        <w:t xml:space="preserve"> the patient</w:t>
      </w:r>
      <w:r w:rsidR="00CA1340" w:rsidRPr="00181A44">
        <w:rPr>
          <w:szCs w:val="24"/>
          <w:lang w:val="en-US"/>
        </w:rPr>
        <w:t>s</w:t>
      </w:r>
      <w:r w:rsidR="00E60B9C" w:rsidRPr="00181A44">
        <w:rPr>
          <w:szCs w:val="24"/>
          <w:lang w:val="en-US"/>
        </w:rPr>
        <w:t xml:space="preserve"> </w:t>
      </w:r>
      <w:r w:rsidR="00CA1340" w:rsidRPr="00181A44">
        <w:rPr>
          <w:szCs w:val="24"/>
          <w:lang w:val="en-US"/>
        </w:rPr>
        <w:t>themselves</w:t>
      </w:r>
      <w:r w:rsidR="00E60B9C" w:rsidRPr="00181A44">
        <w:rPr>
          <w:szCs w:val="24"/>
          <w:lang w:val="en-US"/>
        </w:rPr>
        <w:t>.</w:t>
      </w:r>
    </w:p>
    <w:p w:rsidR="00A5356D" w:rsidRPr="00181A44" w:rsidRDefault="00A5356D" w:rsidP="00181A44">
      <w:pPr>
        <w:spacing w:line="240" w:lineRule="auto"/>
        <w:rPr>
          <w:szCs w:val="24"/>
          <w:lang w:val="en-US"/>
        </w:rPr>
      </w:pPr>
    </w:p>
    <w:p w:rsidR="00052B0D" w:rsidRPr="00181A44" w:rsidRDefault="00052B0D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lastRenderedPageBreak/>
        <w:t>Moreover, the need for capacity assessment will only grow</w:t>
      </w:r>
      <w:r w:rsidR="00BD2CF1" w:rsidRPr="00181A44">
        <w:rPr>
          <w:szCs w:val="24"/>
          <w:lang w:val="en-US"/>
        </w:rPr>
        <w:t xml:space="preserve"> in the future</w:t>
      </w:r>
      <w:r w:rsidR="002C21E0" w:rsidRPr="00181A44">
        <w:rPr>
          <w:szCs w:val="24"/>
          <w:lang w:val="en-US"/>
        </w:rPr>
        <w:t>:</w:t>
      </w:r>
      <w:r w:rsidRPr="00181A44">
        <w:rPr>
          <w:szCs w:val="24"/>
          <w:lang w:val="en-US"/>
        </w:rPr>
        <w:t xml:space="preserve"> on the one hand, the population is aging and will </w:t>
      </w:r>
      <w:r w:rsidR="00FD3EB2" w:rsidRPr="00181A44">
        <w:rPr>
          <w:szCs w:val="24"/>
          <w:lang w:val="en-US"/>
        </w:rPr>
        <w:t>be likely to</w:t>
      </w:r>
      <w:r w:rsidR="002C21E0" w:rsidRPr="00181A44">
        <w:rPr>
          <w:szCs w:val="24"/>
          <w:lang w:val="en-US"/>
        </w:rPr>
        <w:t xml:space="preserve"> </w:t>
      </w:r>
      <w:r w:rsidRPr="00181A44">
        <w:rPr>
          <w:szCs w:val="24"/>
          <w:lang w:val="en-US"/>
        </w:rPr>
        <w:t>face capacity troubles caused by dementia</w:t>
      </w:r>
      <w:r w:rsidR="00CF1DAF">
        <w:rPr>
          <w:szCs w:val="24"/>
          <w:lang w:val="en-US"/>
        </w:rPr>
        <w:t>;</w:t>
      </w:r>
      <w:r w:rsidR="009607CD" w:rsidRPr="00181A44">
        <w:rPr>
          <w:rStyle w:val="Appelnotedebasdep"/>
          <w:szCs w:val="24"/>
          <w:lang w:val="en-US"/>
        </w:rPr>
        <w:footnoteReference w:id="17"/>
      </w:r>
      <w:r w:rsidRPr="00181A44">
        <w:rPr>
          <w:szCs w:val="24"/>
          <w:lang w:val="en-US"/>
        </w:rPr>
        <w:t xml:space="preserve"> on the other hand, “all or nothing” solutions are not accepted anymore. Nowadays, consequences of incapacity must be tailored, adapted, to this incapacity, which makes precise assessments necessary</w:t>
      </w:r>
      <w:r w:rsidR="00CF1DAF">
        <w:rPr>
          <w:szCs w:val="24"/>
          <w:lang w:val="en-US"/>
        </w:rPr>
        <w:t>.</w:t>
      </w:r>
      <w:r w:rsidRPr="00181A44">
        <w:rPr>
          <w:rStyle w:val="Appelnotedebasdep"/>
          <w:szCs w:val="24"/>
          <w:lang w:val="en-US"/>
        </w:rPr>
        <w:footnoteReference w:id="18"/>
      </w:r>
    </w:p>
    <w:p w:rsidR="00052B0D" w:rsidRPr="00181A44" w:rsidRDefault="00052B0D" w:rsidP="00181A44">
      <w:pPr>
        <w:spacing w:line="240" w:lineRule="auto"/>
        <w:rPr>
          <w:szCs w:val="24"/>
          <w:lang w:val="en-US"/>
        </w:rPr>
      </w:pPr>
    </w:p>
    <w:p w:rsidR="00052B0D" w:rsidRPr="00181A44" w:rsidRDefault="001B7754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>For these reasons, law should deal, even minimally, with the process of capacity assessment</w:t>
      </w:r>
      <w:r w:rsidR="00986400" w:rsidRPr="00181A44">
        <w:rPr>
          <w:szCs w:val="24"/>
          <w:lang w:val="en-US"/>
        </w:rPr>
        <w:t>.</w:t>
      </w:r>
    </w:p>
    <w:p w:rsidR="001B7754" w:rsidRPr="00181A44" w:rsidRDefault="001B7754" w:rsidP="00181A44">
      <w:pPr>
        <w:spacing w:line="240" w:lineRule="auto"/>
        <w:rPr>
          <w:szCs w:val="24"/>
          <w:lang w:val="en-US"/>
        </w:rPr>
      </w:pPr>
    </w:p>
    <w:p w:rsidR="00A5356D" w:rsidRPr="00181A44" w:rsidRDefault="00A5356D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Protecting the rights of </w:t>
      </w:r>
      <w:r w:rsidR="00454E69" w:rsidRPr="00181A44">
        <w:rPr>
          <w:szCs w:val="24"/>
          <w:lang w:val="en-US"/>
        </w:rPr>
        <w:t xml:space="preserve">vulnerable </w:t>
      </w:r>
      <w:r w:rsidRPr="00181A44">
        <w:rPr>
          <w:szCs w:val="24"/>
          <w:lang w:val="en-US"/>
        </w:rPr>
        <w:t xml:space="preserve">patients implies they could challenge a </w:t>
      </w:r>
      <w:r w:rsidR="00BD2CF1" w:rsidRPr="00181A44">
        <w:rPr>
          <w:szCs w:val="24"/>
          <w:lang w:val="en-US"/>
        </w:rPr>
        <w:t xml:space="preserve">statement </w:t>
      </w:r>
      <w:r w:rsidRPr="00181A44">
        <w:rPr>
          <w:szCs w:val="24"/>
          <w:lang w:val="en-US"/>
        </w:rPr>
        <w:t xml:space="preserve">of incapacity, which is far easier if the assessment process is a bit formalized. </w:t>
      </w:r>
      <w:r w:rsidR="001B7754" w:rsidRPr="00181A44">
        <w:rPr>
          <w:szCs w:val="24"/>
          <w:lang w:val="en-US"/>
        </w:rPr>
        <w:t xml:space="preserve">A legal frame would also help to realize that any doubt about capacity is not a </w:t>
      </w:r>
      <w:r w:rsidR="00BD2CF1" w:rsidRPr="00181A44">
        <w:rPr>
          <w:szCs w:val="24"/>
          <w:lang w:val="en-US"/>
        </w:rPr>
        <w:t xml:space="preserve">declaration </w:t>
      </w:r>
      <w:r w:rsidR="001B7754" w:rsidRPr="00181A44">
        <w:rPr>
          <w:szCs w:val="24"/>
          <w:lang w:val="en-US"/>
        </w:rPr>
        <w:t xml:space="preserve">of incapacity but calls </w:t>
      </w:r>
      <w:r w:rsidR="00BD2CF1" w:rsidRPr="00181A44">
        <w:rPr>
          <w:szCs w:val="24"/>
          <w:lang w:val="en-US"/>
        </w:rPr>
        <w:t xml:space="preserve">for </w:t>
      </w:r>
      <w:r w:rsidR="00B479F0" w:rsidRPr="00181A44">
        <w:rPr>
          <w:szCs w:val="24"/>
          <w:lang w:val="en-US"/>
        </w:rPr>
        <w:t xml:space="preserve">a more formal assessment: </w:t>
      </w:r>
      <w:r w:rsidR="00170F08" w:rsidRPr="00181A44">
        <w:rPr>
          <w:szCs w:val="24"/>
          <w:lang w:val="en-US"/>
        </w:rPr>
        <w:t>h</w:t>
      </w:r>
      <w:r w:rsidR="001B7754" w:rsidRPr="00181A44">
        <w:rPr>
          <w:szCs w:val="24"/>
          <w:lang w:val="en-US"/>
        </w:rPr>
        <w:t xml:space="preserve">asty </w:t>
      </w:r>
      <w:r w:rsidR="00BD2CF1" w:rsidRPr="00181A44">
        <w:rPr>
          <w:szCs w:val="24"/>
          <w:lang w:val="en-US"/>
        </w:rPr>
        <w:t xml:space="preserve">declarations </w:t>
      </w:r>
      <w:r w:rsidR="00482005" w:rsidRPr="00181A44">
        <w:rPr>
          <w:szCs w:val="24"/>
          <w:lang w:val="en-US"/>
        </w:rPr>
        <w:t>about</w:t>
      </w:r>
      <w:r w:rsidR="001B7754" w:rsidRPr="00181A44">
        <w:rPr>
          <w:szCs w:val="24"/>
          <w:lang w:val="en-US"/>
        </w:rPr>
        <w:t xml:space="preserve"> capacity involve high risks of violating </w:t>
      </w:r>
      <w:r w:rsidR="00BD2CF1" w:rsidRPr="00181A44">
        <w:rPr>
          <w:szCs w:val="24"/>
          <w:lang w:val="en-US"/>
        </w:rPr>
        <w:t xml:space="preserve">the </w:t>
      </w:r>
      <w:r w:rsidR="001B7754" w:rsidRPr="00181A44">
        <w:rPr>
          <w:szCs w:val="24"/>
          <w:lang w:val="en-US"/>
        </w:rPr>
        <w:t>patient’s rights, as the patient</w:t>
      </w:r>
      <w:r w:rsidR="00CA1340" w:rsidRPr="00181A44">
        <w:rPr>
          <w:szCs w:val="24"/>
          <w:lang w:val="en-US"/>
        </w:rPr>
        <w:t>s</w:t>
      </w:r>
      <w:r w:rsidR="001B7754" w:rsidRPr="00181A44">
        <w:rPr>
          <w:szCs w:val="24"/>
          <w:lang w:val="en-US"/>
        </w:rPr>
        <w:t xml:space="preserve"> could be denied the right to decide</w:t>
      </w:r>
      <w:r w:rsidR="000E38FE" w:rsidRPr="00181A44">
        <w:rPr>
          <w:szCs w:val="24"/>
          <w:lang w:val="en-US"/>
        </w:rPr>
        <w:t xml:space="preserve"> by </w:t>
      </w:r>
      <w:r w:rsidR="00CA1340" w:rsidRPr="00181A44">
        <w:rPr>
          <w:szCs w:val="24"/>
          <w:lang w:val="en-US"/>
        </w:rPr>
        <w:t>themselves</w:t>
      </w:r>
      <w:r w:rsidR="001B7754" w:rsidRPr="00181A44">
        <w:rPr>
          <w:szCs w:val="24"/>
          <w:lang w:val="en-US"/>
        </w:rPr>
        <w:t xml:space="preserve"> even if </w:t>
      </w:r>
      <w:r w:rsidR="00CA1340" w:rsidRPr="00181A44">
        <w:rPr>
          <w:szCs w:val="24"/>
          <w:lang w:val="en-US"/>
        </w:rPr>
        <w:t>they are</w:t>
      </w:r>
      <w:r w:rsidR="001B7754" w:rsidRPr="00181A44">
        <w:rPr>
          <w:szCs w:val="24"/>
          <w:lang w:val="en-US"/>
        </w:rPr>
        <w:t xml:space="preserve"> able to</w:t>
      </w:r>
      <w:r w:rsidR="00CB64E4" w:rsidRPr="00181A44">
        <w:rPr>
          <w:szCs w:val="24"/>
          <w:lang w:val="en-US"/>
        </w:rPr>
        <w:t>,</w:t>
      </w:r>
      <w:r w:rsidR="001B7754" w:rsidRPr="00181A44">
        <w:rPr>
          <w:szCs w:val="24"/>
          <w:lang w:val="en-US"/>
        </w:rPr>
        <w:t xml:space="preserve"> or, conversely, </w:t>
      </w:r>
      <w:r w:rsidR="00CA1340" w:rsidRPr="00181A44">
        <w:rPr>
          <w:szCs w:val="24"/>
          <w:lang w:val="en-US"/>
        </w:rPr>
        <w:t>they</w:t>
      </w:r>
      <w:r w:rsidR="001B7754" w:rsidRPr="00181A44">
        <w:rPr>
          <w:szCs w:val="24"/>
          <w:lang w:val="en-US"/>
        </w:rPr>
        <w:t xml:space="preserve"> could be deprived of the protection </w:t>
      </w:r>
      <w:r w:rsidR="00CA1340" w:rsidRPr="00181A44">
        <w:rPr>
          <w:szCs w:val="24"/>
          <w:lang w:val="en-US"/>
        </w:rPr>
        <w:t>they</w:t>
      </w:r>
      <w:r w:rsidR="001B7754" w:rsidRPr="00181A44">
        <w:rPr>
          <w:szCs w:val="24"/>
          <w:lang w:val="en-US"/>
        </w:rPr>
        <w:t xml:space="preserve"> should be granted.</w:t>
      </w:r>
    </w:p>
    <w:p w:rsidR="00A5356D" w:rsidRPr="00181A44" w:rsidRDefault="00A5356D" w:rsidP="00181A44">
      <w:pPr>
        <w:spacing w:line="240" w:lineRule="auto"/>
        <w:rPr>
          <w:szCs w:val="24"/>
          <w:lang w:val="en-US"/>
        </w:rPr>
      </w:pPr>
    </w:p>
    <w:p w:rsidR="00E60B9C" w:rsidRPr="00181A44" w:rsidRDefault="00A5356D" w:rsidP="00181A44">
      <w:pPr>
        <w:spacing w:line="240" w:lineRule="auto"/>
        <w:rPr>
          <w:szCs w:val="24"/>
          <w:lang w:val="en-US"/>
        </w:rPr>
      </w:pPr>
      <w:r w:rsidRPr="00181A44">
        <w:rPr>
          <w:szCs w:val="24"/>
          <w:lang w:val="en-US"/>
        </w:rPr>
        <w:t xml:space="preserve">From the health professionals’ point of view, law could provide </w:t>
      </w:r>
      <w:r w:rsidR="007A0F52" w:rsidRPr="00181A44">
        <w:rPr>
          <w:szCs w:val="24"/>
          <w:lang w:val="en-US"/>
        </w:rPr>
        <w:t xml:space="preserve">a </w:t>
      </w:r>
      <w:r w:rsidRPr="00181A44">
        <w:rPr>
          <w:szCs w:val="24"/>
          <w:lang w:val="en-US"/>
        </w:rPr>
        <w:t xml:space="preserve">useful </w:t>
      </w:r>
      <w:r w:rsidR="001C2F73" w:rsidRPr="00181A44">
        <w:rPr>
          <w:szCs w:val="24"/>
          <w:lang w:val="en-US"/>
        </w:rPr>
        <w:t>support</w:t>
      </w:r>
      <w:r w:rsidRPr="00181A44">
        <w:rPr>
          <w:szCs w:val="24"/>
          <w:lang w:val="en-US"/>
        </w:rPr>
        <w:t xml:space="preserve"> </w:t>
      </w:r>
      <w:r w:rsidR="001B7754" w:rsidRPr="00181A44">
        <w:rPr>
          <w:szCs w:val="24"/>
          <w:lang w:val="en-US"/>
        </w:rPr>
        <w:t xml:space="preserve">to structure formal capacity assessment. By </w:t>
      </w:r>
      <w:r w:rsidR="009E30C1" w:rsidRPr="00181A44">
        <w:rPr>
          <w:szCs w:val="24"/>
          <w:lang w:val="en-US"/>
        </w:rPr>
        <w:t xml:space="preserve">providing a framework for </w:t>
      </w:r>
      <w:r w:rsidR="001B7754" w:rsidRPr="00181A44">
        <w:rPr>
          <w:szCs w:val="24"/>
          <w:lang w:val="en-US"/>
        </w:rPr>
        <w:t xml:space="preserve">capacity assessment, law could </w:t>
      </w:r>
      <w:r w:rsidR="009E30C1" w:rsidRPr="00181A44">
        <w:rPr>
          <w:szCs w:val="24"/>
          <w:lang w:val="en-US"/>
        </w:rPr>
        <w:t>also offer</w:t>
      </w:r>
      <w:r w:rsidR="00E112EA" w:rsidRPr="00181A44">
        <w:rPr>
          <w:szCs w:val="24"/>
          <w:lang w:val="en-US"/>
        </w:rPr>
        <w:t xml:space="preserve"> </w:t>
      </w:r>
      <w:r w:rsidR="009E30C1" w:rsidRPr="00181A44">
        <w:rPr>
          <w:szCs w:val="24"/>
          <w:lang w:val="en-US"/>
        </w:rPr>
        <w:t xml:space="preserve">itself </w:t>
      </w:r>
      <w:r w:rsidR="00E112EA" w:rsidRPr="00181A44">
        <w:rPr>
          <w:szCs w:val="24"/>
          <w:lang w:val="en-US"/>
        </w:rPr>
        <w:t>the opportunity to</w:t>
      </w:r>
      <w:r w:rsidR="001B7754" w:rsidRPr="00181A44">
        <w:rPr>
          <w:szCs w:val="24"/>
          <w:lang w:val="en-US"/>
        </w:rPr>
        <w:t xml:space="preserve"> promote </w:t>
      </w:r>
      <w:r w:rsidR="007A0F52" w:rsidRPr="00181A44">
        <w:rPr>
          <w:szCs w:val="24"/>
          <w:lang w:val="en-US"/>
        </w:rPr>
        <w:t>an appropriate</w:t>
      </w:r>
      <w:r w:rsidR="00E112EA" w:rsidRPr="00181A44">
        <w:rPr>
          <w:szCs w:val="24"/>
          <w:lang w:val="en-US"/>
        </w:rPr>
        <w:t xml:space="preserve"> training and to stimulate research concerning capacity assessment.</w:t>
      </w:r>
    </w:p>
    <w:p w:rsidR="00E112EA" w:rsidRPr="00181A44" w:rsidRDefault="00E112EA" w:rsidP="00181A44">
      <w:pPr>
        <w:spacing w:line="240" w:lineRule="auto"/>
        <w:rPr>
          <w:rFonts w:eastAsia="Times New Roman"/>
          <w:szCs w:val="24"/>
          <w:lang w:val="en-US" w:eastAsia="fr-BE"/>
        </w:rPr>
      </w:pPr>
    </w:p>
    <w:p w:rsidR="001B7754" w:rsidRPr="00181A44" w:rsidRDefault="001B7754" w:rsidP="00181A44">
      <w:pPr>
        <w:spacing w:line="240" w:lineRule="auto"/>
        <w:rPr>
          <w:rFonts w:eastAsia="Times New Roman"/>
          <w:szCs w:val="24"/>
          <w:lang w:val="en-US" w:eastAsia="fr-BE"/>
        </w:rPr>
      </w:pPr>
      <w:r w:rsidRPr="00181A44">
        <w:rPr>
          <w:rFonts w:eastAsia="Times New Roman"/>
          <w:szCs w:val="24"/>
          <w:lang w:val="en-US" w:eastAsia="fr-BE"/>
        </w:rPr>
        <w:t>As a whole</w:t>
      </w:r>
      <w:r w:rsidR="00052B0D" w:rsidRPr="00181A44">
        <w:rPr>
          <w:rFonts w:eastAsia="Times New Roman"/>
          <w:szCs w:val="24"/>
          <w:lang w:val="en-US" w:eastAsia="fr-BE"/>
        </w:rPr>
        <w:t>, i</w:t>
      </w:r>
      <w:r w:rsidR="0003165E" w:rsidRPr="00181A44">
        <w:rPr>
          <w:rFonts w:eastAsia="Times New Roman"/>
          <w:szCs w:val="24"/>
          <w:lang w:val="en-US" w:eastAsia="fr-BE"/>
        </w:rPr>
        <w:t xml:space="preserve">gnoring capacity assessment has the perverse effect to </w:t>
      </w:r>
      <w:r w:rsidR="00381573" w:rsidRPr="00181A44">
        <w:rPr>
          <w:rFonts w:eastAsia="Times New Roman"/>
          <w:szCs w:val="24"/>
          <w:lang w:val="en-US" w:eastAsia="fr-BE"/>
        </w:rPr>
        <w:t>suggest</w:t>
      </w:r>
      <w:r w:rsidR="0003165E" w:rsidRPr="00181A44">
        <w:rPr>
          <w:rFonts w:eastAsia="Times New Roman"/>
          <w:szCs w:val="24"/>
          <w:lang w:val="en-US" w:eastAsia="fr-BE"/>
        </w:rPr>
        <w:t xml:space="preserve"> that it is an obvious matter: </w:t>
      </w:r>
      <w:r w:rsidR="0003165E" w:rsidRPr="00181A44">
        <w:rPr>
          <w:szCs w:val="24"/>
          <w:lang w:val="en-US"/>
        </w:rPr>
        <w:t>a patient is capa</w:t>
      </w:r>
      <w:r w:rsidR="00381573" w:rsidRPr="00181A44">
        <w:rPr>
          <w:szCs w:val="24"/>
          <w:lang w:val="en-US"/>
        </w:rPr>
        <w:t>citated</w:t>
      </w:r>
      <w:r w:rsidR="0003165E" w:rsidRPr="00181A44">
        <w:rPr>
          <w:szCs w:val="24"/>
          <w:lang w:val="en-US"/>
        </w:rPr>
        <w:t xml:space="preserve"> or not, and if not, a representative will make healthcare decisions on his behalf. It is maybe true when a patient is in </w:t>
      </w:r>
      <w:r w:rsidR="007A0F52" w:rsidRPr="00181A44">
        <w:rPr>
          <w:szCs w:val="24"/>
          <w:lang w:val="en-US"/>
        </w:rPr>
        <w:t xml:space="preserve">a </w:t>
      </w:r>
      <w:r w:rsidR="0003165E" w:rsidRPr="00181A44">
        <w:rPr>
          <w:szCs w:val="24"/>
          <w:lang w:val="en-US"/>
        </w:rPr>
        <w:t>coma, but in the field of mental health, things are not that clear</w:t>
      </w:r>
      <w:r w:rsidR="00381573" w:rsidRPr="00181A44">
        <w:rPr>
          <w:szCs w:val="24"/>
          <w:lang w:val="en-US"/>
        </w:rPr>
        <w:t>. L</w:t>
      </w:r>
      <w:r w:rsidR="00052B0D" w:rsidRPr="00181A44">
        <w:rPr>
          <w:szCs w:val="24"/>
          <w:lang w:val="en-US"/>
        </w:rPr>
        <w:t>aw</w:t>
      </w:r>
      <w:r w:rsidR="0003165E" w:rsidRPr="00181A44">
        <w:rPr>
          <w:szCs w:val="24"/>
          <w:lang w:val="en-US"/>
        </w:rPr>
        <w:t xml:space="preserve"> </w:t>
      </w:r>
      <w:r w:rsidR="00381573" w:rsidRPr="00181A44">
        <w:rPr>
          <w:szCs w:val="24"/>
          <w:lang w:val="en-US"/>
        </w:rPr>
        <w:t xml:space="preserve">therefore </w:t>
      </w:r>
      <w:r w:rsidR="0003165E" w:rsidRPr="00181A44">
        <w:rPr>
          <w:szCs w:val="24"/>
          <w:lang w:val="en-US"/>
        </w:rPr>
        <w:t>fails tw</w:t>
      </w:r>
      <w:r w:rsidR="007A0F52" w:rsidRPr="00181A44">
        <w:rPr>
          <w:szCs w:val="24"/>
          <w:lang w:val="en-US"/>
        </w:rPr>
        <w:t>ice</w:t>
      </w:r>
      <w:r w:rsidR="0003165E" w:rsidRPr="00181A44">
        <w:rPr>
          <w:szCs w:val="24"/>
          <w:lang w:val="en-US"/>
        </w:rPr>
        <w:t xml:space="preserve">: </w:t>
      </w:r>
      <w:r w:rsidR="007A0F52" w:rsidRPr="00181A44">
        <w:rPr>
          <w:szCs w:val="24"/>
          <w:lang w:val="en-US"/>
        </w:rPr>
        <w:t xml:space="preserve">first </w:t>
      </w:r>
      <w:r w:rsidR="0003165E" w:rsidRPr="00181A44">
        <w:rPr>
          <w:szCs w:val="24"/>
          <w:lang w:val="en-US"/>
        </w:rPr>
        <w:t>because it does</w:t>
      </w:r>
      <w:r w:rsidR="00381573" w:rsidRPr="00181A44">
        <w:rPr>
          <w:szCs w:val="24"/>
          <w:lang w:val="en-US"/>
        </w:rPr>
        <w:t xml:space="preserve"> not</w:t>
      </w:r>
      <w:r w:rsidR="0003165E" w:rsidRPr="00181A44">
        <w:rPr>
          <w:szCs w:val="24"/>
          <w:lang w:val="en-US"/>
        </w:rPr>
        <w:t xml:space="preserve"> provide for guidelines</w:t>
      </w:r>
      <w:r w:rsidR="007A0F52" w:rsidRPr="00181A44">
        <w:rPr>
          <w:szCs w:val="24"/>
          <w:lang w:val="en-US"/>
        </w:rPr>
        <w:t>,</w:t>
      </w:r>
      <w:r w:rsidR="0003165E" w:rsidRPr="00181A44">
        <w:rPr>
          <w:szCs w:val="24"/>
          <w:lang w:val="en-US"/>
        </w:rPr>
        <w:t xml:space="preserve"> and </w:t>
      </w:r>
      <w:r w:rsidR="007A0F52" w:rsidRPr="00181A44">
        <w:rPr>
          <w:szCs w:val="24"/>
          <w:lang w:val="en-US"/>
        </w:rPr>
        <w:t>second</w:t>
      </w:r>
      <w:r w:rsidR="0003165E" w:rsidRPr="00181A44">
        <w:rPr>
          <w:szCs w:val="24"/>
          <w:lang w:val="en-US"/>
        </w:rPr>
        <w:t xml:space="preserve"> because this </w:t>
      </w:r>
      <w:r w:rsidR="007A0F52" w:rsidRPr="00181A44">
        <w:rPr>
          <w:szCs w:val="24"/>
          <w:lang w:val="en-US"/>
        </w:rPr>
        <w:t xml:space="preserve">gap is misleading </w:t>
      </w:r>
      <w:r w:rsidR="0003165E" w:rsidRPr="00181A44">
        <w:rPr>
          <w:szCs w:val="24"/>
          <w:lang w:val="en-US"/>
        </w:rPr>
        <w:t xml:space="preserve">about </w:t>
      </w:r>
      <w:r w:rsidR="007A0F52" w:rsidRPr="00181A44">
        <w:rPr>
          <w:szCs w:val="24"/>
          <w:lang w:val="en-US"/>
        </w:rPr>
        <w:t xml:space="preserve">the </w:t>
      </w:r>
      <w:r w:rsidR="0003165E" w:rsidRPr="00181A44">
        <w:rPr>
          <w:szCs w:val="24"/>
          <w:lang w:val="en-US"/>
        </w:rPr>
        <w:t>complexity of capacity assessment.</w:t>
      </w:r>
      <w:r w:rsidR="0003165E" w:rsidRPr="00181A44">
        <w:rPr>
          <w:rFonts w:eastAsia="Times New Roman"/>
          <w:szCs w:val="24"/>
          <w:lang w:val="en-US" w:eastAsia="fr-BE"/>
        </w:rPr>
        <w:t xml:space="preserve"> </w:t>
      </w:r>
    </w:p>
    <w:p w:rsidR="001B7754" w:rsidRPr="00181A44" w:rsidRDefault="001B7754" w:rsidP="00181A44">
      <w:pPr>
        <w:spacing w:line="240" w:lineRule="auto"/>
        <w:rPr>
          <w:rFonts w:eastAsia="Times New Roman"/>
          <w:szCs w:val="24"/>
          <w:lang w:val="en-US" w:eastAsia="fr-BE"/>
        </w:rPr>
      </w:pPr>
    </w:p>
    <w:p w:rsidR="00D73E4C" w:rsidRPr="00846267" w:rsidRDefault="00381573" w:rsidP="00181A44">
      <w:pPr>
        <w:spacing w:line="240" w:lineRule="auto"/>
        <w:rPr>
          <w:rFonts w:eastAsia="Times New Roman"/>
          <w:szCs w:val="24"/>
          <w:lang w:val="en-US" w:eastAsia="fr-BE"/>
        </w:rPr>
      </w:pPr>
      <w:r w:rsidRPr="00181A44">
        <w:rPr>
          <w:rFonts w:eastAsia="Times New Roman"/>
          <w:szCs w:val="24"/>
          <w:lang w:val="en-US" w:eastAsia="fr-BE"/>
        </w:rPr>
        <w:t>L</w:t>
      </w:r>
      <w:r w:rsidR="001C2F73" w:rsidRPr="00181A44">
        <w:rPr>
          <w:rFonts w:eastAsia="Times New Roman"/>
          <w:szCs w:val="24"/>
          <w:lang w:val="en-US" w:eastAsia="fr-BE"/>
        </w:rPr>
        <w:t xml:space="preserve">aw </w:t>
      </w:r>
      <w:r w:rsidR="0003165E" w:rsidRPr="00181A44">
        <w:rPr>
          <w:rFonts w:eastAsia="Times New Roman"/>
          <w:szCs w:val="24"/>
          <w:lang w:val="en-US" w:eastAsia="fr-BE"/>
        </w:rPr>
        <w:t>sh</w:t>
      </w:r>
      <w:r w:rsidR="001C2F73" w:rsidRPr="00181A44">
        <w:rPr>
          <w:rFonts w:eastAsia="Times New Roman"/>
          <w:szCs w:val="24"/>
          <w:lang w:val="en-US" w:eastAsia="fr-BE"/>
        </w:rPr>
        <w:t xml:space="preserve">ould </w:t>
      </w:r>
      <w:r w:rsidRPr="00181A44">
        <w:rPr>
          <w:rFonts w:eastAsia="Times New Roman"/>
          <w:szCs w:val="24"/>
          <w:lang w:val="en-US" w:eastAsia="fr-BE"/>
        </w:rPr>
        <w:t xml:space="preserve">then </w:t>
      </w:r>
      <w:r w:rsidR="001C2F73" w:rsidRPr="00181A44">
        <w:rPr>
          <w:rFonts w:eastAsia="Times New Roman"/>
          <w:szCs w:val="24"/>
          <w:lang w:val="en-US" w:eastAsia="fr-BE"/>
        </w:rPr>
        <w:t>emphasize the importanc</w:t>
      </w:r>
      <w:r w:rsidR="001B7754" w:rsidRPr="00181A44">
        <w:rPr>
          <w:rFonts w:eastAsia="Times New Roman"/>
          <w:szCs w:val="24"/>
          <w:lang w:val="en-US" w:eastAsia="fr-BE"/>
        </w:rPr>
        <w:t>e of capacity assessment.</w:t>
      </w:r>
      <w:r w:rsidR="00CB64E4" w:rsidRPr="00181A44">
        <w:rPr>
          <w:rFonts w:eastAsia="Times New Roman"/>
          <w:szCs w:val="24"/>
          <w:lang w:val="en-US" w:eastAsia="fr-BE"/>
        </w:rPr>
        <w:t xml:space="preserve"> </w:t>
      </w:r>
      <w:r w:rsidR="00C41D57" w:rsidRPr="00181A44">
        <w:rPr>
          <w:szCs w:val="24"/>
          <w:lang w:val="en-US"/>
        </w:rPr>
        <w:t>Of course, l</w:t>
      </w:r>
      <w:r w:rsidR="0004318A" w:rsidRPr="00181A44">
        <w:rPr>
          <w:szCs w:val="24"/>
          <w:lang w:val="en-US"/>
        </w:rPr>
        <w:t xml:space="preserve">aw cannot </w:t>
      </w:r>
      <w:r w:rsidR="007A0F52" w:rsidRPr="00181A44">
        <w:rPr>
          <w:szCs w:val="24"/>
          <w:lang w:val="en-US"/>
        </w:rPr>
        <w:t>encompass</w:t>
      </w:r>
      <w:r w:rsidR="00170F08" w:rsidRPr="00181A44">
        <w:rPr>
          <w:szCs w:val="24"/>
          <w:lang w:val="en-US"/>
        </w:rPr>
        <w:t xml:space="preserve"> </w:t>
      </w:r>
      <w:r w:rsidR="0004318A" w:rsidRPr="00181A44">
        <w:rPr>
          <w:szCs w:val="24"/>
          <w:lang w:val="en-US"/>
        </w:rPr>
        <w:t>the whole complexity of such a process</w:t>
      </w:r>
      <w:r w:rsidRPr="00181A44">
        <w:rPr>
          <w:szCs w:val="24"/>
          <w:lang w:val="en-US"/>
        </w:rPr>
        <w:t xml:space="preserve">: </w:t>
      </w:r>
      <w:r w:rsidR="007A0F52" w:rsidRPr="00181A44">
        <w:rPr>
          <w:szCs w:val="24"/>
          <w:lang w:val="en-US"/>
        </w:rPr>
        <w:t xml:space="preserve">a </w:t>
      </w:r>
      <w:r w:rsidRPr="00181A44">
        <w:rPr>
          <w:szCs w:val="24"/>
          <w:lang w:val="en-US"/>
        </w:rPr>
        <w:t>l</w:t>
      </w:r>
      <w:r w:rsidR="00C41D57" w:rsidRPr="00181A44">
        <w:rPr>
          <w:szCs w:val="24"/>
          <w:lang w:val="en-US"/>
        </w:rPr>
        <w:t>egal</w:t>
      </w:r>
      <w:r w:rsidRPr="00181A44">
        <w:rPr>
          <w:szCs w:val="24"/>
          <w:lang w:val="en-US"/>
        </w:rPr>
        <w:t xml:space="preserve"> definition and </w:t>
      </w:r>
      <w:r w:rsidR="007A0F52" w:rsidRPr="00181A44">
        <w:rPr>
          <w:szCs w:val="24"/>
          <w:lang w:val="en-US"/>
        </w:rPr>
        <w:t xml:space="preserve">a </w:t>
      </w:r>
      <w:r w:rsidRPr="00181A44">
        <w:rPr>
          <w:szCs w:val="24"/>
          <w:lang w:val="en-US"/>
        </w:rPr>
        <w:t>procedure will not</w:t>
      </w:r>
      <w:r w:rsidR="00C41D57" w:rsidRPr="00181A44">
        <w:rPr>
          <w:szCs w:val="24"/>
          <w:lang w:val="en-US"/>
        </w:rPr>
        <w:t xml:space="preserve"> solve every difficult issue of capacity assessment in practice</w:t>
      </w:r>
      <w:r w:rsidRPr="00181A44">
        <w:rPr>
          <w:szCs w:val="24"/>
          <w:lang w:val="en-US"/>
        </w:rPr>
        <w:t>, but this is no</w:t>
      </w:r>
      <w:r w:rsidR="0004318A" w:rsidRPr="00181A44">
        <w:rPr>
          <w:szCs w:val="24"/>
          <w:lang w:val="en-US"/>
        </w:rPr>
        <w:t xml:space="preserve"> reason not to </w:t>
      </w:r>
      <w:r w:rsidR="00C41D57" w:rsidRPr="00181A44">
        <w:rPr>
          <w:szCs w:val="24"/>
          <w:lang w:val="en-US"/>
        </w:rPr>
        <w:t>try to contribute by providing minimum guidelines, in order to acknowledge the complexity of the matter.</w:t>
      </w:r>
    </w:p>
    <w:sectPr w:rsidR="00D73E4C" w:rsidRPr="00846267" w:rsidSect="00822FAA">
      <w:footerReference w:type="default" r:id="rId9"/>
      <w:pgSz w:w="11906" w:h="16838"/>
      <w:pgMar w:top="1417" w:right="141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8B" w:rsidRDefault="00BB778B" w:rsidP="00DC2893">
      <w:pPr>
        <w:spacing w:line="240" w:lineRule="auto"/>
      </w:pPr>
      <w:r>
        <w:separator/>
      </w:r>
    </w:p>
  </w:endnote>
  <w:endnote w:type="continuationSeparator" w:id="0">
    <w:p w:rsidR="00BB778B" w:rsidRDefault="00BB778B" w:rsidP="00DC2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4524"/>
      <w:docPartObj>
        <w:docPartGallery w:val="Page Numbers (Bottom of Page)"/>
        <w:docPartUnique/>
      </w:docPartObj>
    </w:sdtPr>
    <w:sdtEndPr/>
    <w:sdtContent>
      <w:p w:rsidR="00036AA0" w:rsidRDefault="00036A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2FA" w:rsidRPr="000F62FA">
          <w:rPr>
            <w:noProof/>
            <w:lang w:val="fr-FR"/>
          </w:rPr>
          <w:t>5</w:t>
        </w:r>
        <w:r>
          <w:fldChar w:fldCharType="end"/>
        </w:r>
      </w:p>
    </w:sdtContent>
  </w:sdt>
  <w:p w:rsidR="00036AA0" w:rsidRDefault="00036A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8B" w:rsidRDefault="00BB778B" w:rsidP="00DC2893">
      <w:pPr>
        <w:spacing w:line="240" w:lineRule="auto"/>
      </w:pPr>
      <w:r>
        <w:separator/>
      </w:r>
    </w:p>
  </w:footnote>
  <w:footnote w:type="continuationSeparator" w:id="0">
    <w:p w:rsidR="00BB778B" w:rsidRDefault="00BB778B" w:rsidP="00DC2893">
      <w:pPr>
        <w:spacing w:line="240" w:lineRule="auto"/>
      </w:pPr>
      <w:r>
        <w:continuationSeparator/>
      </w:r>
    </w:p>
  </w:footnote>
  <w:footnote w:id="1">
    <w:p w:rsidR="00036AA0" w:rsidRPr="00BF57E2" w:rsidRDefault="00036AA0" w:rsidP="00BF57E2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142B5E">
        <w:rPr>
          <w:lang w:val="en-US"/>
        </w:rPr>
        <w:t xml:space="preserve"> </w:t>
      </w:r>
      <w:r w:rsidR="00B32E12" w:rsidRPr="002D38AB">
        <w:rPr>
          <w:smallCaps/>
          <w:lang w:val="en-GB"/>
        </w:rPr>
        <w:t xml:space="preserve">O.S. </w:t>
      </w:r>
      <w:proofErr w:type="spellStart"/>
      <w:r w:rsidRPr="00202728">
        <w:rPr>
          <w:lang w:val="en-GB"/>
        </w:rPr>
        <w:t>Surman</w:t>
      </w:r>
      <w:proofErr w:type="spellEnd"/>
      <w:r>
        <w:rPr>
          <w:lang w:val="en-GB"/>
        </w:rPr>
        <w:t xml:space="preserve">, </w:t>
      </w:r>
      <w:r w:rsidR="00B32E12">
        <w:rPr>
          <w:smallCaps/>
          <w:lang w:val="en-GB"/>
        </w:rPr>
        <w:t>“</w:t>
      </w:r>
      <w:r w:rsidRPr="002D38AB">
        <w:rPr>
          <w:lang w:val="en-GB"/>
        </w:rPr>
        <w:t>Informed Consent: What the Patient Heard</w:t>
      </w:r>
      <w:r w:rsidR="00B32E12">
        <w:rPr>
          <w:lang w:val="en-GB"/>
        </w:rPr>
        <w:t>”,</w:t>
      </w:r>
      <w:r>
        <w:rPr>
          <w:lang w:val="en-GB"/>
        </w:rPr>
        <w:t xml:space="preserve"> </w:t>
      </w:r>
      <w:r w:rsidRPr="002D38AB">
        <w:rPr>
          <w:i/>
          <w:lang w:val="en-GB"/>
        </w:rPr>
        <w:t>Transplantation Proceedings</w:t>
      </w:r>
      <w:r w:rsidR="00B32E12">
        <w:rPr>
          <w:lang w:val="en-GB"/>
        </w:rPr>
        <w:t xml:space="preserve"> </w:t>
      </w:r>
      <w:r w:rsidRPr="00B32E12">
        <w:rPr>
          <w:lang w:val="en-GB"/>
        </w:rPr>
        <w:t>45</w:t>
      </w:r>
      <w:r w:rsidR="00B32E12" w:rsidRPr="00B32E12">
        <w:rPr>
          <w:lang w:val="en-GB"/>
        </w:rPr>
        <w:t xml:space="preserve"> </w:t>
      </w:r>
      <w:r w:rsidR="00B32E12" w:rsidRPr="00292BA7">
        <w:rPr>
          <w:lang w:val="en-GB"/>
        </w:rPr>
        <w:t>(</w:t>
      </w:r>
      <w:r w:rsidR="00B32E12">
        <w:rPr>
          <w:smallCaps/>
          <w:lang w:val="en-GB"/>
        </w:rPr>
        <w:t>2013</w:t>
      </w:r>
      <w:r w:rsidR="00292BA7">
        <w:rPr>
          <w:smallCaps/>
          <w:lang w:val="en-GB"/>
        </w:rPr>
        <w:t xml:space="preserve">) </w:t>
      </w:r>
      <w:r w:rsidRPr="002D38AB">
        <w:rPr>
          <w:lang w:val="en-GB"/>
        </w:rPr>
        <w:t>3155</w:t>
      </w:r>
      <w:r>
        <w:rPr>
          <w:lang w:val="en-GB"/>
        </w:rPr>
        <w:t>-3156;</w:t>
      </w:r>
      <w:r w:rsidRPr="00CC4F09">
        <w:rPr>
          <w:lang w:val="en-GB"/>
        </w:rPr>
        <w:t xml:space="preserve"> </w:t>
      </w:r>
      <w:r w:rsidRPr="00426DD1">
        <w:rPr>
          <w:lang w:val="en-GB"/>
        </w:rPr>
        <w:t xml:space="preserve">M.E. </w:t>
      </w:r>
      <w:proofErr w:type="spellStart"/>
      <w:r w:rsidR="00292BA7" w:rsidRPr="00426DD1">
        <w:rPr>
          <w:lang w:val="en-GB"/>
        </w:rPr>
        <w:t>Falagas</w:t>
      </w:r>
      <w:proofErr w:type="spellEnd"/>
      <w:r w:rsidRPr="00426DD1">
        <w:rPr>
          <w:lang w:val="en-GB"/>
        </w:rPr>
        <w:t xml:space="preserve"> </w:t>
      </w:r>
      <w:r w:rsidRPr="00371AEA">
        <w:rPr>
          <w:i/>
          <w:lang w:val="en-GB"/>
        </w:rPr>
        <w:t>et al.</w:t>
      </w:r>
      <w:r w:rsidR="00292BA7">
        <w:rPr>
          <w:lang w:val="en-GB"/>
        </w:rPr>
        <w:t>, “</w:t>
      </w:r>
      <w:r w:rsidRPr="002D38AB">
        <w:rPr>
          <w:lang w:val="en-GB"/>
        </w:rPr>
        <w:t>Informed consent: how much and what do patients</w:t>
      </w:r>
      <w:r>
        <w:rPr>
          <w:lang w:val="en-GB"/>
        </w:rPr>
        <w:t xml:space="preserve"> understand?</w:t>
      </w:r>
      <w:r w:rsidR="00292BA7">
        <w:rPr>
          <w:lang w:val="en-GB"/>
        </w:rPr>
        <w:t>”,</w:t>
      </w:r>
      <w:r>
        <w:rPr>
          <w:lang w:val="en-GB"/>
        </w:rPr>
        <w:t xml:space="preserve"> </w:t>
      </w:r>
      <w:r w:rsidRPr="002D38AB">
        <w:rPr>
          <w:i/>
          <w:lang w:val="en-GB"/>
        </w:rPr>
        <w:t>The American Journal of Surgery</w:t>
      </w:r>
      <w:r w:rsidRPr="002D38AB">
        <w:rPr>
          <w:lang w:val="en-GB"/>
        </w:rPr>
        <w:t xml:space="preserve"> </w:t>
      </w:r>
      <w:r w:rsidRPr="00292BA7">
        <w:rPr>
          <w:lang w:val="en-GB"/>
        </w:rPr>
        <w:t>198</w:t>
      </w:r>
      <w:r>
        <w:rPr>
          <w:lang w:val="en-GB"/>
        </w:rPr>
        <w:t>(</w:t>
      </w:r>
      <w:r w:rsidRPr="002D38AB">
        <w:rPr>
          <w:lang w:val="en-GB"/>
        </w:rPr>
        <w:t>3</w:t>
      </w:r>
      <w:r>
        <w:rPr>
          <w:lang w:val="en-GB"/>
        </w:rPr>
        <w:t>)</w:t>
      </w:r>
      <w:r w:rsidR="00292BA7">
        <w:rPr>
          <w:lang w:val="en-GB"/>
        </w:rPr>
        <w:t xml:space="preserve"> 2009 </w:t>
      </w:r>
      <w:r>
        <w:rPr>
          <w:lang w:val="en-GB"/>
        </w:rPr>
        <w:t>420-435;</w:t>
      </w:r>
      <w:r w:rsidRPr="00CC4F09">
        <w:rPr>
          <w:lang w:val="en-GB"/>
        </w:rPr>
        <w:t xml:space="preserve"> </w:t>
      </w:r>
      <w:r w:rsidR="00292BA7" w:rsidRPr="00292BA7">
        <w:rPr>
          <w:lang w:val="en-GB"/>
        </w:rPr>
        <w:t xml:space="preserve">C.E. </w:t>
      </w:r>
      <w:r w:rsidRPr="00426DD1">
        <w:rPr>
          <w:lang w:val="en-GB"/>
        </w:rPr>
        <w:t xml:space="preserve">Wills and </w:t>
      </w:r>
      <w:r w:rsidR="00292BA7" w:rsidRPr="00426DD1">
        <w:rPr>
          <w:lang w:val="en-GB"/>
        </w:rPr>
        <w:t>M</w:t>
      </w:r>
      <w:r w:rsidR="00292BA7" w:rsidRPr="00BF57E2">
        <w:rPr>
          <w:smallCaps/>
          <w:lang w:val="en-GB"/>
        </w:rPr>
        <w:t>.</w:t>
      </w:r>
      <w:r w:rsidR="00292BA7">
        <w:rPr>
          <w:lang w:val="en-GB"/>
        </w:rPr>
        <w:t xml:space="preserve"> </w:t>
      </w:r>
      <w:r w:rsidRPr="00426DD1">
        <w:rPr>
          <w:lang w:val="en-GB"/>
        </w:rPr>
        <w:t>Holmes-</w:t>
      </w:r>
      <w:proofErr w:type="spellStart"/>
      <w:r w:rsidRPr="00426DD1">
        <w:rPr>
          <w:lang w:val="en-GB"/>
        </w:rPr>
        <w:t>Rovner</w:t>
      </w:r>
      <w:proofErr w:type="spellEnd"/>
      <w:r w:rsidR="00292BA7">
        <w:rPr>
          <w:lang w:val="en-GB"/>
        </w:rPr>
        <w:t>, “</w:t>
      </w:r>
      <w:r w:rsidRPr="00BF57E2">
        <w:rPr>
          <w:lang w:val="en-GB"/>
        </w:rPr>
        <w:t>Patient comprehension of i</w:t>
      </w:r>
      <w:r>
        <w:rPr>
          <w:lang w:val="en-GB"/>
        </w:rPr>
        <w:t xml:space="preserve">nformation for shared treatment </w:t>
      </w:r>
      <w:r w:rsidRPr="00BF57E2">
        <w:rPr>
          <w:lang w:val="en-GB"/>
        </w:rPr>
        <w:t>decision making: state of the art and future directions</w:t>
      </w:r>
      <w:r w:rsidR="00292BA7">
        <w:rPr>
          <w:lang w:val="en-GB"/>
        </w:rPr>
        <w:t>”,</w:t>
      </w:r>
      <w:r w:rsidRPr="00BF57E2">
        <w:rPr>
          <w:lang w:val="en-GB"/>
        </w:rPr>
        <w:t xml:space="preserve"> </w:t>
      </w:r>
      <w:r w:rsidRPr="00BF57E2">
        <w:rPr>
          <w:i/>
          <w:lang w:val="en-GB"/>
        </w:rPr>
        <w:t xml:space="preserve">Patient Education and </w:t>
      </w:r>
      <w:proofErr w:type="spellStart"/>
      <w:r w:rsidRPr="00BF57E2">
        <w:rPr>
          <w:i/>
          <w:lang w:val="en-GB"/>
        </w:rPr>
        <w:t>Counseling</w:t>
      </w:r>
      <w:proofErr w:type="spellEnd"/>
      <w:r w:rsidR="00292BA7">
        <w:rPr>
          <w:lang w:val="en-GB"/>
        </w:rPr>
        <w:t xml:space="preserve"> </w:t>
      </w:r>
      <w:r w:rsidRPr="00292BA7">
        <w:rPr>
          <w:lang w:val="en-GB"/>
        </w:rPr>
        <w:t>50</w:t>
      </w:r>
      <w:r w:rsidR="00292BA7">
        <w:rPr>
          <w:lang w:val="en-GB"/>
        </w:rPr>
        <w:t xml:space="preserve"> (2003) </w:t>
      </w:r>
      <w:r>
        <w:rPr>
          <w:lang w:val="en-GB"/>
        </w:rPr>
        <w:t>285–290.</w:t>
      </w:r>
    </w:p>
    <w:p w:rsidR="00036AA0" w:rsidRPr="00A41432" w:rsidRDefault="00036AA0">
      <w:pPr>
        <w:pStyle w:val="Notedebasdepage"/>
        <w:rPr>
          <w:lang w:val="en-US"/>
        </w:rPr>
      </w:pPr>
      <w:r>
        <w:rPr>
          <w:lang w:val="en-US"/>
        </w:rPr>
        <w:t xml:space="preserve">Improving patients’ understanding of information provided certainly requires high communication skills and the mere possibility, for any patient, to give </w:t>
      </w:r>
      <w:r w:rsidR="008F0F4A" w:rsidRPr="008F0F4A">
        <w:rPr>
          <w:lang w:val="en-US"/>
        </w:rPr>
        <w:t>an “informed consent”</w:t>
      </w:r>
      <w:r w:rsidRPr="008F0F4A">
        <w:rPr>
          <w:lang w:val="en-US"/>
        </w:rPr>
        <w:t xml:space="preserve"> </w:t>
      </w:r>
      <w:r>
        <w:rPr>
          <w:lang w:val="en-US"/>
        </w:rPr>
        <w:t>should be further investigated, but it is not the purpose of this contribution.</w:t>
      </w:r>
    </w:p>
  </w:footnote>
  <w:footnote w:id="2">
    <w:p w:rsidR="00036AA0" w:rsidRPr="00A335BE" w:rsidRDefault="00036AA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3C5AA0">
        <w:rPr>
          <w:lang w:val="en-US"/>
        </w:rPr>
        <w:t xml:space="preserve"> </w:t>
      </w:r>
      <w:proofErr w:type="gramStart"/>
      <w:r w:rsidRPr="003C5AA0">
        <w:rPr>
          <w:lang w:val="en-US"/>
        </w:rPr>
        <w:t>W</w:t>
      </w:r>
      <w:r>
        <w:rPr>
          <w:lang w:val="en-US"/>
        </w:rPr>
        <w:t xml:space="preserve">orld </w:t>
      </w:r>
      <w:r w:rsidRPr="003C5AA0">
        <w:rPr>
          <w:lang w:val="en-US"/>
        </w:rPr>
        <w:t>H</w:t>
      </w:r>
      <w:r>
        <w:rPr>
          <w:lang w:val="en-US"/>
        </w:rPr>
        <w:t xml:space="preserve">ealth </w:t>
      </w:r>
      <w:proofErr w:type="spellStart"/>
      <w:r w:rsidRPr="003C5AA0">
        <w:rPr>
          <w:lang w:val="en-US"/>
        </w:rPr>
        <w:t>O</w:t>
      </w:r>
      <w:r>
        <w:rPr>
          <w:lang w:val="en-US"/>
        </w:rPr>
        <w:t>rganisation</w:t>
      </w:r>
      <w:proofErr w:type="spellEnd"/>
      <w:r w:rsidR="00926DE6">
        <w:rPr>
          <w:lang w:val="en-US"/>
        </w:rPr>
        <w:t>.</w:t>
      </w:r>
      <w:proofErr w:type="gramEnd"/>
      <w:r w:rsidR="00926DE6" w:rsidRPr="00926DE6">
        <w:rPr>
          <w:lang w:val="en-US"/>
        </w:rPr>
        <w:t xml:space="preserve"> </w:t>
      </w:r>
      <w:r w:rsidR="00926DE6">
        <w:rPr>
          <w:lang w:val="en-US"/>
        </w:rPr>
        <w:t xml:space="preserve">2005. </w:t>
      </w:r>
      <w:r>
        <w:rPr>
          <w:lang w:val="en-US"/>
        </w:rPr>
        <w:t xml:space="preserve"> </w:t>
      </w:r>
      <w:r w:rsidR="00926DE6" w:rsidRPr="00926DE6">
        <w:rPr>
          <w:lang w:val="en-US"/>
        </w:rPr>
        <w:t>“</w:t>
      </w:r>
      <w:r w:rsidRPr="00926DE6">
        <w:rPr>
          <w:lang w:val="en-US"/>
        </w:rPr>
        <w:t>Resource book on mental health, human rights and legislation</w:t>
      </w:r>
      <w:r w:rsidR="00926DE6" w:rsidRPr="00926DE6">
        <w:rPr>
          <w:lang w:val="en-US"/>
        </w:rPr>
        <w:t>”</w:t>
      </w:r>
      <w:r w:rsidRPr="00926DE6">
        <w:rPr>
          <w:lang w:val="en-US"/>
        </w:rPr>
        <w:t>.</w:t>
      </w:r>
      <w:r w:rsidR="00926DE6">
        <w:rPr>
          <w:lang w:val="en-US"/>
        </w:rPr>
        <w:t xml:space="preserve"> </w:t>
      </w:r>
      <w:r w:rsidR="00294C6F">
        <w:rPr>
          <w:lang w:val="en-US"/>
        </w:rPr>
        <w:t>Retrieved 23 April 2014</w:t>
      </w:r>
      <w:r w:rsidR="00A335BE">
        <w:rPr>
          <w:lang w:val="en-US"/>
        </w:rPr>
        <w:t>,</w:t>
      </w:r>
      <w:r>
        <w:rPr>
          <w:lang w:val="en-US"/>
        </w:rPr>
        <w:t xml:space="preserve"> </w:t>
      </w:r>
      <w:hyperlink r:id="rId1" w:history="1">
        <w:r w:rsidRPr="00A335BE">
          <w:rPr>
            <w:rStyle w:val="Lienhypertexte"/>
            <w:lang w:val="en-US"/>
          </w:rPr>
          <w:t>www.who.int/mental_health/policy/resource_book_MHLeg.pdf</w:t>
        </w:r>
      </w:hyperlink>
      <w:r w:rsidR="00371AEA">
        <w:rPr>
          <w:lang w:val="en-US"/>
        </w:rPr>
        <w:t xml:space="preserve">, </w:t>
      </w:r>
      <w:r w:rsidR="00A335BE">
        <w:rPr>
          <w:lang w:val="en-US"/>
        </w:rPr>
        <w:t>40</w:t>
      </w:r>
    </w:p>
  </w:footnote>
  <w:footnote w:id="3">
    <w:p w:rsidR="00036AA0" w:rsidRPr="00AE384D" w:rsidRDefault="00036AA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AE384D">
        <w:rPr>
          <w:lang w:val="en-US"/>
        </w:rPr>
        <w:t xml:space="preserve"> </w:t>
      </w:r>
      <w:r w:rsidR="00294C6F">
        <w:rPr>
          <w:lang w:val="en-US"/>
        </w:rPr>
        <w:t>L.W. Roberts</w:t>
      </w:r>
      <w:r>
        <w:rPr>
          <w:lang w:val="en-US"/>
        </w:rPr>
        <w:t xml:space="preserve"> and </w:t>
      </w:r>
      <w:r w:rsidR="00294C6F">
        <w:rPr>
          <w:lang w:val="en-US"/>
        </w:rPr>
        <w:t>A.</w:t>
      </w:r>
      <w:r w:rsidR="00294C6F" w:rsidRPr="00244A11">
        <w:rPr>
          <w:lang w:val="en-US"/>
        </w:rPr>
        <w:t>R.</w:t>
      </w:r>
      <w:r w:rsidR="00294C6F">
        <w:rPr>
          <w:lang w:val="en-US"/>
        </w:rPr>
        <w:t xml:space="preserve"> </w:t>
      </w:r>
      <w:r w:rsidRPr="00244A11">
        <w:rPr>
          <w:lang w:val="en-US"/>
        </w:rPr>
        <w:t>Dyer</w:t>
      </w:r>
      <w:r>
        <w:rPr>
          <w:lang w:val="en-US"/>
        </w:rPr>
        <w:t xml:space="preserve">, </w:t>
      </w:r>
      <w:r w:rsidRPr="00E01734">
        <w:rPr>
          <w:i/>
          <w:lang w:val="en-US"/>
        </w:rPr>
        <w:t>Concise Guide to Ethics in Mental Health Care</w:t>
      </w:r>
      <w:r w:rsidR="00294C6F">
        <w:rPr>
          <w:lang w:val="en-US"/>
        </w:rPr>
        <w:t>, (</w:t>
      </w:r>
      <w:r>
        <w:rPr>
          <w:lang w:val="en-US"/>
        </w:rPr>
        <w:t>Washington DC/ London: American Psychiatric Publishing</w:t>
      </w:r>
      <w:r w:rsidR="00294C6F" w:rsidRPr="00294C6F">
        <w:rPr>
          <w:lang w:val="en-US"/>
        </w:rPr>
        <w:t xml:space="preserve"> </w:t>
      </w:r>
      <w:r w:rsidR="00294C6F">
        <w:rPr>
          <w:lang w:val="en-US"/>
        </w:rPr>
        <w:t>Inc.,</w:t>
      </w:r>
      <w:r w:rsidR="00294C6F" w:rsidRPr="00294C6F">
        <w:rPr>
          <w:lang w:val="en-US"/>
        </w:rPr>
        <w:t xml:space="preserve"> </w:t>
      </w:r>
      <w:r w:rsidR="00294C6F">
        <w:rPr>
          <w:lang w:val="en-US"/>
        </w:rPr>
        <w:t xml:space="preserve">2004) </w:t>
      </w:r>
      <w:r>
        <w:rPr>
          <w:lang w:val="en-US"/>
        </w:rPr>
        <w:t xml:space="preserve">54; MacArthur Research Network on Mental Health and the Law. 2004. </w:t>
      </w:r>
      <w:r w:rsidR="00323236" w:rsidRPr="00323236">
        <w:rPr>
          <w:lang w:val="en-US"/>
        </w:rPr>
        <w:t>“</w:t>
      </w:r>
      <w:r w:rsidRPr="00323236">
        <w:rPr>
          <w:lang w:val="en-US"/>
        </w:rPr>
        <w:t>The MacArthur Treatment Competence Study</w:t>
      </w:r>
      <w:r w:rsidR="00323236">
        <w:rPr>
          <w:lang w:val="en-US"/>
        </w:rPr>
        <w:t>”.</w:t>
      </w:r>
      <w:r>
        <w:rPr>
          <w:lang w:val="en-US"/>
        </w:rPr>
        <w:t xml:space="preserve"> </w:t>
      </w:r>
      <w:proofErr w:type="gramStart"/>
      <w:r w:rsidR="00323236">
        <w:rPr>
          <w:lang w:val="en-US"/>
        </w:rPr>
        <w:t>MacArthur Research Network on Mental Health and the Law.</w:t>
      </w:r>
      <w:proofErr w:type="gramEnd"/>
      <w:r w:rsidR="00323236">
        <w:rPr>
          <w:lang w:val="en-US"/>
        </w:rPr>
        <w:t xml:space="preserve"> Retrieved </w:t>
      </w:r>
      <w:r>
        <w:rPr>
          <w:lang w:val="en-US"/>
        </w:rPr>
        <w:t>23 April 2014</w:t>
      </w:r>
      <w:r w:rsidR="00323236">
        <w:rPr>
          <w:lang w:val="en-US"/>
        </w:rPr>
        <w:t>,</w:t>
      </w:r>
      <w:r>
        <w:rPr>
          <w:lang w:val="en-US"/>
        </w:rPr>
        <w:t xml:space="preserve"> </w:t>
      </w:r>
      <w:hyperlink r:id="rId2" w:history="1">
        <w:r w:rsidRPr="007400FF">
          <w:rPr>
            <w:rStyle w:val="Lienhypertexte"/>
            <w:lang w:val="en-US"/>
          </w:rPr>
          <w:t>www.macarthur.virginia.edu/treatment.html</w:t>
        </w:r>
      </w:hyperlink>
    </w:p>
  </w:footnote>
  <w:footnote w:id="4">
    <w:p w:rsidR="00036AA0" w:rsidRPr="009F1B2F" w:rsidRDefault="00036AA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3C5AA0">
        <w:rPr>
          <w:lang w:val="en-US"/>
        </w:rPr>
        <w:t xml:space="preserve"> In Belgian law precisely, even when a </w:t>
      </w:r>
      <w:r>
        <w:rPr>
          <w:lang w:val="en-US"/>
        </w:rPr>
        <w:t xml:space="preserve">person </w:t>
      </w:r>
      <w:r w:rsidRPr="008F0F4A">
        <w:rPr>
          <w:lang w:val="en-US"/>
        </w:rPr>
        <w:t xml:space="preserve">has been </w:t>
      </w:r>
      <w:r>
        <w:rPr>
          <w:lang w:val="en-US"/>
        </w:rPr>
        <w:t>made globally incomp</w:t>
      </w:r>
      <w:r w:rsidRPr="003C5AA0">
        <w:rPr>
          <w:lang w:val="en-US"/>
        </w:rPr>
        <w:t>etent by effect of a judicial decision</w:t>
      </w:r>
      <w:r>
        <w:rPr>
          <w:lang w:val="en-US"/>
        </w:rPr>
        <w:t xml:space="preserve"> appointing a guardian, </w:t>
      </w:r>
      <w:r w:rsidRPr="008F0F4A">
        <w:rPr>
          <w:lang w:val="en-US"/>
        </w:rPr>
        <w:t xml:space="preserve">the </w:t>
      </w:r>
      <w:r w:rsidR="00480496">
        <w:rPr>
          <w:lang w:val="en-US"/>
        </w:rPr>
        <w:t>patient</w:t>
      </w:r>
      <w:r>
        <w:rPr>
          <w:lang w:val="en-US"/>
        </w:rPr>
        <w:t xml:space="preserve"> must be “associated to the exercise of </w:t>
      </w:r>
      <w:r w:rsidR="00480496">
        <w:rPr>
          <w:lang w:val="en-US"/>
        </w:rPr>
        <w:t>[his/her]</w:t>
      </w:r>
      <w:r>
        <w:rPr>
          <w:lang w:val="en-US"/>
        </w:rPr>
        <w:t xml:space="preserve"> rights as much as possible, given </w:t>
      </w:r>
      <w:r w:rsidR="00480496">
        <w:rPr>
          <w:lang w:val="en-US"/>
        </w:rPr>
        <w:t>[his/her]</w:t>
      </w:r>
      <w:r>
        <w:rPr>
          <w:lang w:val="en-US"/>
        </w:rPr>
        <w:t xml:space="preserve"> ability to understand” (Patient’s</w:t>
      </w:r>
      <w:r w:rsidR="00157439">
        <w:rPr>
          <w:lang w:val="en-US"/>
        </w:rPr>
        <w:t xml:space="preserve"> Rights Act 2002. (c.4, </w:t>
      </w:r>
      <w:proofErr w:type="gramStart"/>
      <w:r w:rsidR="00157439">
        <w:rPr>
          <w:lang w:val="en-US"/>
        </w:rPr>
        <w:t>s.13(</w:t>
      </w:r>
      <w:proofErr w:type="gramEnd"/>
      <w:r w:rsidR="00157439">
        <w:rPr>
          <w:lang w:val="en-US"/>
        </w:rPr>
        <w:t>2)</w:t>
      </w:r>
      <w:r>
        <w:rPr>
          <w:lang w:val="en-US"/>
        </w:rPr>
        <w:t xml:space="preserve">. </w:t>
      </w:r>
      <w:r w:rsidR="00D26FF8">
        <w:rPr>
          <w:lang w:val="en-US"/>
        </w:rPr>
        <w:t>Retrieved 23 April 2014,</w:t>
      </w:r>
      <w:r>
        <w:rPr>
          <w:lang w:val="en-US"/>
        </w:rPr>
        <w:t xml:space="preserve"> </w:t>
      </w:r>
      <w:hyperlink r:id="rId3" w:history="1">
        <w:r w:rsidRPr="000A7E58">
          <w:rPr>
            <w:rStyle w:val="Lienhypertexte"/>
            <w:lang w:val="en-US"/>
          </w:rPr>
          <w:t>www.ejustice.just.fgov.be/loi/loi.htm</w:t>
        </w:r>
      </w:hyperlink>
      <w:r>
        <w:rPr>
          <w:lang w:val="en-US"/>
        </w:rPr>
        <w:t xml:space="preserve">). </w:t>
      </w:r>
      <w:r w:rsidRPr="008F0F4A">
        <w:rPr>
          <w:lang w:val="en-US"/>
        </w:rPr>
        <w:t>The new law about incapacity, due to come into force on the 1st of June 2014, emphasizes further</w:t>
      </w:r>
      <w:r>
        <w:rPr>
          <w:lang w:val="en-US"/>
        </w:rPr>
        <w:t xml:space="preserve"> the necessity to take into account the real capacity of the patient at the moment a decision must be made, regardless of a possible previous decision of incapacity in healthcare matters (</w:t>
      </w:r>
      <w:proofErr w:type="spellStart"/>
      <w:r>
        <w:rPr>
          <w:lang w:val="en-US"/>
        </w:rPr>
        <w:t>Loi</w:t>
      </w:r>
      <w:proofErr w:type="spellEnd"/>
      <w:r>
        <w:rPr>
          <w:lang w:val="en-US"/>
        </w:rPr>
        <w:t xml:space="preserve"> du 17 mars 2013 </w:t>
      </w:r>
      <w:proofErr w:type="spellStart"/>
      <w:r w:rsidRPr="009D3E6B">
        <w:rPr>
          <w:lang w:val="en-US"/>
        </w:rPr>
        <w:t>réformant</w:t>
      </w:r>
      <w:proofErr w:type="spellEnd"/>
      <w:r w:rsidRPr="009D3E6B">
        <w:rPr>
          <w:lang w:val="en-US"/>
        </w:rPr>
        <w:t xml:space="preserve"> les régimes </w:t>
      </w:r>
      <w:proofErr w:type="spellStart"/>
      <w:r w:rsidRPr="009D3E6B">
        <w:rPr>
          <w:lang w:val="en-US"/>
        </w:rPr>
        <w:t>d'incapacité</w:t>
      </w:r>
      <w:proofErr w:type="spellEnd"/>
      <w:r w:rsidRPr="009D3E6B">
        <w:rPr>
          <w:lang w:val="en-US"/>
        </w:rPr>
        <w:t xml:space="preserve"> et </w:t>
      </w:r>
      <w:proofErr w:type="spellStart"/>
      <w:r w:rsidRPr="009D3E6B">
        <w:rPr>
          <w:lang w:val="en-US"/>
        </w:rPr>
        <w:t>instaurant</w:t>
      </w:r>
      <w:proofErr w:type="spellEnd"/>
      <w:r w:rsidRPr="009D3E6B">
        <w:rPr>
          <w:lang w:val="en-US"/>
        </w:rPr>
        <w:t xml:space="preserve"> un nouveau </w:t>
      </w:r>
      <w:proofErr w:type="spellStart"/>
      <w:r w:rsidRPr="009D3E6B">
        <w:rPr>
          <w:lang w:val="en-US"/>
        </w:rPr>
        <w:t>statut</w:t>
      </w:r>
      <w:proofErr w:type="spellEnd"/>
      <w:r w:rsidRPr="009D3E6B">
        <w:rPr>
          <w:lang w:val="en-US"/>
        </w:rPr>
        <w:t xml:space="preserve"> de protection </w:t>
      </w:r>
      <w:proofErr w:type="spellStart"/>
      <w:r w:rsidRPr="009D3E6B">
        <w:rPr>
          <w:lang w:val="en-US"/>
        </w:rPr>
        <w:t>conforme</w:t>
      </w:r>
      <w:proofErr w:type="spellEnd"/>
      <w:r w:rsidRPr="009D3E6B">
        <w:rPr>
          <w:lang w:val="en-US"/>
        </w:rPr>
        <w:t xml:space="preserve"> à la </w:t>
      </w:r>
      <w:proofErr w:type="spellStart"/>
      <w:r w:rsidRPr="009D3E6B">
        <w:rPr>
          <w:lang w:val="en-US"/>
        </w:rPr>
        <w:t>dignité</w:t>
      </w:r>
      <w:proofErr w:type="spellEnd"/>
      <w:r w:rsidRPr="009D3E6B">
        <w:rPr>
          <w:lang w:val="en-US"/>
        </w:rPr>
        <w:t xml:space="preserve"> </w:t>
      </w:r>
      <w:proofErr w:type="spellStart"/>
      <w:r w:rsidRPr="009D3E6B">
        <w:rPr>
          <w:lang w:val="en-US"/>
        </w:rPr>
        <w:t>humaine</w:t>
      </w:r>
      <w:proofErr w:type="spellEnd"/>
      <w:r>
        <w:rPr>
          <w:lang w:val="en-US"/>
        </w:rPr>
        <w:t xml:space="preserve">, art. 215 – Act reforming incapacity regimes and introducing a new protection status in accordance with human dignity 2013. </w:t>
      </w:r>
      <w:proofErr w:type="gramStart"/>
      <w:r>
        <w:rPr>
          <w:lang w:val="en-US"/>
        </w:rPr>
        <w:t>(c.18, s.215).</w:t>
      </w:r>
      <w:proofErr w:type="gramEnd"/>
      <w:r>
        <w:rPr>
          <w:lang w:val="en-US"/>
        </w:rPr>
        <w:t xml:space="preserve"> </w:t>
      </w:r>
      <w:r w:rsidR="00D26FF8">
        <w:rPr>
          <w:lang w:val="en-US"/>
        </w:rPr>
        <w:t xml:space="preserve">Retrieved 23 April 2014, </w:t>
      </w:r>
      <w:hyperlink r:id="rId4" w:history="1">
        <w:r w:rsidR="00D26FF8" w:rsidRPr="000A7E58">
          <w:rPr>
            <w:rStyle w:val="Lienhypertexte"/>
            <w:lang w:val="en-US"/>
          </w:rPr>
          <w:t>www.ejustice.just.fgov.be/loi/loi.htm</w:t>
        </w:r>
      </w:hyperlink>
      <w:r>
        <w:rPr>
          <w:lang w:val="en-US"/>
        </w:rPr>
        <w:t xml:space="preserve">). </w:t>
      </w:r>
    </w:p>
  </w:footnote>
  <w:footnote w:id="5">
    <w:p w:rsidR="00036AA0" w:rsidRPr="009F1B2F" w:rsidRDefault="00036AA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F1B2F">
        <w:rPr>
          <w:lang w:val="en-US"/>
        </w:rPr>
        <w:t xml:space="preserve"> </w:t>
      </w:r>
      <w:r>
        <w:rPr>
          <w:lang w:val="en-US"/>
        </w:rPr>
        <w:t xml:space="preserve">Patient’s Rights Act 2002. </w:t>
      </w:r>
      <w:r w:rsidRPr="00E25617">
        <w:rPr>
          <w:lang w:val="en-US"/>
        </w:rPr>
        <w:t xml:space="preserve">(c.4, s.14). </w:t>
      </w:r>
      <w:r w:rsidR="00D26FF8">
        <w:rPr>
          <w:lang w:val="en-US"/>
        </w:rPr>
        <w:t xml:space="preserve">Retrieved 23 April 2014, </w:t>
      </w:r>
      <w:hyperlink r:id="rId5" w:history="1">
        <w:r w:rsidR="00D26FF8" w:rsidRPr="000A7E58">
          <w:rPr>
            <w:rStyle w:val="Lienhypertexte"/>
            <w:lang w:val="en-US"/>
          </w:rPr>
          <w:t>www.ejustice.just.fgov.be/loi/loi.htm</w:t>
        </w:r>
      </w:hyperlink>
      <w:r>
        <w:rPr>
          <w:lang w:val="en-US"/>
        </w:rPr>
        <w:t xml:space="preserve"> </w:t>
      </w:r>
    </w:p>
  </w:footnote>
  <w:footnote w:id="6">
    <w:p w:rsidR="00036AA0" w:rsidRPr="00CF1DAF" w:rsidRDefault="00036AA0" w:rsidP="00121966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F1DAF">
        <w:rPr>
          <w:lang w:val="en-US"/>
        </w:rPr>
        <w:t xml:space="preserve"> </w:t>
      </w:r>
      <w:r w:rsidR="00A335BE" w:rsidRPr="00CF1DAF">
        <w:rPr>
          <w:lang w:val="en-US"/>
        </w:rPr>
        <w:t xml:space="preserve">World Health </w:t>
      </w:r>
      <w:proofErr w:type="spellStart"/>
      <w:r w:rsidR="00A335BE" w:rsidRPr="00CF1DAF">
        <w:rPr>
          <w:lang w:val="en-US"/>
        </w:rPr>
        <w:t>Organisation</w:t>
      </w:r>
      <w:proofErr w:type="spellEnd"/>
      <w:r w:rsidR="00A335BE" w:rsidRPr="00CF1DAF">
        <w:rPr>
          <w:lang w:val="en-US"/>
        </w:rPr>
        <w:t xml:space="preserve">, </w:t>
      </w:r>
      <w:r w:rsidR="00D26FF8" w:rsidRPr="00CF1DAF">
        <w:rPr>
          <w:i/>
          <w:lang w:val="en-US"/>
        </w:rPr>
        <w:t>supra</w:t>
      </w:r>
      <w:r w:rsidR="00D26FF8" w:rsidRPr="00CF1DAF">
        <w:rPr>
          <w:lang w:val="en-US"/>
        </w:rPr>
        <w:t xml:space="preserve"> note 2.</w:t>
      </w:r>
    </w:p>
  </w:footnote>
  <w:footnote w:id="7">
    <w:p w:rsidR="00C0395B" w:rsidRPr="00662A5E" w:rsidRDefault="00C0395B" w:rsidP="00C0395B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0B5B73">
        <w:rPr>
          <w:lang w:val="en-US"/>
        </w:rPr>
        <w:t xml:space="preserve"> </w:t>
      </w:r>
      <w:r w:rsidR="000B5B73" w:rsidRPr="000B5B73">
        <w:rPr>
          <w:lang w:val="en-US"/>
        </w:rPr>
        <w:t xml:space="preserve">K. </w:t>
      </w:r>
      <w:proofErr w:type="spellStart"/>
      <w:r w:rsidRPr="000B5B73">
        <w:rPr>
          <w:lang w:val="en-US"/>
        </w:rPr>
        <w:t>Rotthier</w:t>
      </w:r>
      <w:proofErr w:type="spellEnd"/>
      <w:r w:rsidRPr="000B5B73">
        <w:rPr>
          <w:lang w:val="en-US"/>
        </w:rPr>
        <w:t xml:space="preserve">, </w:t>
      </w:r>
      <w:proofErr w:type="spellStart"/>
      <w:r w:rsidRPr="000B5B73">
        <w:rPr>
          <w:i/>
          <w:lang w:val="en-US"/>
        </w:rPr>
        <w:t>Gedwongen</w:t>
      </w:r>
      <w:proofErr w:type="spellEnd"/>
      <w:r w:rsidRPr="000B5B73">
        <w:rPr>
          <w:i/>
          <w:lang w:val="en-US"/>
        </w:rPr>
        <w:t xml:space="preserve"> </w:t>
      </w:r>
      <w:proofErr w:type="spellStart"/>
      <w:r w:rsidRPr="000B5B73">
        <w:rPr>
          <w:i/>
          <w:lang w:val="en-US"/>
        </w:rPr>
        <w:t>opname</w:t>
      </w:r>
      <w:proofErr w:type="spellEnd"/>
      <w:r w:rsidRPr="000B5B73">
        <w:rPr>
          <w:i/>
          <w:lang w:val="en-US"/>
        </w:rPr>
        <w:t xml:space="preserve"> van de </w:t>
      </w:r>
      <w:proofErr w:type="spellStart"/>
      <w:r w:rsidRPr="000B5B73">
        <w:rPr>
          <w:i/>
          <w:lang w:val="en-US"/>
        </w:rPr>
        <w:t>geesteszieke</w:t>
      </w:r>
      <w:proofErr w:type="spellEnd"/>
      <w:r w:rsidR="000B5B73" w:rsidRPr="000B5B73">
        <w:rPr>
          <w:lang w:val="en-US"/>
        </w:rPr>
        <w:t>,</w:t>
      </w:r>
      <w:r w:rsidRPr="000B5B73">
        <w:rPr>
          <w:lang w:val="en-US"/>
        </w:rPr>
        <w:t xml:space="preserve"> </w:t>
      </w:r>
      <w:r w:rsidR="000B5B73" w:rsidRPr="000B5B73">
        <w:rPr>
          <w:lang w:val="en-US"/>
        </w:rPr>
        <w:t>(</w:t>
      </w:r>
      <w:r w:rsidRPr="000B5B73">
        <w:rPr>
          <w:lang w:val="en-US"/>
        </w:rPr>
        <w:t xml:space="preserve">Bruges: Die </w:t>
      </w:r>
      <w:proofErr w:type="spellStart"/>
      <w:r w:rsidRPr="000B5B73">
        <w:rPr>
          <w:lang w:val="en-US"/>
        </w:rPr>
        <w:t>Keure</w:t>
      </w:r>
      <w:proofErr w:type="spellEnd"/>
      <w:r w:rsidRPr="000B5B73">
        <w:rPr>
          <w:lang w:val="en-US"/>
        </w:rPr>
        <w:t xml:space="preserve">, </w:t>
      </w:r>
      <w:r w:rsidR="000B5B73" w:rsidRPr="000B5B73">
        <w:rPr>
          <w:lang w:val="en-US"/>
        </w:rPr>
        <w:t xml:space="preserve">2012) </w:t>
      </w:r>
      <w:r w:rsidRPr="000B5B73">
        <w:rPr>
          <w:lang w:val="en-US"/>
        </w:rPr>
        <w:t xml:space="preserve">272; </w:t>
      </w:r>
      <w:r w:rsidR="000B5B73" w:rsidRPr="000B5B73">
        <w:rPr>
          <w:lang w:val="en-US"/>
        </w:rPr>
        <w:t xml:space="preserve">L.L. </w:t>
      </w:r>
      <w:proofErr w:type="spellStart"/>
      <w:r w:rsidR="000B5B73" w:rsidRPr="000B5B73">
        <w:rPr>
          <w:lang w:val="en-US"/>
        </w:rPr>
        <w:t>Sessums</w:t>
      </w:r>
      <w:proofErr w:type="spellEnd"/>
      <w:r w:rsidRPr="000B5B73">
        <w:rPr>
          <w:lang w:val="en-US"/>
        </w:rPr>
        <w:t xml:space="preserve"> </w:t>
      </w:r>
      <w:r w:rsidRPr="00371AEA">
        <w:rPr>
          <w:i/>
          <w:lang w:val="en-US"/>
        </w:rPr>
        <w:t>et al.</w:t>
      </w:r>
      <w:r w:rsidR="000B5B73" w:rsidRPr="000B5B73">
        <w:rPr>
          <w:lang w:val="en-US"/>
        </w:rPr>
        <w:t>,</w:t>
      </w:r>
      <w:r w:rsidRPr="000B5B73">
        <w:rPr>
          <w:lang w:val="en-US"/>
        </w:rPr>
        <w:t xml:space="preserve"> </w:t>
      </w:r>
      <w:r w:rsidR="000B5B73" w:rsidRPr="000B5B73">
        <w:rPr>
          <w:lang w:val="en-US"/>
        </w:rPr>
        <w:t>“</w:t>
      </w:r>
      <w:r w:rsidRPr="000B5B73">
        <w:rPr>
          <w:lang w:val="en-US"/>
        </w:rPr>
        <w:t>Does this Patient Have Medical Decision-Making Capacity?</w:t>
      </w:r>
      <w:r w:rsidR="000B5B73" w:rsidRPr="000B5B73">
        <w:rPr>
          <w:lang w:val="en-US"/>
        </w:rPr>
        <w:t>”,</w:t>
      </w:r>
      <w:r w:rsidRPr="000B5B73">
        <w:rPr>
          <w:lang w:val="en-US"/>
        </w:rPr>
        <w:t xml:space="preserve"> </w:t>
      </w:r>
      <w:r w:rsidRPr="000B5B73">
        <w:rPr>
          <w:i/>
          <w:iCs/>
          <w:lang w:val="en-US"/>
        </w:rPr>
        <w:t>JAMA</w:t>
      </w:r>
      <w:r w:rsidR="000B5B73" w:rsidRPr="000B5B73">
        <w:rPr>
          <w:lang w:val="en-US"/>
        </w:rPr>
        <w:t xml:space="preserve"> </w:t>
      </w:r>
      <w:r w:rsidRPr="000B5B73">
        <w:rPr>
          <w:lang w:val="en-US"/>
        </w:rPr>
        <w:t>306(4)</w:t>
      </w:r>
      <w:r w:rsidR="000B5B73" w:rsidRPr="000B5B73">
        <w:rPr>
          <w:lang w:val="en-US"/>
        </w:rPr>
        <w:t xml:space="preserve"> (2011)</w:t>
      </w:r>
      <w:r w:rsidRPr="000B5B73">
        <w:rPr>
          <w:lang w:val="en-US"/>
        </w:rPr>
        <w:t xml:space="preserve"> 421, quoting </w:t>
      </w:r>
      <w:r w:rsidR="000B5B73" w:rsidRPr="000B5B73">
        <w:rPr>
          <w:lang w:val="en-US"/>
        </w:rPr>
        <w:t xml:space="preserve">P.S. </w:t>
      </w:r>
      <w:proofErr w:type="spellStart"/>
      <w:r w:rsidR="000B5B73" w:rsidRPr="000B5B73">
        <w:rPr>
          <w:lang w:val="en-US"/>
        </w:rPr>
        <w:t>Appelbaum</w:t>
      </w:r>
      <w:proofErr w:type="spellEnd"/>
      <w:r w:rsidRPr="000B5B73">
        <w:rPr>
          <w:lang w:val="en-US"/>
        </w:rPr>
        <w:t xml:space="preserve"> and </w:t>
      </w:r>
      <w:r w:rsidR="000B5B73" w:rsidRPr="000B5B73">
        <w:rPr>
          <w:lang w:val="en-US"/>
        </w:rPr>
        <w:t xml:space="preserve">T. </w:t>
      </w:r>
      <w:proofErr w:type="spellStart"/>
      <w:r w:rsidRPr="000B5B73">
        <w:rPr>
          <w:lang w:val="en-US"/>
        </w:rPr>
        <w:t>Grisso</w:t>
      </w:r>
      <w:proofErr w:type="spellEnd"/>
      <w:r w:rsidRPr="000B5B73">
        <w:rPr>
          <w:lang w:val="en-US"/>
        </w:rPr>
        <w:t xml:space="preserve">, </w:t>
      </w:r>
      <w:r w:rsidR="000B5B73" w:rsidRPr="000B5B73">
        <w:rPr>
          <w:lang w:val="en-US"/>
        </w:rPr>
        <w:t>“</w:t>
      </w:r>
      <w:r w:rsidRPr="00662A5E">
        <w:rPr>
          <w:lang w:val="en-US"/>
        </w:rPr>
        <w:t>Assessing patients’ capacities to consent to treatment</w:t>
      </w:r>
      <w:r w:rsidR="000B5B73">
        <w:rPr>
          <w:lang w:val="en-US"/>
        </w:rPr>
        <w:t>”,</w:t>
      </w:r>
      <w:r>
        <w:rPr>
          <w:lang w:val="en-US"/>
        </w:rPr>
        <w:t xml:space="preserve"> </w:t>
      </w:r>
      <w:r w:rsidRPr="00662A5E">
        <w:rPr>
          <w:i/>
          <w:lang w:val="en-US"/>
        </w:rPr>
        <w:t xml:space="preserve">N </w:t>
      </w:r>
      <w:proofErr w:type="spellStart"/>
      <w:r w:rsidRPr="00662A5E">
        <w:rPr>
          <w:i/>
          <w:lang w:val="en-US"/>
        </w:rPr>
        <w:t>Engl</w:t>
      </w:r>
      <w:proofErr w:type="spellEnd"/>
      <w:r w:rsidRPr="00662A5E">
        <w:rPr>
          <w:i/>
          <w:lang w:val="en-US"/>
        </w:rPr>
        <w:t xml:space="preserve"> J Med</w:t>
      </w:r>
      <w:r>
        <w:rPr>
          <w:lang w:val="en-US"/>
        </w:rPr>
        <w:t>.</w:t>
      </w:r>
      <w:r w:rsidRPr="00662A5E">
        <w:rPr>
          <w:lang w:val="en-US"/>
        </w:rPr>
        <w:t xml:space="preserve"> </w:t>
      </w:r>
      <w:r w:rsidRPr="000B5B73">
        <w:rPr>
          <w:lang w:val="en-US"/>
        </w:rPr>
        <w:t>319</w:t>
      </w:r>
      <w:r>
        <w:rPr>
          <w:lang w:val="en-US"/>
        </w:rPr>
        <w:t>(25)</w:t>
      </w:r>
      <w:r w:rsidR="000B5B73">
        <w:rPr>
          <w:lang w:val="en-US"/>
        </w:rPr>
        <w:t xml:space="preserve"> (1998)</w:t>
      </w:r>
      <w:r>
        <w:rPr>
          <w:lang w:val="en-US"/>
        </w:rPr>
        <w:t xml:space="preserve"> </w:t>
      </w:r>
      <w:r w:rsidRPr="00662A5E">
        <w:rPr>
          <w:lang w:val="en-US"/>
        </w:rPr>
        <w:t>1635-1638</w:t>
      </w:r>
      <w:r>
        <w:rPr>
          <w:lang w:val="en-US"/>
        </w:rPr>
        <w:t xml:space="preserve">; </w:t>
      </w:r>
      <w:r w:rsidR="000B5B73" w:rsidRPr="00262BC2">
        <w:rPr>
          <w:lang w:val="en-US"/>
        </w:rPr>
        <w:t xml:space="preserve">P. S. </w:t>
      </w:r>
      <w:proofErr w:type="spellStart"/>
      <w:r w:rsidRPr="00262BC2">
        <w:rPr>
          <w:lang w:val="en-US"/>
        </w:rPr>
        <w:t>Appelbaum</w:t>
      </w:r>
      <w:proofErr w:type="spellEnd"/>
      <w:r w:rsidRPr="00262BC2">
        <w:rPr>
          <w:lang w:val="en-US"/>
        </w:rPr>
        <w:t xml:space="preserve">, </w:t>
      </w:r>
      <w:r w:rsidR="000B5B73">
        <w:rPr>
          <w:lang w:val="en-US"/>
        </w:rPr>
        <w:t>“</w:t>
      </w:r>
      <w:r w:rsidRPr="00662A5E">
        <w:rPr>
          <w:lang w:val="en-US"/>
        </w:rPr>
        <w:t>Assessment of Patients’ Competence to Consent to Treatment</w:t>
      </w:r>
      <w:r w:rsidR="000B5B73">
        <w:rPr>
          <w:lang w:val="en-US"/>
        </w:rPr>
        <w:t>”,</w:t>
      </w:r>
      <w:r w:rsidRPr="00662A5E">
        <w:rPr>
          <w:lang w:val="en-US"/>
        </w:rPr>
        <w:t xml:space="preserve"> </w:t>
      </w:r>
      <w:r w:rsidRPr="00662A5E">
        <w:rPr>
          <w:i/>
          <w:lang w:val="en-US"/>
        </w:rPr>
        <w:t xml:space="preserve">N </w:t>
      </w:r>
      <w:proofErr w:type="spellStart"/>
      <w:r w:rsidRPr="00662A5E">
        <w:rPr>
          <w:i/>
          <w:lang w:val="en-US"/>
        </w:rPr>
        <w:t>Engl</w:t>
      </w:r>
      <w:proofErr w:type="spellEnd"/>
      <w:r w:rsidRPr="00662A5E">
        <w:rPr>
          <w:i/>
          <w:lang w:val="en-US"/>
        </w:rPr>
        <w:t xml:space="preserve"> J Med</w:t>
      </w:r>
      <w:r>
        <w:rPr>
          <w:lang w:val="en-US"/>
        </w:rPr>
        <w:t>.</w:t>
      </w:r>
      <w:r w:rsidRPr="00662A5E">
        <w:rPr>
          <w:lang w:val="en-US"/>
        </w:rPr>
        <w:t xml:space="preserve"> </w:t>
      </w:r>
      <w:r w:rsidRPr="000B5B73">
        <w:rPr>
          <w:lang w:val="en-US"/>
        </w:rPr>
        <w:t>357</w:t>
      </w:r>
      <w:r w:rsidR="000B5B73">
        <w:rPr>
          <w:lang w:val="en-US"/>
        </w:rPr>
        <w:t>(18) (2007)</w:t>
      </w:r>
      <w:r>
        <w:rPr>
          <w:lang w:val="en-US"/>
        </w:rPr>
        <w:t xml:space="preserve"> 1836</w:t>
      </w:r>
      <w:r w:rsidRPr="00662A5E">
        <w:rPr>
          <w:lang w:val="en-US"/>
        </w:rPr>
        <w:t xml:space="preserve">; similar definitions in </w:t>
      </w:r>
      <w:r>
        <w:rPr>
          <w:lang w:val="en-US"/>
        </w:rPr>
        <w:t xml:space="preserve">the </w:t>
      </w:r>
      <w:r w:rsidRPr="00662A5E">
        <w:rPr>
          <w:lang w:val="en-US"/>
        </w:rPr>
        <w:t>England and Wales Mental Capacity Act 2005</w:t>
      </w:r>
      <w:r>
        <w:rPr>
          <w:lang w:val="en-US"/>
        </w:rPr>
        <w:t xml:space="preserve"> (c.1, s.3:</w:t>
      </w:r>
      <w:r w:rsidRPr="00572256">
        <w:rPr>
          <w:lang w:val="en-US"/>
        </w:rPr>
        <w:t xml:space="preserve"> </w:t>
      </w:r>
      <w:r w:rsidRPr="00662A5E">
        <w:rPr>
          <w:lang w:val="en-US"/>
        </w:rPr>
        <w:t>general definition of inability to make decisions</w:t>
      </w:r>
      <w:r>
        <w:rPr>
          <w:lang w:val="en-US"/>
        </w:rPr>
        <w:t>.</w:t>
      </w:r>
      <w:r w:rsidRPr="00662A5E">
        <w:rPr>
          <w:lang w:val="en-US"/>
        </w:rPr>
        <w:t xml:space="preserve"> </w:t>
      </w:r>
      <w:r w:rsidR="00631B87">
        <w:rPr>
          <w:lang w:val="en-US"/>
        </w:rPr>
        <w:t>Retrieved 26 April 2014,</w:t>
      </w:r>
      <w:r>
        <w:rPr>
          <w:lang w:val="en-US"/>
        </w:rPr>
        <w:t xml:space="preserve"> </w:t>
      </w:r>
      <w:hyperlink r:id="rId6" w:history="1">
        <w:r w:rsidR="00631B87" w:rsidRPr="00F73198">
          <w:rPr>
            <w:rStyle w:val="Lienhypertexte"/>
            <w:lang w:val="en-US"/>
          </w:rPr>
          <w:t>www.legislation.gov.uk/ukpga/2005/9/part/1</w:t>
        </w:r>
      </w:hyperlink>
      <w:r w:rsidRPr="00572256">
        <w:rPr>
          <w:lang w:val="en-US"/>
        </w:rPr>
        <w:t>)</w:t>
      </w:r>
      <w:r>
        <w:rPr>
          <w:lang w:val="en-US"/>
        </w:rPr>
        <w:t>,</w:t>
      </w:r>
      <w:r w:rsidRPr="00662A5E">
        <w:rPr>
          <w:lang w:val="en-US"/>
        </w:rPr>
        <w:t xml:space="preserve"> in the Ontario Health Care Consent Act</w:t>
      </w:r>
      <w:r>
        <w:rPr>
          <w:lang w:val="en-US"/>
        </w:rPr>
        <w:t xml:space="preserve"> 1996 (c.1, </w:t>
      </w:r>
      <w:proofErr w:type="gramStart"/>
      <w:r>
        <w:rPr>
          <w:lang w:val="en-US"/>
        </w:rPr>
        <w:t>s.</w:t>
      </w:r>
      <w:r w:rsidRPr="00662A5E">
        <w:rPr>
          <w:lang w:val="en-US"/>
        </w:rPr>
        <w:t>4(</w:t>
      </w:r>
      <w:proofErr w:type="gramEnd"/>
      <w:r w:rsidRPr="00662A5E">
        <w:rPr>
          <w:lang w:val="en-US"/>
        </w:rPr>
        <w:t xml:space="preserve">1) </w:t>
      </w:r>
      <w:r>
        <w:rPr>
          <w:lang w:val="en-US"/>
        </w:rPr>
        <w:t xml:space="preserve">: </w:t>
      </w:r>
      <w:r w:rsidRPr="00662A5E">
        <w:rPr>
          <w:lang w:val="en-US"/>
        </w:rPr>
        <w:t>conditions of capacity with respect to a treatment, admission to care facility or</w:t>
      </w:r>
      <w:r>
        <w:rPr>
          <w:lang w:val="en-US"/>
        </w:rPr>
        <w:t xml:space="preserve"> a personal assistance service. </w:t>
      </w:r>
      <w:r w:rsidR="00631B87">
        <w:rPr>
          <w:lang w:val="en-US"/>
        </w:rPr>
        <w:t xml:space="preserve">Retrieved 26 April 2014, </w:t>
      </w:r>
      <w:hyperlink r:id="rId7" w:history="1">
        <w:r w:rsidR="00157439" w:rsidRPr="00F73198">
          <w:rPr>
            <w:rStyle w:val="Lienhypertexte"/>
            <w:lang w:val="en-US"/>
          </w:rPr>
          <w:t>www.e-laws.gov.on.ca/</w:t>
        </w:r>
      </w:hyperlink>
      <w:r w:rsidR="00157439">
        <w:rPr>
          <w:lang w:val="en-US"/>
        </w:rPr>
        <w:t>)</w:t>
      </w:r>
      <w:r>
        <w:rPr>
          <w:lang w:val="en-US"/>
        </w:rPr>
        <w:t xml:space="preserve"> </w:t>
      </w:r>
      <w:r w:rsidRPr="00662A5E">
        <w:rPr>
          <w:lang w:val="en-US"/>
        </w:rPr>
        <w:t xml:space="preserve">and decisions of </w:t>
      </w:r>
      <w:r>
        <w:rPr>
          <w:lang w:val="en-US"/>
        </w:rPr>
        <w:t xml:space="preserve">the Ontario </w:t>
      </w:r>
      <w:r w:rsidRPr="00662A5E">
        <w:rPr>
          <w:lang w:val="en-US"/>
        </w:rPr>
        <w:t xml:space="preserve">Consent and Capacity Board (e.g. </w:t>
      </w:r>
      <w:r w:rsidRPr="00B118C2">
        <w:rPr>
          <w:lang w:val="en-US"/>
        </w:rPr>
        <w:t xml:space="preserve">CL (Re), 2013 </w:t>
      </w:r>
      <w:proofErr w:type="spellStart"/>
      <w:r w:rsidRPr="00B118C2">
        <w:rPr>
          <w:lang w:val="en-US"/>
        </w:rPr>
        <w:t>CanLII</w:t>
      </w:r>
      <w:proofErr w:type="spellEnd"/>
      <w:r w:rsidRPr="00B118C2">
        <w:rPr>
          <w:lang w:val="en-US"/>
        </w:rPr>
        <w:t xml:space="preserve"> 59146 (ON CCB). </w:t>
      </w:r>
      <w:r w:rsidR="00EF7EE4">
        <w:rPr>
          <w:lang w:val="en-US"/>
        </w:rPr>
        <w:t xml:space="preserve">Retrieved </w:t>
      </w:r>
      <w:r>
        <w:rPr>
          <w:lang w:val="en-US"/>
        </w:rPr>
        <w:t>25 April 2014</w:t>
      </w:r>
      <w:r w:rsidR="00EF7EE4">
        <w:rPr>
          <w:lang w:val="en-US"/>
        </w:rPr>
        <w:t>,</w:t>
      </w:r>
      <w:r>
        <w:rPr>
          <w:lang w:val="en-US"/>
        </w:rPr>
        <w:t xml:space="preserve"> </w:t>
      </w:r>
      <w:r w:rsidRPr="003C5AA0">
        <w:rPr>
          <w:lang w:val="en-US"/>
        </w:rPr>
        <w:t xml:space="preserve"> </w:t>
      </w:r>
      <w:r w:rsidRPr="00401DA7">
        <w:rPr>
          <w:lang w:val="en-US"/>
        </w:rPr>
        <w:t xml:space="preserve"> </w:t>
      </w:r>
      <w:hyperlink r:id="rId8" w:history="1">
        <w:r w:rsidR="00EF7EE4" w:rsidRPr="00F73198">
          <w:rPr>
            <w:rStyle w:val="Lienhypertexte"/>
            <w:lang w:val="en-US"/>
          </w:rPr>
          <w:t>www.canlii.ca/t/g0kz7</w:t>
        </w:r>
      </w:hyperlink>
      <w:r>
        <w:rPr>
          <w:lang w:val="en-US"/>
        </w:rPr>
        <w:t>).</w:t>
      </w:r>
    </w:p>
  </w:footnote>
  <w:footnote w:id="8">
    <w:p w:rsidR="00036AA0" w:rsidRPr="006564A2" w:rsidRDefault="00036AA0">
      <w:pPr>
        <w:pStyle w:val="Notedebasdepage"/>
        <w:rPr>
          <w:lang w:val="en-US"/>
        </w:rPr>
      </w:pPr>
      <w:r w:rsidRPr="00662A5E">
        <w:rPr>
          <w:rStyle w:val="Appelnotedebasdep"/>
        </w:rPr>
        <w:footnoteRef/>
      </w:r>
      <w:r w:rsidRPr="006564A2">
        <w:rPr>
          <w:lang w:val="en-US"/>
        </w:rPr>
        <w:t xml:space="preserve"> </w:t>
      </w:r>
      <w:r w:rsidR="00547B83" w:rsidRPr="000B5B73">
        <w:rPr>
          <w:lang w:val="en-US"/>
        </w:rPr>
        <w:t xml:space="preserve">L.L. </w:t>
      </w:r>
      <w:proofErr w:type="spellStart"/>
      <w:r w:rsidR="00547B83" w:rsidRPr="000B5B73">
        <w:rPr>
          <w:lang w:val="en-US"/>
        </w:rPr>
        <w:t>Sessums</w:t>
      </w:r>
      <w:proofErr w:type="spellEnd"/>
      <w:r w:rsidR="00547B83" w:rsidRPr="000B5B73">
        <w:rPr>
          <w:lang w:val="en-US"/>
        </w:rPr>
        <w:t xml:space="preserve"> </w:t>
      </w:r>
      <w:r w:rsidR="00547B83" w:rsidRPr="00371AEA">
        <w:rPr>
          <w:i/>
          <w:lang w:val="en-US"/>
        </w:rPr>
        <w:t>et al.</w:t>
      </w:r>
      <w:r w:rsidR="00547B83" w:rsidRPr="000B5B73">
        <w:rPr>
          <w:lang w:val="en-US"/>
        </w:rPr>
        <w:t xml:space="preserve">, </w:t>
      </w:r>
      <w:r w:rsidR="006564A2" w:rsidRPr="006564A2">
        <w:rPr>
          <w:i/>
          <w:lang w:val="en-US"/>
        </w:rPr>
        <w:t>supra</w:t>
      </w:r>
      <w:r w:rsidR="006564A2" w:rsidRPr="006564A2">
        <w:rPr>
          <w:lang w:val="en-US"/>
        </w:rPr>
        <w:t xml:space="preserve"> note 7,</w:t>
      </w:r>
      <w:r w:rsidRPr="00D413F2">
        <w:rPr>
          <w:lang w:val="en-US"/>
        </w:rPr>
        <w:t xml:space="preserve"> 421</w:t>
      </w:r>
      <w:r>
        <w:rPr>
          <w:lang w:val="en-US"/>
        </w:rPr>
        <w:t xml:space="preserve">; </w:t>
      </w:r>
      <w:r w:rsidR="006564A2" w:rsidRPr="00662A5E">
        <w:rPr>
          <w:lang w:val="en-US"/>
        </w:rPr>
        <w:t xml:space="preserve">S. </w:t>
      </w:r>
      <w:proofErr w:type="spellStart"/>
      <w:r w:rsidR="006564A2">
        <w:rPr>
          <w:lang w:val="en-US"/>
        </w:rPr>
        <w:t>Verma</w:t>
      </w:r>
      <w:proofErr w:type="spellEnd"/>
      <w:r w:rsidRPr="00D413F2">
        <w:rPr>
          <w:lang w:val="en-US"/>
        </w:rPr>
        <w:t xml:space="preserve"> </w:t>
      </w:r>
      <w:r>
        <w:rPr>
          <w:lang w:val="en-US"/>
        </w:rPr>
        <w:t>and</w:t>
      </w:r>
      <w:r w:rsidRPr="00662A5E">
        <w:rPr>
          <w:lang w:val="en-US"/>
        </w:rPr>
        <w:t xml:space="preserve"> </w:t>
      </w:r>
      <w:r w:rsidR="006564A2">
        <w:rPr>
          <w:lang w:val="en-US"/>
        </w:rPr>
        <w:t xml:space="preserve">M. </w:t>
      </w:r>
      <w:proofErr w:type="spellStart"/>
      <w:r w:rsidRPr="00662A5E">
        <w:rPr>
          <w:lang w:val="en-US"/>
        </w:rPr>
        <w:t>Silberfeld</w:t>
      </w:r>
      <w:proofErr w:type="spellEnd"/>
      <w:r w:rsidRPr="00662A5E">
        <w:rPr>
          <w:lang w:val="en-US"/>
        </w:rPr>
        <w:t>,</w:t>
      </w:r>
      <w:r w:rsidRPr="00D413F2">
        <w:rPr>
          <w:lang w:val="en-US"/>
        </w:rPr>
        <w:t xml:space="preserve"> </w:t>
      </w:r>
      <w:r w:rsidR="006564A2">
        <w:rPr>
          <w:lang w:val="en-US"/>
        </w:rPr>
        <w:t>“</w:t>
      </w:r>
      <w:r w:rsidRPr="00662A5E">
        <w:rPr>
          <w:lang w:val="en-US"/>
        </w:rPr>
        <w:t>Approaches to Capacity and</w:t>
      </w:r>
      <w:r>
        <w:rPr>
          <w:lang w:val="en-US"/>
        </w:rPr>
        <w:t xml:space="preserve"> Competency: The </w:t>
      </w:r>
      <w:r w:rsidRPr="006564A2">
        <w:rPr>
          <w:lang w:val="en-US"/>
        </w:rPr>
        <w:t>Canadian View</w:t>
      </w:r>
      <w:r w:rsidR="006564A2" w:rsidRPr="006564A2">
        <w:rPr>
          <w:lang w:val="en-US"/>
        </w:rPr>
        <w:t>”,</w:t>
      </w:r>
      <w:r w:rsidRPr="006564A2">
        <w:rPr>
          <w:i/>
          <w:lang w:val="en-US"/>
        </w:rPr>
        <w:t xml:space="preserve"> International Journal of Law and Psychiatry</w:t>
      </w:r>
      <w:r w:rsidRPr="006564A2">
        <w:rPr>
          <w:lang w:val="en-US"/>
        </w:rPr>
        <w:t xml:space="preserve"> 20</w:t>
      </w:r>
      <w:r w:rsidR="006564A2" w:rsidRPr="006564A2">
        <w:rPr>
          <w:lang w:val="en-US"/>
        </w:rPr>
        <w:t>(1) (1997)</w:t>
      </w:r>
      <w:r w:rsidRPr="006564A2">
        <w:rPr>
          <w:lang w:val="en-US"/>
        </w:rPr>
        <w:t xml:space="preserve"> 41.</w:t>
      </w:r>
    </w:p>
  </w:footnote>
  <w:footnote w:id="9">
    <w:p w:rsidR="00036AA0" w:rsidRPr="00D413F2" w:rsidRDefault="00036AA0" w:rsidP="00AE384D">
      <w:pPr>
        <w:rPr>
          <w:sz w:val="20"/>
          <w:szCs w:val="20"/>
          <w:lang w:val="en-US"/>
        </w:rPr>
      </w:pPr>
      <w:r w:rsidRPr="006564A2">
        <w:rPr>
          <w:rStyle w:val="Appelnotedebasdep"/>
          <w:sz w:val="20"/>
          <w:szCs w:val="20"/>
        </w:rPr>
        <w:footnoteRef/>
      </w:r>
      <w:r w:rsidRPr="006564A2">
        <w:rPr>
          <w:sz w:val="20"/>
          <w:szCs w:val="20"/>
        </w:rPr>
        <w:t xml:space="preserve"> </w:t>
      </w:r>
      <w:r w:rsidR="00547B83" w:rsidRPr="00547B83">
        <w:rPr>
          <w:sz w:val="20"/>
          <w:szCs w:val="20"/>
        </w:rPr>
        <w:t xml:space="preserve">L.L. </w:t>
      </w:r>
      <w:proofErr w:type="spellStart"/>
      <w:r w:rsidR="00547B83" w:rsidRPr="00547B83">
        <w:rPr>
          <w:sz w:val="20"/>
          <w:szCs w:val="20"/>
        </w:rPr>
        <w:t>Sessums</w:t>
      </w:r>
      <w:proofErr w:type="spellEnd"/>
      <w:r w:rsidR="00547B83" w:rsidRPr="00547B83">
        <w:rPr>
          <w:sz w:val="20"/>
          <w:szCs w:val="20"/>
        </w:rPr>
        <w:t xml:space="preserve"> </w:t>
      </w:r>
      <w:r w:rsidR="00547B83" w:rsidRPr="00371AEA">
        <w:rPr>
          <w:i/>
          <w:sz w:val="20"/>
          <w:szCs w:val="20"/>
        </w:rPr>
        <w:t xml:space="preserve">et </w:t>
      </w:r>
      <w:proofErr w:type="gramStart"/>
      <w:r w:rsidR="00547B83" w:rsidRPr="00371AEA">
        <w:rPr>
          <w:i/>
          <w:sz w:val="20"/>
          <w:szCs w:val="20"/>
        </w:rPr>
        <w:t>al.</w:t>
      </w:r>
      <w:r w:rsidR="00547B83" w:rsidRPr="00547B83">
        <w:rPr>
          <w:sz w:val="20"/>
          <w:szCs w:val="20"/>
        </w:rPr>
        <w:t>,</w:t>
      </w:r>
      <w:proofErr w:type="gramEnd"/>
      <w:r w:rsidR="00547B83" w:rsidRPr="00547B83">
        <w:t xml:space="preserve"> </w:t>
      </w:r>
      <w:r w:rsidR="006564A2" w:rsidRPr="006564A2">
        <w:rPr>
          <w:i/>
          <w:sz w:val="20"/>
          <w:szCs w:val="20"/>
        </w:rPr>
        <w:t>supra</w:t>
      </w:r>
      <w:r w:rsidR="006564A2" w:rsidRPr="006564A2">
        <w:rPr>
          <w:sz w:val="20"/>
          <w:szCs w:val="20"/>
        </w:rPr>
        <w:t xml:space="preserve"> note 7, </w:t>
      </w:r>
      <w:r w:rsidRPr="006564A2">
        <w:rPr>
          <w:sz w:val="20"/>
          <w:szCs w:val="20"/>
        </w:rPr>
        <w:t xml:space="preserve">421; </w:t>
      </w:r>
      <w:r w:rsidR="006564A2" w:rsidRPr="006564A2">
        <w:rPr>
          <w:sz w:val="20"/>
          <w:szCs w:val="20"/>
        </w:rPr>
        <w:t xml:space="preserve">L.  </w:t>
      </w:r>
      <w:proofErr w:type="spellStart"/>
      <w:proofErr w:type="gramStart"/>
      <w:r w:rsidRPr="006564A2">
        <w:rPr>
          <w:sz w:val="20"/>
          <w:szCs w:val="20"/>
          <w:lang w:val="en-US"/>
        </w:rPr>
        <w:t>Ganzini</w:t>
      </w:r>
      <w:proofErr w:type="spellEnd"/>
      <w:r w:rsidRPr="006564A2">
        <w:rPr>
          <w:sz w:val="20"/>
          <w:szCs w:val="20"/>
          <w:lang w:val="en-US"/>
        </w:rPr>
        <w:t xml:space="preserve"> </w:t>
      </w:r>
      <w:r w:rsidRPr="00371AEA">
        <w:rPr>
          <w:i/>
          <w:sz w:val="20"/>
          <w:szCs w:val="20"/>
          <w:lang w:val="en-US"/>
        </w:rPr>
        <w:t>et al.</w:t>
      </w:r>
      <w:r w:rsidR="006564A2">
        <w:rPr>
          <w:sz w:val="20"/>
          <w:szCs w:val="20"/>
          <w:lang w:val="en-US"/>
        </w:rPr>
        <w:t>,</w:t>
      </w:r>
      <w:r w:rsidR="006564A2" w:rsidRPr="006564A2">
        <w:rPr>
          <w:sz w:val="20"/>
          <w:szCs w:val="20"/>
          <w:lang w:val="en-US"/>
        </w:rPr>
        <w:t xml:space="preserve"> </w:t>
      </w:r>
      <w:r w:rsidR="006564A2">
        <w:rPr>
          <w:sz w:val="20"/>
          <w:szCs w:val="20"/>
          <w:lang w:val="en-US"/>
        </w:rPr>
        <w:t>“</w:t>
      </w:r>
      <w:r w:rsidRPr="006564A2">
        <w:rPr>
          <w:sz w:val="20"/>
          <w:szCs w:val="20"/>
          <w:lang w:val="en-US"/>
        </w:rPr>
        <w:t>Pitfalls in Assessment of Decision-Making Capacity</w:t>
      </w:r>
      <w:r w:rsidR="006564A2">
        <w:rPr>
          <w:sz w:val="20"/>
          <w:szCs w:val="20"/>
          <w:lang w:val="en-US"/>
        </w:rPr>
        <w:t>”,</w:t>
      </w:r>
      <w:r w:rsidRPr="006564A2">
        <w:rPr>
          <w:sz w:val="20"/>
          <w:szCs w:val="20"/>
          <w:lang w:val="en-US"/>
        </w:rPr>
        <w:t xml:space="preserve"> </w:t>
      </w:r>
      <w:r w:rsidRPr="006564A2">
        <w:rPr>
          <w:i/>
          <w:sz w:val="20"/>
          <w:szCs w:val="20"/>
          <w:lang w:val="en-US"/>
        </w:rPr>
        <w:t>Psychosomatics</w:t>
      </w:r>
      <w:r>
        <w:rPr>
          <w:sz w:val="20"/>
          <w:szCs w:val="20"/>
          <w:lang w:val="en-US"/>
        </w:rPr>
        <w:t xml:space="preserve"> </w:t>
      </w:r>
      <w:r w:rsidRPr="006564A2">
        <w:rPr>
          <w:sz w:val="20"/>
          <w:szCs w:val="20"/>
          <w:lang w:val="en-US"/>
        </w:rPr>
        <w:t>44</w:t>
      </w:r>
      <w:r>
        <w:rPr>
          <w:sz w:val="20"/>
          <w:szCs w:val="20"/>
          <w:lang w:val="en-US"/>
        </w:rPr>
        <w:t>(</w:t>
      </w:r>
      <w:r w:rsidRPr="00D413F2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)</w:t>
      </w:r>
      <w:r w:rsidR="006564A2">
        <w:rPr>
          <w:sz w:val="20"/>
          <w:szCs w:val="20"/>
          <w:lang w:val="en-US"/>
        </w:rPr>
        <w:t xml:space="preserve"> (</w:t>
      </w:r>
      <w:r w:rsidR="006564A2" w:rsidRPr="006564A2">
        <w:rPr>
          <w:sz w:val="20"/>
          <w:szCs w:val="20"/>
          <w:lang w:val="en-US"/>
        </w:rPr>
        <w:t>2003</w:t>
      </w:r>
      <w:r w:rsidR="006564A2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 </w:t>
      </w:r>
      <w:r w:rsidRPr="00D413F2">
        <w:rPr>
          <w:sz w:val="20"/>
          <w:szCs w:val="20"/>
          <w:lang w:val="en-US"/>
        </w:rPr>
        <w:t>242.</w:t>
      </w:r>
      <w:proofErr w:type="gramEnd"/>
    </w:p>
  </w:footnote>
  <w:footnote w:id="10">
    <w:p w:rsidR="00036AA0" w:rsidRPr="00662A5E" w:rsidRDefault="00036AA0">
      <w:pPr>
        <w:pStyle w:val="Notedebasdepage"/>
        <w:rPr>
          <w:lang w:val="en-US"/>
        </w:rPr>
      </w:pPr>
      <w:r w:rsidRPr="00D413F2">
        <w:rPr>
          <w:rStyle w:val="Appelnotedebasdep"/>
        </w:rPr>
        <w:footnoteRef/>
      </w:r>
      <w:r w:rsidRPr="00D413F2">
        <w:rPr>
          <w:lang w:val="en-US"/>
        </w:rPr>
        <w:t xml:space="preserve"> </w:t>
      </w:r>
      <w:r w:rsidR="006A2F49">
        <w:rPr>
          <w:lang w:val="en-US"/>
        </w:rPr>
        <w:t xml:space="preserve">L. </w:t>
      </w:r>
      <w:proofErr w:type="spellStart"/>
      <w:r w:rsidR="006A2F49">
        <w:rPr>
          <w:lang w:val="en-US"/>
        </w:rPr>
        <w:t>Seyfried</w:t>
      </w:r>
      <w:proofErr w:type="spellEnd"/>
      <w:r w:rsidRPr="00FE18BD">
        <w:rPr>
          <w:lang w:val="en-US"/>
        </w:rPr>
        <w:t xml:space="preserve"> </w:t>
      </w:r>
      <w:r w:rsidRPr="00371AEA">
        <w:rPr>
          <w:i/>
          <w:lang w:val="en-US"/>
        </w:rPr>
        <w:t>et al.</w:t>
      </w:r>
      <w:r w:rsidR="006A2F49">
        <w:rPr>
          <w:lang w:val="en-US"/>
        </w:rPr>
        <w:t>,</w:t>
      </w:r>
      <w:r>
        <w:rPr>
          <w:lang w:val="en-US"/>
        </w:rPr>
        <w:t xml:space="preserve"> </w:t>
      </w:r>
      <w:r w:rsidR="006A2F49">
        <w:rPr>
          <w:lang w:val="en-US"/>
        </w:rPr>
        <w:t>“</w:t>
      </w:r>
      <w:r w:rsidRPr="00D413F2">
        <w:rPr>
          <w:lang w:val="en-US"/>
        </w:rPr>
        <w:t>Assessment of Decision</w:t>
      </w:r>
      <w:r w:rsidRPr="00662A5E">
        <w:rPr>
          <w:lang w:val="en-US"/>
        </w:rPr>
        <w:t>-Making Capacity: Views and Experiences</w:t>
      </w:r>
      <w:r>
        <w:rPr>
          <w:lang w:val="en-US"/>
        </w:rPr>
        <w:t xml:space="preserve"> of Consultation Psychiatrists</w:t>
      </w:r>
      <w:r w:rsidR="006A2F49">
        <w:rPr>
          <w:lang w:val="en-US"/>
        </w:rPr>
        <w:t>”,</w:t>
      </w:r>
      <w:r w:rsidRPr="00662A5E">
        <w:rPr>
          <w:lang w:val="en-US"/>
        </w:rPr>
        <w:t xml:space="preserve"> </w:t>
      </w:r>
      <w:r w:rsidRPr="00662A5E">
        <w:rPr>
          <w:i/>
          <w:lang w:val="en-US"/>
        </w:rPr>
        <w:t>Psychosomatics</w:t>
      </w:r>
      <w:r w:rsidRPr="00662A5E">
        <w:rPr>
          <w:lang w:val="en-US"/>
        </w:rPr>
        <w:t xml:space="preserve"> </w:t>
      </w:r>
      <w:r w:rsidRPr="006A2F49">
        <w:rPr>
          <w:lang w:val="en-US"/>
        </w:rPr>
        <w:t>54(</w:t>
      </w:r>
      <w:r w:rsidRPr="00910BDC">
        <w:rPr>
          <w:lang w:val="en-US"/>
        </w:rPr>
        <w:t>2)</w:t>
      </w:r>
      <w:r w:rsidR="006A2F49">
        <w:rPr>
          <w:lang w:val="en-US"/>
        </w:rPr>
        <w:t xml:space="preserve"> (2013)</w:t>
      </w:r>
      <w:r w:rsidR="006A2F49" w:rsidRPr="00662A5E">
        <w:rPr>
          <w:lang w:val="en-US"/>
        </w:rPr>
        <w:t xml:space="preserve"> </w:t>
      </w:r>
      <w:r w:rsidRPr="00662A5E">
        <w:rPr>
          <w:lang w:val="en-US"/>
        </w:rPr>
        <w:t xml:space="preserve">115-123. </w:t>
      </w:r>
    </w:p>
  </w:footnote>
  <w:footnote w:id="11">
    <w:p w:rsidR="00036AA0" w:rsidRPr="005123A3" w:rsidRDefault="00036AA0" w:rsidP="00DA3F73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5123A3">
        <w:rPr>
          <w:lang w:val="en-US"/>
        </w:rPr>
        <w:t xml:space="preserve"> </w:t>
      </w:r>
      <w:proofErr w:type="gramStart"/>
      <w:r w:rsidRPr="005123A3">
        <w:rPr>
          <w:lang w:val="en-US"/>
        </w:rPr>
        <w:t>Belgian legal instruments issued by Government and providing for details about implementation of an Act.</w:t>
      </w:r>
      <w:proofErr w:type="gramEnd"/>
    </w:p>
  </w:footnote>
  <w:footnote w:id="12">
    <w:p w:rsidR="00036AA0" w:rsidRPr="00ED6D0D" w:rsidRDefault="00036AA0" w:rsidP="00DA3F73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ED6D0D">
        <w:rPr>
          <w:lang w:val="en-US"/>
        </w:rPr>
        <w:t xml:space="preserve"> </w:t>
      </w:r>
      <w:r>
        <w:rPr>
          <w:lang w:val="en-US"/>
        </w:rPr>
        <w:t>Patient’s R</w:t>
      </w:r>
      <w:r w:rsidR="00C82C78">
        <w:rPr>
          <w:lang w:val="en-US"/>
        </w:rPr>
        <w:t xml:space="preserve">ights Act 2002. (c.2, </w:t>
      </w:r>
      <w:proofErr w:type="gramStart"/>
      <w:r w:rsidR="00C82C78">
        <w:rPr>
          <w:lang w:val="en-US"/>
        </w:rPr>
        <w:t>s.3(</w:t>
      </w:r>
      <w:proofErr w:type="gramEnd"/>
      <w:r w:rsidR="00C82C78">
        <w:rPr>
          <w:lang w:val="en-US"/>
        </w:rPr>
        <w:t xml:space="preserve">2)). Retrieved 23 April 2014, </w:t>
      </w:r>
      <w:hyperlink r:id="rId9" w:history="1">
        <w:r w:rsidR="00C82C78" w:rsidRPr="000A7E58">
          <w:rPr>
            <w:rStyle w:val="Lienhypertexte"/>
            <w:lang w:val="en-US"/>
          </w:rPr>
          <w:t>www.ejustice.just.fgov.be/loi/loi.htm</w:t>
        </w:r>
      </w:hyperlink>
      <w:r>
        <w:rPr>
          <w:lang w:val="en-US"/>
        </w:rPr>
        <w:t xml:space="preserve"> </w:t>
      </w:r>
    </w:p>
  </w:footnote>
  <w:footnote w:id="13">
    <w:p w:rsidR="00036AA0" w:rsidRPr="006F3249" w:rsidRDefault="00036AA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F3249"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r w:rsidRPr="00693018">
        <w:rPr>
          <w:lang w:val="en-US"/>
        </w:rPr>
        <w:t>s explicitly said in the English</w:t>
      </w:r>
      <w:r>
        <w:rPr>
          <w:lang w:val="en-US"/>
        </w:rPr>
        <w:t xml:space="preserve"> and Welsh</w:t>
      </w:r>
      <w:r w:rsidRPr="00693018">
        <w:rPr>
          <w:lang w:val="en-US"/>
        </w:rPr>
        <w:t xml:space="preserve"> Mental Capacity Act </w:t>
      </w:r>
      <w:r>
        <w:rPr>
          <w:lang w:val="en-US"/>
        </w:rPr>
        <w:t>2005.</w:t>
      </w:r>
      <w:proofErr w:type="gramEnd"/>
      <w:r>
        <w:rPr>
          <w:lang w:val="en-US"/>
        </w:rPr>
        <w:t xml:space="preserve"> (c.1, </w:t>
      </w:r>
      <w:proofErr w:type="gramStart"/>
      <w:r>
        <w:rPr>
          <w:lang w:val="en-US"/>
        </w:rPr>
        <w:t>s.2(</w:t>
      </w:r>
      <w:proofErr w:type="gramEnd"/>
      <w:r>
        <w:rPr>
          <w:lang w:val="en-US"/>
        </w:rPr>
        <w:t xml:space="preserve">4)). </w:t>
      </w:r>
      <w:r w:rsidR="00C82C78">
        <w:rPr>
          <w:lang w:val="en-US"/>
        </w:rPr>
        <w:t xml:space="preserve">Retrieved </w:t>
      </w:r>
      <w:r>
        <w:rPr>
          <w:lang w:val="en-US"/>
        </w:rPr>
        <w:t>26 April 2014</w:t>
      </w:r>
      <w:r w:rsidR="00C82C78">
        <w:rPr>
          <w:lang w:val="en-US"/>
        </w:rPr>
        <w:t>,</w:t>
      </w:r>
      <w:r>
        <w:rPr>
          <w:lang w:val="en-US"/>
        </w:rPr>
        <w:t xml:space="preserve"> </w:t>
      </w:r>
      <w:hyperlink r:id="rId10" w:history="1">
        <w:r w:rsidR="00C82C78" w:rsidRPr="00F73198">
          <w:rPr>
            <w:rStyle w:val="Lienhypertexte"/>
            <w:lang w:val="en-US"/>
          </w:rPr>
          <w:t>www.legislation.gov.uk/ukpga/2005/9/part/1</w:t>
        </w:r>
      </w:hyperlink>
      <w:r>
        <w:rPr>
          <w:lang w:val="en-US"/>
        </w:rPr>
        <w:t xml:space="preserve"> </w:t>
      </w:r>
    </w:p>
  </w:footnote>
  <w:footnote w:id="14">
    <w:p w:rsidR="00036AA0" w:rsidRPr="009607CD" w:rsidRDefault="00036AA0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9607CD">
        <w:rPr>
          <w:lang w:val="en-US"/>
        </w:rPr>
        <w:t xml:space="preserve"> </w:t>
      </w:r>
      <w:proofErr w:type="gramStart"/>
      <w:r w:rsidRPr="0020588A">
        <w:rPr>
          <w:lang w:val="en-US"/>
        </w:rPr>
        <w:t>Joint Center for Bioethics of the University of Toronto</w:t>
      </w:r>
      <w:r w:rsidR="00846267">
        <w:rPr>
          <w:lang w:val="en-US"/>
        </w:rPr>
        <w:t>.</w:t>
      </w:r>
      <w:proofErr w:type="gramEnd"/>
      <w:r w:rsidR="00846267">
        <w:rPr>
          <w:lang w:val="en-US"/>
        </w:rPr>
        <w:t xml:space="preserve"> </w:t>
      </w:r>
      <w:proofErr w:type="gramStart"/>
      <w:r w:rsidR="00846267">
        <w:rPr>
          <w:lang w:val="en-US"/>
        </w:rPr>
        <w:t>“</w:t>
      </w:r>
      <w:r w:rsidRPr="00846267">
        <w:rPr>
          <w:lang w:val="en-US"/>
        </w:rPr>
        <w:t>Aid for Capacity Evaluation</w:t>
      </w:r>
      <w:r w:rsidR="00846267">
        <w:rPr>
          <w:lang w:val="en-US"/>
        </w:rPr>
        <w:t>”</w:t>
      </w:r>
      <w:r w:rsidR="00547B83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University of Toronto, </w:t>
      </w:r>
      <w:r w:rsidRPr="0020588A">
        <w:rPr>
          <w:lang w:val="en-US"/>
        </w:rPr>
        <w:t>Joint Center for Bioethics</w:t>
      </w:r>
      <w:r>
        <w:rPr>
          <w:lang w:val="en-US"/>
        </w:rPr>
        <w:t>.</w:t>
      </w:r>
      <w:proofErr w:type="gramEnd"/>
      <w:r w:rsidRPr="0020588A">
        <w:rPr>
          <w:lang w:val="en-US"/>
        </w:rPr>
        <w:t xml:space="preserve"> </w:t>
      </w:r>
      <w:r w:rsidR="00846267">
        <w:rPr>
          <w:lang w:val="en-US"/>
        </w:rPr>
        <w:t xml:space="preserve">Retrieved </w:t>
      </w:r>
      <w:r>
        <w:rPr>
          <w:lang w:val="en-US"/>
        </w:rPr>
        <w:t>26 April 2014</w:t>
      </w:r>
      <w:r w:rsidR="00846267">
        <w:rPr>
          <w:lang w:val="en-US"/>
        </w:rPr>
        <w:t>,</w:t>
      </w:r>
      <w:r>
        <w:rPr>
          <w:lang w:val="en-US"/>
        </w:rPr>
        <w:t xml:space="preserve"> </w:t>
      </w:r>
      <w:hyperlink r:id="rId11" w:history="1">
        <w:r w:rsidR="00846267" w:rsidRPr="00F73198">
          <w:rPr>
            <w:rStyle w:val="Lienhypertexte"/>
            <w:lang w:val="en-US"/>
          </w:rPr>
          <w:t>www.jointcentreforbioethics.ca/tools/ace_download.shtml</w:t>
        </w:r>
      </w:hyperlink>
      <w:r>
        <w:rPr>
          <w:lang w:val="en-US"/>
        </w:rPr>
        <w:t xml:space="preserve"> </w:t>
      </w:r>
    </w:p>
  </w:footnote>
  <w:footnote w:id="15">
    <w:p w:rsidR="00036AA0" w:rsidRPr="00E73618" w:rsidRDefault="00036AA0" w:rsidP="00106FE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C3541">
        <w:rPr>
          <w:lang w:val="en-US"/>
        </w:rPr>
        <w:t xml:space="preserve"> </w:t>
      </w:r>
      <w:r>
        <w:rPr>
          <w:lang w:val="en-US"/>
        </w:rPr>
        <w:t xml:space="preserve">Or </w:t>
      </w:r>
      <w:proofErr w:type="spellStart"/>
      <w:r>
        <w:rPr>
          <w:lang w:val="en-US"/>
        </w:rPr>
        <w:t>MacCAT</w:t>
      </w:r>
      <w:proofErr w:type="spellEnd"/>
      <w:r>
        <w:rPr>
          <w:lang w:val="en-US"/>
        </w:rPr>
        <w:t>-T</w:t>
      </w:r>
      <w:r w:rsidR="00547B83">
        <w:rPr>
          <w:lang w:val="en-US"/>
        </w:rPr>
        <w:t>;</w:t>
      </w:r>
      <w:r>
        <w:rPr>
          <w:lang w:val="en-US"/>
        </w:rPr>
        <w:t xml:space="preserve"> </w:t>
      </w:r>
      <w:r w:rsidR="00547B83" w:rsidRPr="00547B83">
        <w:rPr>
          <w:i/>
          <w:lang w:val="en-US"/>
        </w:rPr>
        <w:t>supra</w:t>
      </w:r>
      <w:r w:rsidR="00547B83">
        <w:rPr>
          <w:lang w:val="en-US"/>
        </w:rPr>
        <w:t xml:space="preserve">, note 3. </w:t>
      </w:r>
      <w:r>
        <w:rPr>
          <w:lang w:val="en-US"/>
        </w:rPr>
        <w:t xml:space="preserve">For a review of the available tools, see </w:t>
      </w:r>
      <w:r w:rsidR="00547B83" w:rsidRPr="000B5B73">
        <w:rPr>
          <w:lang w:val="en-US"/>
        </w:rPr>
        <w:t xml:space="preserve">L.L. </w:t>
      </w:r>
      <w:proofErr w:type="spellStart"/>
      <w:r w:rsidR="00547B83" w:rsidRPr="000B5B73">
        <w:rPr>
          <w:lang w:val="en-US"/>
        </w:rPr>
        <w:t>Sessums</w:t>
      </w:r>
      <w:proofErr w:type="spellEnd"/>
      <w:r w:rsidR="00547B83" w:rsidRPr="000B5B73">
        <w:rPr>
          <w:lang w:val="en-US"/>
        </w:rPr>
        <w:t xml:space="preserve"> </w:t>
      </w:r>
      <w:r w:rsidR="00547B83" w:rsidRPr="00371AEA">
        <w:rPr>
          <w:i/>
          <w:lang w:val="en-US"/>
        </w:rPr>
        <w:t>et al.</w:t>
      </w:r>
      <w:r w:rsidR="00547B83">
        <w:rPr>
          <w:lang w:val="en-US"/>
        </w:rPr>
        <w:t>,</w:t>
      </w:r>
      <w:r w:rsidRPr="006273CB">
        <w:rPr>
          <w:lang w:val="en-US"/>
        </w:rPr>
        <w:t xml:space="preserve"> </w:t>
      </w:r>
      <w:r w:rsidR="00547B83" w:rsidRPr="00547B83">
        <w:rPr>
          <w:i/>
          <w:lang w:val="en-US"/>
        </w:rPr>
        <w:t xml:space="preserve">supra </w:t>
      </w:r>
      <w:r w:rsidR="00547B83">
        <w:rPr>
          <w:lang w:val="en-US"/>
        </w:rPr>
        <w:t>note 7.</w:t>
      </w:r>
    </w:p>
  </w:footnote>
  <w:footnote w:id="16">
    <w:p w:rsidR="00036AA0" w:rsidRPr="000117E6" w:rsidRDefault="00036AA0" w:rsidP="009E2DB6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35317B">
        <w:t xml:space="preserve"> </w:t>
      </w:r>
      <w:r w:rsidR="00EA3EBD" w:rsidRPr="00EA3EBD">
        <w:t xml:space="preserve">L.L. </w:t>
      </w:r>
      <w:proofErr w:type="spellStart"/>
      <w:r w:rsidR="00EA3EBD" w:rsidRPr="00EA3EBD">
        <w:t>Sessums</w:t>
      </w:r>
      <w:proofErr w:type="spellEnd"/>
      <w:r w:rsidR="00EA3EBD" w:rsidRPr="00EA3EBD">
        <w:t xml:space="preserve"> </w:t>
      </w:r>
      <w:r w:rsidR="00EA3EBD" w:rsidRPr="00371AEA">
        <w:rPr>
          <w:i/>
        </w:rPr>
        <w:t xml:space="preserve">et </w:t>
      </w:r>
      <w:proofErr w:type="gramStart"/>
      <w:r w:rsidR="00EA3EBD" w:rsidRPr="00371AEA">
        <w:rPr>
          <w:i/>
        </w:rPr>
        <w:t>al.</w:t>
      </w:r>
      <w:r w:rsidR="00EA3EBD" w:rsidRPr="00EA3EBD">
        <w:t>,</w:t>
      </w:r>
      <w:proofErr w:type="gramEnd"/>
      <w:r w:rsidR="00EA3EBD" w:rsidRPr="00EA3EBD">
        <w:rPr>
          <w:i/>
        </w:rPr>
        <w:t xml:space="preserve"> supra </w:t>
      </w:r>
      <w:r w:rsidR="00EA3EBD" w:rsidRPr="00EA3EBD">
        <w:t xml:space="preserve">note 7, </w:t>
      </w:r>
      <w:r w:rsidRPr="00EA3EBD">
        <w:t xml:space="preserve">424; </w:t>
      </w:r>
      <w:r w:rsidR="00EA3EBD" w:rsidRPr="00EA3EBD">
        <w:t xml:space="preserve">P. S. </w:t>
      </w:r>
      <w:proofErr w:type="spellStart"/>
      <w:r w:rsidR="00EA3EBD" w:rsidRPr="00EA3EBD">
        <w:t>Appelbaum</w:t>
      </w:r>
      <w:proofErr w:type="spellEnd"/>
      <w:r w:rsidR="00EA3EBD" w:rsidRPr="00EA3EBD">
        <w:t xml:space="preserve">, </w:t>
      </w:r>
      <w:r w:rsidR="00EA3EBD" w:rsidRPr="00EA3EBD">
        <w:rPr>
          <w:i/>
        </w:rPr>
        <w:t xml:space="preserve">supra </w:t>
      </w:r>
      <w:r w:rsidR="00EA3EBD" w:rsidRPr="00EA3EBD">
        <w:t xml:space="preserve">note 7, </w:t>
      </w:r>
      <w:r w:rsidR="00FD3EB2" w:rsidRPr="00EA3EBD">
        <w:t>1838</w:t>
      </w:r>
      <w:r w:rsidRPr="00EA3EBD">
        <w:t xml:space="preserve">. </w:t>
      </w:r>
      <w:r>
        <w:rPr>
          <w:lang w:val="en-US"/>
        </w:rPr>
        <w:t xml:space="preserve">As an example of the possibility and importance to try to improve decision-making capacity, a study showed the influence of severe depression on </w:t>
      </w:r>
      <w:r w:rsidRPr="00F816D6">
        <w:rPr>
          <w:lang w:val="en-US"/>
        </w:rPr>
        <w:t>advance</w:t>
      </w:r>
      <w:r>
        <w:rPr>
          <w:lang w:val="en-US"/>
        </w:rPr>
        <w:t xml:space="preserve"> treatment directives and concluded that these patients should be encouraged to </w:t>
      </w:r>
      <w:r w:rsidR="00FD3EB2" w:rsidRPr="00170F08">
        <w:rPr>
          <w:lang w:val="en-US"/>
        </w:rPr>
        <w:t>postpone</w:t>
      </w:r>
      <w:r>
        <w:rPr>
          <w:lang w:val="en-US"/>
        </w:rPr>
        <w:t xml:space="preserve"> such directives until they have received treatment for their depression (</w:t>
      </w:r>
      <w:r w:rsidR="00EA3EBD">
        <w:rPr>
          <w:lang w:val="en-US"/>
        </w:rPr>
        <w:t>L.</w:t>
      </w:r>
      <w:r w:rsidR="00EA3EBD" w:rsidRPr="00D413F2">
        <w:rPr>
          <w:lang w:val="en-US"/>
        </w:rPr>
        <w:t xml:space="preserve"> </w:t>
      </w:r>
      <w:proofErr w:type="spellStart"/>
      <w:r w:rsidRPr="00D413F2">
        <w:rPr>
          <w:lang w:val="en-US"/>
        </w:rPr>
        <w:t>Ganzini</w:t>
      </w:r>
      <w:proofErr w:type="spellEnd"/>
      <w:r w:rsidRPr="00D413F2">
        <w:rPr>
          <w:lang w:val="en-US"/>
        </w:rPr>
        <w:t xml:space="preserve"> </w:t>
      </w:r>
      <w:r w:rsidRPr="00371AEA">
        <w:rPr>
          <w:i/>
          <w:lang w:val="en-US"/>
        </w:rPr>
        <w:t>et al.</w:t>
      </w:r>
      <w:r w:rsidR="00EA3EBD">
        <w:rPr>
          <w:lang w:val="en-US"/>
        </w:rPr>
        <w:t>, “</w:t>
      </w:r>
      <w:r w:rsidRPr="009E2DB6">
        <w:rPr>
          <w:lang w:val="en-US"/>
        </w:rPr>
        <w:t>The effect of depression treatment on elderly patients' preferences for life-sustaining medical therapy</w:t>
      </w:r>
      <w:r w:rsidR="00EA3EBD">
        <w:rPr>
          <w:lang w:val="en-US"/>
        </w:rPr>
        <w:t>”,</w:t>
      </w:r>
      <w:r>
        <w:rPr>
          <w:lang w:val="en-US"/>
        </w:rPr>
        <w:t xml:space="preserve"> </w:t>
      </w:r>
      <w:r w:rsidRPr="009E2DB6">
        <w:rPr>
          <w:i/>
          <w:lang w:val="en-US"/>
        </w:rPr>
        <w:t>Am J Psychiatry</w:t>
      </w:r>
      <w:r>
        <w:rPr>
          <w:lang w:val="en-US"/>
        </w:rPr>
        <w:t xml:space="preserve"> </w:t>
      </w:r>
      <w:r w:rsidRPr="00EA3EBD">
        <w:rPr>
          <w:lang w:val="en-US"/>
        </w:rPr>
        <w:t>151</w:t>
      </w:r>
      <w:r>
        <w:rPr>
          <w:lang w:val="en-US"/>
        </w:rPr>
        <w:t>(11</w:t>
      </w:r>
      <w:r w:rsidR="00EA3EBD">
        <w:rPr>
          <w:lang w:val="en-US"/>
        </w:rPr>
        <w:t xml:space="preserve">) (1994) </w:t>
      </w:r>
      <w:r w:rsidRPr="009E2DB6">
        <w:rPr>
          <w:lang w:val="en-US"/>
        </w:rPr>
        <w:t>1631-1636</w:t>
      </w:r>
      <w:r>
        <w:rPr>
          <w:lang w:val="en-US"/>
        </w:rPr>
        <w:t>.</w:t>
      </w:r>
    </w:p>
  </w:footnote>
  <w:footnote w:id="17">
    <w:p w:rsidR="00036AA0" w:rsidRPr="003452BA" w:rsidRDefault="00036AA0">
      <w:pPr>
        <w:pStyle w:val="Notedebasdepage"/>
        <w:rPr>
          <w:lang w:val="en-US"/>
        </w:rPr>
      </w:pPr>
      <w:r w:rsidRPr="003452BA">
        <w:rPr>
          <w:rStyle w:val="Appelnotedebasdep"/>
        </w:rPr>
        <w:footnoteRef/>
      </w:r>
      <w:r w:rsidRPr="003452BA">
        <w:rPr>
          <w:lang w:val="en-US"/>
        </w:rPr>
        <w:t xml:space="preserve"> </w:t>
      </w:r>
      <w:r w:rsidR="00171AF0">
        <w:rPr>
          <w:lang w:val="en-US"/>
        </w:rPr>
        <w:t xml:space="preserve">World Health </w:t>
      </w:r>
      <w:proofErr w:type="spellStart"/>
      <w:r w:rsidR="00171AF0">
        <w:rPr>
          <w:lang w:val="en-US"/>
        </w:rPr>
        <w:t>Organisation</w:t>
      </w:r>
      <w:proofErr w:type="spellEnd"/>
      <w:r w:rsidR="00171AF0">
        <w:rPr>
          <w:lang w:val="en-US"/>
        </w:rPr>
        <w:t xml:space="preserve">, </w:t>
      </w:r>
      <w:r w:rsidR="00171AF0">
        <w:rPr>
          <w:i/>
          <w:lang w:val="en-US"/>
        </w:rPr>
        <w:t>s</w:t>
      </w:r>
      <w:r w:rsidR="00171AF0" w:rsidRPr="00171AF0">
        <w:rPr>
          <w:i/>
          <w:lang w:val="en-US"/>
        </w:rPr>
        <w:t>upra</w:t>
      </w:r>
      <w:r w:rsidR="00171AF0">
        <w:rPr>
          <w:lang w:val="en-US"/>
        </w:rPr>
        <w:t>, note 2</w:t>
      </w:r>
      <w:r>
        <w:rPr>
          <w:lang w:val="en-US"/>
        </w:rPr>
        <w:t>, 2.</w:t>
      </w:r>
    </w:p>
  </w:footnote>
  <w:footnote w:id="18">
    <w:p w:rsidR="00036AA0" w:rsidRPr="00BC39E2" w:rsidRDefault="00036AA0" w:rsidP="00052B0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BC39E2">
        <w:rPr>
          <w:lang w:val="en-US"/>
        </w:rPr>
        <w:t xml:space="preserve"> </w:t>
      </w:r>
      <w:r w:rsidR="00171AF0">
        <w:rPr>
          <w:lang w:val="en-US"/>
        </w:rPr>
        <w:t xml:space="preserve">L. </w:t>
      </w:r>
      <w:proofErr w:type="spellStart"/>
      <w:r w:rsidR="00171AF0">
        <w:rPr>
          <w:lang w:val="en-US"/>
        </w:rPr>
        <w:t>Seyfried</w:t>
      </w:r>
      <w:proofErr w:type="spellEnd"/>
      <w:r w:rsidR="00171AF0" w:rsidRPr="00FE18BD">
        <w:rPr>
          <w:lang w:val="en-US"/>
        </w:rPr>
        <w:t xml:space="preserve"> </w:t>
      </w:r>
      <w:r w:rsidR="00171AF0" w:rsidRPr="00371AEA">
        <w:rPr>
          <w:i/>
          <w:lang w:val="en-US"/>
        </w:rPr>
        <w:t>et al.</w:t>
      </w:r>
      <w:r w:rsidR="00171AF0">
        <w:rPr>
          <w:lang w:val="en-US"/>
        </w:rPr>
        <w:t xml:space="preserve">, </w:t>
      </w:r>
      <w:r w:rsidR="00171AF0" w:rsidRPr="00171AF0">
        <w:rPr>
          <w:i/>
          <w:lang w:val="en-US"/>
        </w:rPr>
        <w:t>supra</w:t>
      </w:r>
      <w:r w:rsidR="00171AF0">
        <w:rPr>
          <w:lang w:val="en-US"/>
        </w:rPr>
        <w:t>, note 10</w:t>
      </w:r>
      <w:r>
        <w:rPr>
          <w:lang w:val="en-US"/>
        </w:rPr>
        <w:t>;</w:t>
      </w:r>
      <w:r w:rsidR="00171AF0" w:rsidRPr="00171AF0">
        <w:rPr>
          <w:lang w:val="en-US"/>
        </w:rPr>
        <w:t xml:space="preserve"> </w:t>
      </w:r>
      <w:r w:rsidR="00171AF0" w:rsidRPr="00662A5E">
        <w:rPr>
          <w:lang w:val="en-US"/>
        </w:rPr>
        <w:t xml:space="preserve">S. </w:t>
      </w:r>
      <w:proofErr w:type="spellStart"/>
      <w:r w:rsidR="00171AF0">
        <w:rPr>
          <w:lang w:val="en-US"/>
        </w:rPr>
        <w:t>Verma</w:t>
      </w:r>
      <w:proofErr w:type="spellEnd"/>
      <w:r w:rsidR="00171AF0" w:rsidRPr="00D413F2">
        <w:rPr>
          <w:lang w:val="en-US"/>
        </w:rPr>
        <w:t xml:space="preserve"> </w:t>
      </w:r>
      <w:r w:rsidR="00171AF0">
        <w:rPr>
          <w:lang w:val="en-US"/>
        </w:rPr>
        <w:t>and</w:t>
      </w:r>
      <w:r w:rsidR="00171AF0" w:rsidRPr="00662A5E">
        <w:rPr>
          <w:lang w:val="en-US"/>
        </w:rPr>
        <w:t xml:space="preserve"> </w:t>
      </w:r>
      <w:r w:rsidR="00171AF0">
        <w:rPr>
          <w:lang w:val="en-US"/>
        </w:rPr>
        <w:t xml:space="preserve">M. </w:t>
      </w:r>
      <w:proofErr w:type="spellStart"/>
      <w:r w:rsidR="00171AF0" w:rsidRPr="00662A5E">
        <w:rPr>
          <w:lang w:val="en-US"/>
        </w:rPr>
        <w:t>Silberfeld</w:t>
      </w:r>
      <w:proofErr w:type="spellEnd"/>
      <w:r w:rsidR="00171AF0" w:rsidRPr="00662A5E">
        <w:rPr>
          <w:lang w:val="en-US"/>
        </w:rPr>
        <w:t>,</w:t>
      </w:r>
      <w:r w:rsidR="00171AF0" w:rsidRPr="00D413F2">
        <w:rPr>
          <w:lang w:val="en-US"/>
        </w:rPr>
        <w:t xml:space="preserve"> </w:t>
      </w:r>
      <w:r w:rsidR="00171AF0" w:rsidRPr="00171AF0">
        <w:rPr>
          <w:i/>
          <w:lang w:val="en-US"/>
        </w:rPr>
        <w:t>supra</w:t>
      </w:r>
      <w:r w:rsidR="00171AF0">
        <w:rPr>
          <w:lang w:val="en-US"/>
        </w:rPr>
        <w:t xml:space="preserve"> note 8</w:t>
      </w:r>
      <w:r>
        <w:rPr>
          <w:lang w:val="en-US"/>
        </w:rPr>
        <w:t xml:space="preserve">. The above quoted evolution of Belgian law </w:t>
      </w:r>
      <w:r w:rsidRPr="00662A5E">
        <w:rPr>
          <w:lang w:val="en-US"/>
        </w:rPr>
        <w:t>(</w:t>
      </w:r>
      <w:r w:rsidR="00171AF0" w:rsidRPr="00171AF0">
        <w:rPr>
          <w:i/>
          <w:lang w:val="en-US"/>
        </w:rPr>
        <w:t>supra</w:t>
      </w:r>
      <w:r w:rsidR="00171AF0">
        <w:rPr>
          <w:lang w:val="en-US"/>
        </w:rPr>
        <w:t xml:space="preserve"> note</w:t>
      </w:r>
      <w:r w:rsidRPr="00662A5E">
        <w:rPr>
          <w:lang w:val="en-US"/>
        </w:rPr>
        <w:t xml:space="preserve"> 4)</w:t>
      </w:r>
      <w:r>
        <w:rPr>
          <w:lang w:val="en-US"/>
        </w:rPr>
        <w:t xml:space="preserve"> follows this line, in compliance with international recommendations (</w:t>
      </w:r>
      <w:r w:rsidRPr="00AB12C6">
        <w:rPr>
          <w:lang w:val="en-US"/>
        </w:rPr>
        <w:t>U</w:t>
      </w:r>
      <w:r>
        <w:rPr>
          <w:lang w:val="en-US"/>
        </w:rPr>
        <w:t>nited Nations. 2006.</w:t>
      </w:r>
      <w:r w:rsidRPr="00AB12C6">
        <w:rPr>
          <w:lang w:val="en-US"/>
        </w:rPr>
        <w:t xml:space="preserve"> </w:t>
      </w:r>
      <w:r w:rsidRPr="00362590">
        <w:rPr>
          <w:i/>
          <w:lang w:val="en-US"/>
        </w:rPr>
        <w:t>Convention on the Rights of Persons with Disabilities</w:t>
      </w:r>
      <w:r w:rsidR="00171AF0">
        <w:rPr>
          <w:lang w:val="en-US"/>
        </w:rPr>
        <w:t>. Retrieved</w:t>
      </w:r>
      <w:r>
        <w:rPr>
          <w:lang w:val="en-US"/>
        </w:rPr>
        <w:t xml:space="preserve"> 26 April 2014</w:t>
      </w:r>
      <w:r w:rsidR="00171AF0">
        <w:rPr>
          <w:lang w:val="en-US"/>
        </w:rPr>
        <w:t>,</w:t>
      </w:r>
      <w:r w:rsidRPr="003C5AA0">
        <w:rPr>
          <w:lang w:val="en-US"/>
        </w:rPr>
        <w:t xml:space="preserve"> </w:t>
      </w:r>
      <w:hyperlink r:id="rId12" w:history="1">
        <w:r w:rsidR="00171AF0" w:rsidRPr="00F73198">
          <w:rPr>
            <w:rStyle w:val="Lienhypertexte"/>
            <w:lang w:val="en-US"/>
          </w:rPr>
          <w:t>www.un.org/disabilities/convention/conventionfull.shtml</w:t>
        </w:r>
      </w:hyperlink>
      <w:r>
        <w:rPr>
          <w:lang w:val="en-US"/>
        </w:rPr>
        <w:t xml:space="preserve">, c.12.4; Council of Europe. 1999. </w:t>
      </w:r>
      <w:r w:rsidRPr="00362590">
        <w:rPr>
          <w:i/>
          <w:lang w:val="en-US"/>
        </w:rPr>
        <w:t xml:space="preserve">Recommendation n° </w:t>
      </w:r>
      <w:proofErr w:type="gramStart"/>
      <w:r w:rsidRPr="00362590">
        <w:rPr>
          <w:i/>
          <w:lang w:val="en-US"/>
        </w:rPr>
        <w:t>R(</w:t>
      </w:r>
      <w:proofErr w:type="gramEnd"/>
      <w:r w:rsidRPr="00362590">
        <w:rPr>
          <w:i/>
          <w:lang w:val="en-US"/>
        </w:rPr>
        <w:t>99)4 of the Committee of Ministers to Member States on Principles Concerning the Legal Protection of Incapable Adults</w:t>
      </w:r>
      <w:r>
        <w:rPr>
          <w:lang w:val="en-US"/>
        </w:rPr>
        <w:t>.</w:t>
      </w:r>
      <w:r w:rsidRPr="00362590">
        <w:rPr>
          <w:lang w:val="en-US"/>
        </w:rPr>
        <w:t xml:space="preserve"> </w:t>
      </w:r>
      <w:r w:rsidR="00171AF0">
        <w:rPr>
          <w:lang w:val="en-US"/>
        </w:rPr>
        <w:t>Retrieved</w:t>
      </w:r>
      <w:r>
        <w:rPr>
          <w:lang w:val="en-US"/>
        </w:rPr>
        <w:t xml:space="preserve"> 26 April 2014</w:t>
      </w:r>
      <w:r w:rsidR="00171AF0">
        <w:rPr>
          <w:lang w:val="en-US"/>
        </w:rPr>
        <w:t>,</w:t>
      </w:r>
      <w:r>
        <w:rPr>
          <w:lang w:val="en-US"/>
        </w:rPr>
        <w:t xml:space="preserve"> </w:t>
      </w:r>
      <w:hyperlink r:id="rId13" w:history="1">
        <w:r w:rsidR="00A335BE" w:rsidRPr="00F73198">
          <w:rPr>
            <w:rStyle w:val="Lienhypertexte"/>
            <w:lang w:val="en-US"/>
          </w:rPr>
          <w:t>www.coe.int/t/dg3/healthbioethic/texts_and_documents/</w:t>
        </w:r>
      </w:hyperlink>
      <w:r>
        <w:rPr>
          <w:lang w:val="en-US"/>
        </w:rPr>
        <w:t>, c.2</w:t>
      </w:r>
      <w:proofErr w:type="gramStart"/>
      <w:r>
        <w:rPr>
          <w:lang w:val="en-US"/>
        </w:rPr>
        <w:t>,s</w:t>
      </w:r>
      <w:proofErr w:type="gramEnd"/>
      <w:r>
        <w:rPr>
          <w:lang w:val="en-US"/>
        </w:rPr>
        <w:t xml:space="preserve">. 2).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386E"/>
    <w:multiLevelType w:val="hybridMultilevel"/>
    <w:tmpl w:val="24A659B0"/>
    <w:lvl w:ilvl="0" w:tplc="C7D85C66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B75F1"/>
    <w:multiLevelType w:val="hybridMultilevel"/>
    <w:tmpl w:val="6EAE7604"/>
    <w:lvl w:ilvl="0" w:tplc="E268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971A8"/>
    <w:multiLevelType w:val="hybridMultilevel"/>
    <w:tmpl w:val="EDD22AE4"/>
    <w:lvl w:ilvl="0" w:tplc="E236AF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54CE5"/>
    <w:multiLevelType w:val="hybridMultilevel"/>
    <w:tmpl w:val="00E6C0B6"/>
    <w:lvl w:ilvl="0" w:tplc="8F80CE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76325"/>
    <w:multiLevelType w:val="hybridMultilevel"/>
    <w:tmpl w:val="89AADB70"/>
    <w:lvl w:ilvl="0" w:tplc="5FFA7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92119"/>
    <w:multiLevelType w:val="hybridMultilevel"/>
    <w:tmpl w:val="F29E36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22E6F"/>
    <w:multiLevelType w:val="hybridMultilevel"/>
    <w:tmpl w:val="1D34D56A"/>
    <w:lvl w:ilvl="0" w:tplc="C450C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813C6"/>
    <w:multiLevelType w:val="hybridMultilevel"/>
    <w:tmpl w:val="219015A4"/>
    <w:lvl w:ilvl="0" w:tplc="57C23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62102"/>
    <w:multiLevelType w:val="hybridMultilevel"/>
    <w:tmpl w:val="7AE87F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B1652"/>
    <w:multiLevelType w:val="hybridMultilevel"/>
    <w:tmpl w:val="65500C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D0EF7"/>
    <w:multiLevelType w:val="hybridMultilevel"/>
    <w:tmpl w:val="8014FF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B2A2E"/>
    <w:multiLevelType w:val="hybridMultilevel"/>
    <w:tmpl w:val="12C20DF2"/>
    <w:lvl w:ilvl="0" w:tplc="B37AD1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80"/>
    <w:rsid w:val="000010C9"/>
    <w:rsid w:val="000117E6"/>
    <w:rsid w:val="0001666C"/>
    <w:rsid w:val="00021B80"/>
    <w:rsid w:val="00023C94"/>
    <w:rsid w:val="00024632"/>
    <w:rsid w:val="0003165E"/>
    <w:rsid w:val="0003356B"/>
    <w:rsid w:val="00036A5B"/>
    <w:rsid w:val="00036AA0"/>
    <w:rsid w:val="0004318A"/>
    <w:rsid w:val="0004438D"/>
    <w:rsid w:val="00046EB9"/>
    <w:rsid w:val="00052B0D"/>
    <w:rsid w:val="000738FC"/>
    <w:rsid w:val="000774EC"/>
    <w:rsid w:val="00083F81"/>
    <w:rsid w:val="000927AD"/>
    <w:rsid w:val="000A14A7"/>
    <w:rsid w:val="000B102C"/>
    <w:rsid w:val="000B2557"/>
    <w:rsid w:val="000B4431"/>
    <w:rsid w:val="000B59BF"/>
    <w:rsid w:val="000B5B73"/>
    <w:rsid w:val="000B6658"/>
    <w:rsid w:val="000C3B67"/>
    <w:rsid w:val="000C4CDD"/>
    <w:rsid w:val="000C7FBD"/>
    <w:rsid w:val="000E38FE"/>
    <w:rsid w:val="000E638F"/>
    <w:rsid w:val="000F4745"/>
    <w:rsid w:val="000F62FA"/>
    <w:rsid w:val="00106FEF"/>
    <w:rsid w:val="00107FEF"/>
    <w:rsid w:val="0011143A"/>
    <w:rsid w:val="00112BB6"/>
    <w:rsid w:val="0011544D"/>
    <w:rsid w:val="00115F2B"/>
    <w:rsid w:val="00121966"/>
    <w:rsid w:val="00142B5E"/>
    <w:rsid w:val="001536AE"/>
    <w:rsid w:val="00157439"/>
    <w:rsid w:val="00163CBE"/>
    <w:rsid w:val="0016466D"/>
    <w:rsid w:val="00170F08"/>
    <w:rsid w:val="00171AF0"/>
    <w:rsid w:val="00172810"/>
    <w:rsid w:val="00174D5B"/>
    <w:rsid w:val="00174F36"/>
    <w:rsid w:val="00181A44"/>
    <w:rsid w:val="0018476B"/>
    <w:rsid w:val="00185402"/>
    <w:rsid w:val="001A738D"/>
    <w:rsid w:val="001B74F8"/>
    <w:rsid w:val="001B7754"/>
    <w:rsid w:val="001C1C42"/>
    <w:rsid w:val="001C2F73"/>
    <w:rsid w:val="001D09F7"/>
    <w:rsid w:val="001D09F8"/>
    <w:rsid w:val="001D2103"/>
    <w:rsid w:val="001E0C69"/>
    <w:rsid w:val="001F2EDE"/>
    <w:rsid w:val="001F3DBB"/>
    <w:rsid w:val="001F4128"/>
    <w:rsid w:val="001F60AF"/>
    <w:rsid w:val="00202728"/>
    <w:rsid w:val="0020588A"/>
    <w:rsid w:val="00230E15"/>
    <w:rsid w:val="002337F9"/>
    <w:rsid w:val="00244A11"/>
    <w:rsid w:val="002554B9"/>
    <w:rsid w:val="00256BC5"/>
    <w:rsid w:val="0025714F"/>
    <w:rsid w:val="00262BC2"/>
    <w:rsid w:val="0026336C"/>
    <w:rsid w:val="00282835"/>
    <w:rsid w:val="0029292D"/>
    <w:rsid w:val="00292BA7"/>
    <w:rsid w:val="00293E31"/>
    <w:rsid w:val="002946E9"/>
    <w:rsid w:val="00294C6F"/>
    <w:rsid w:val="002B1E04"/>
    <w:rsid w:val="002B418F"/>
    <w:rsid w:val="002C21E0"/>
    <w:rsid w:val="002C2C5F"/>
    <w:rsid w:val="002C5932"/>
    <w:rsid w:val="002C5E94"/>
    <w:rsid w:val="002D38AB"/>
    <w:rsid w:val="002E1053"/>
    <w:rsid w:val="00323236"/>
    <w:rsid w:val="00334D4F"/>
    <w:rsid w:val="00341455"/>
    <w:rsid w:val="003452BA"/>
    <w:rsid w:val="00345B92"/>
    <w:rsid w:val="003506E4"/>
    <w:rsid w:val="00351C1A"/>
    <w:rsid w:val="00351C27"/>
    <w:rsid w:val="0035317B"/>
    <w:rsid w:val="00362590"/>
    <w:rsid w:val="0036763F"/>
    <w:rsid w:val="00371AEA"/>
    <w:rsid w:val="003750EF"/>
    <w:rsid w:val="00381573"/>
    <w:rsid w:val="00381588"/>
    <w:rsid w:val="00381A04"/>
    <w:rsid w:val="003903AB"/>
    <w:rsid w:val="003A025A"/>
    <w:rsid w:val="003A30A2"/>
    <w:rsid w:val="003B541A"/>
    <w:rsid w:val="003C091B"/>
    <w:rsid w:val="003C461A"/>
    <w:rsid w:val="003C4C48"/>
    <w:rsid w:val="003C5AA0"/>
    <w:rsid w:val="003C758A"/>
    <w:rsid w:val="003D1337"/>
    <w:rsid w:val="003D44F3"/>
    <w:rsid w:val="003D4FD2"/>
    <w:rsid w:val="003D578F"/>
    <w:rsid w:val="003D5F11"/>
    <w:rsid w:val="003E1D57"/>
    <w:rsid w:val="003F6DE2"/>
    <w:rsid w:val="00401DA7"/>
    <w:rsid w:val="004030E4"/>
    <w:rsid w:val="004221D1"/>
    <w:rsid w:val="0042459E"/>
    <w:rsid w:val="00426DD1"/>
    <w:rsid w:val="004300E1"/>
    <w:rsid w:val="00440AED"/>
    <w:rsid w:val="004474CF"/>
    <w:rsid w:val="00454E69"/>
    <w:rsid w:val="004573AE"/>
    <w:rsid w:val="00467A7D"/>
    <w:rsid w:val="0047696F"/>
    <w:rsid w:val="00480496"/>
    <w:rsid w:val="00480FD4"/>
    <w:rsid w:val="00482005"/>
    <w:rsid w:val="004A2A1A"/>
    <w:rsid w:val="004B2E81"/>
    <w:rsid w:val="004C315A"/>
    <w:rsid w:val="004C3F43"/>
    <w:rsid w:val="004D7206"/>
    <w:rsid w:val="004E5B16"/>
    <w:rsid w:val="005123A3"/>
    <w:rsid w:val="00521353"/>
    <w:rsid w:val="00540C62"/>
    <w:rsid w:val="00547B83"/>
    <w:rsid w:val="00564A98"/>
    <w:rsid w:val="005701A0"/>
    <w:rsid w:val="00572256"/>
    <w:rsid w:val="005722A4"/>
    <w:rsid w:val="0057716B"/>
    <w:rsid w:val="005822B2"/>
    <w:rsid w:val="00595034"/>
    <w:rsid w:val="005C1953"/>
    <w:rsid w:val="005C64B0"/>
    <w:rsid w:val="005C7B07"/>
    <w:rsid w:val="005D3995"/>
    <w:rsid w:val="005D5870"/>
    <w:rsid w:val="005D79CF"/>
    <w:rsid w:val="005E5B45"/>
    <w:rsid w:val="00605C36"/>
    <w:rsid w:val="006273CB"/>
    <w:rsid w:val="00631B87"/>
    <w:rsid w:val="006342B3"/>
    <w:rsid w:val="00636377"/>
    <w:rsid w:val="00640EDB"/>
    <w:rsid w:val="00655225"/>
    <w:rsid w:val="006564A2"/>
    <w:rsid w:val="00662A5E"/>
    <w:rsid w:val="006824AA"/>
    <w:rsid w:val="00686027"/>
    <w:rsid w:val="006867C9"/>
    <w:rsid w:val="00693018"/>
    <w:rsid w:val="006937B8"/>
    <w:rsid w:val="006960AB"/>
    <w:rsid w:val="006A0F11"/>
    <w:rsid w:val="006A2223"/>
    <w:rsid w:val="006A29F6"/>
    <w:rsid w:val="006A2B18"/>
    <w:rsid w:val="006A2F49"/>
    <w:rsid w:val="006A3B0A"/>
    <w:rsid w:val="006A7AD3"/>
    <w:rsid w:val="006B077F"/>
    <w:rsid w:val="006B5EFC"/>
    <w:rsid w:val="006B76FE"/>
    <w:rsid w:val="006F2B18"/>
    <w:rsid w:val="006F3249"/>
    <w:rsid w:val="006F457C"/>
    <w:rsid w:val="00704A39"/>
    <w:rsid w:val="00711428"/>
    <w:rsid w:val="00720F22"/>
    <w:rsid w:val="00724A30"/>
    <w:rsid w:val="007254D7"/>
    <w:rsid w:val="007261F3"/>
    <w:rsid w:val="00726B79"/>
    <w:rsid w:val="007318BA"/>
    <w:rsid w:val="00733C11"/>
    <w:rsid w:val="00733C1D"/>
    <w:rsid w:val="0074453C"/>
    <w:rsid w:val="007459B0"/>
    <w:rsid w:val="0075296E"/>
    <w:rsid w:val="00753E0C"/>
    <w:rsid w:val="0075676B"/>
    <w:rsid w:val="00764DBF"/>
    <w:rsid w:val="00764FFE"/>
    <w:rsid w:val="00766FB8"/>
    <w:rsid w:val="00771687"/>
    <w:rsid w:val="00774716"/>
    <w:rsid w:val="007764B1"/>
    <w:rsid w:val="00776B78"/>
    <w:rsid w:val="00780449"/>
    <w:rsid w:val="00782187"/>
    <w:rsid w:val="0079355E"/>
    <w:rsid w:val="007A0F52"/>
    <w:rsid w:val="007B1410"/>
    <w:rsid w:val="007B5C13"/>
    <w:rsid w:val="007C33F2"/>
    <w:rsid w:val="007E16F1"/>
    <w:rsid w:val="007E3B9F"/>
    <w:rsid w:val="007E47D4"/>
    <w:rsid w:val="007F106F"/>
    <w:rsid w:val="007F39F9"/>
    <w:rsid w:val="007F4C6C"/>
    <w:rsid w:val="00804269"/>
    <w:rsid w:val="00806C67"/>
    <w:rsid w:val="00822FAA"/>
    <w:rsid w:val="00830C0E"/>
    <w:rsid w:val="008447A7"/>
    <w:rsid w:val="00846267"/>
    <w:rsid w:val="00852AE0"/>
    <w:rsid w:val="00856ECD"/>
    <w:rsid w:val="00865190"/>
    <w:rsid w:val="00872773"/>
    <w:rsid w:val="008871D5"/>
    <w:rsid w:val="00894CB3"/>
    <w:rsid w:val="008B6B4F"/>
    <w:rsid w:val="008D0E80"/>
    <w:rsid w:val="008D1CC7"/>
    <w:rsid w:val="008D7EA1"/>
    <w:rsid w:val="008F0F4A"/>
    <w:rsid w:val="008F6F69"/>
    <w:rsid w:val="00907A78"/>
    <w:rsid w:val="00910BDC"/>
    <w:rsid w:val="009165CF"/>
    <w:rsid w:val="00917122"/>
    <w:rsid w:val="00917BD9"/>
    <w:rsid w:val="00926DE6"/>
    <w:rsid w:val="00936F06"/>
    <w:rsid w:val="009577A8"/>
    <w:rsid w:val="009607CD"/>
    <w:rsid w:val="0096169A"/>
    <w:rsid w:val="00961C16"/>
    <w:rsid w:val="00961C1D"/>
    <w:rsid w:val="0097391A"/>
    <w:rsid w:val="00986400"/>
    <w:rsid w:val="00987F4A"/>
    <w:rsid w:val="009955DE"/>
    <w:rsid w:val="00997E0C"/>
    <w:rsid w:val="009A27C9"/>
    <w:rsid w:val="009B72EA"/>
    <w:rsid w:val="009C0860"/>
    <w:rsid w:val="009D3800"/>
    <w:rsid w:val="009D3E6B"/>
    <w:rsid w:val="009E2454"/>
    <w:rsid w:val="009E2DB6"/>
    <w:rsid w:val="009E30C1"/>
    <w:rsid w:val="009F1B2F"/>
    <w:rsid w:val="009F4058"/>
    <w:rsid w:val="009F56E3"/>
    <w:rsid w:val="00A1732A"/>
    <w:rsid w:val="00A221C5"/>
    <w:rsid w:val="00A335BE"/>
    <w:rsid w:val="00A41432"/>
    <w:rsid w:val="00A5356D"/>
    <w:rsid w:val="00A5385D"/>
    <w:rsid w:val="00A75EEC"/>
    <w:rsid w:val="00A765E1"/>
    <w:rsid w:val="00A773D6"/>
    <w:rsid w:val="00A840A7"/>
    <w:rsid w:val="00AA4625"/>
    <w:rsid w:val="00AA5671"/>
    <w:rsid w:val="00AA6904"/>
    <w:rsid w:val="00AB12C6"/>
    <w:rsid w:val="00AC038B"/>
    <w:rsid w:val="00AC5BAF"/>
    <w:rsid w:val="00AE384D"/>
    <w:rsid w:val="00AF28C6"/>
    <w:rsid w:val="00B0484B"/>
    <w:rsid w:val="00B05EF3"/>
    <w:rsid w:val="00B118C2"/>
    <w:rsid w:val="00B1235E"/>
    <w:rsid w:val="00B32D54"/>
    <w:rsid w:val="00B32E12"/>
    <w:rsid w:val="00B3520F"/>
    <w:rsid w:val="00B36E6B"/>
    <w:rsid w:val="00B40E36"/>
    <w:rsid w:val="00B43D9C"/>
    <w:rsid w:val="00B46AB9"/>
    <w:rsid w:val="00B479F0"/>
    <w:rsid w:val="00B511E7"/>
    <w:rsid w:val="00B52A9D"/>
    <w:rsid w:val="00B53363"/>
    <w:rsid w:val="00B533CE"/>
    <w:rsid w:val="00B565E3"/>
    <w:rsid w:val="00B60B29"/>
    <w:rsid w:val="00B6353B"/>
    <w:rsid w:val="00B72DCB"/>
    <w:rsid w:val="00B83B61"/>
    <w:rsid w:val="00B86107"/>
    <w:rsid w:val="00B94EC3"/>
    <w:rsid w:val="00BA2A57"/>
    <w:rsid w:val="00BB290D"/>
    <w:rsid w:val="00BB778B"/>
    <w:rsid w:val="00BC292D"/>
    <w:rsid w:val="00BC39E2"/>
    <w:rsid w:val="00BC6BF4"/>
    <w:rsid w:val="00BD2CF1"/>
    <w:rsid w:val="00BD2F6C"/>
    <w:rsid w:val="00BD4064"/>
    <w:rsid w:val="00BF36EE"/>
    <w:rsid w:val="00BF57E2"/>
    <w:rsid w:val="00BF5E46"/>
    <w:rsid w:val="00C0395B"/>
    <w:rsid w:val="00C12355"/>
    <w:rsid w:val="00C13DED"/>
    <w:rsid w:val="00C1620D"/>
    <w:rsid w:val="00C16E56"/>
    <w:rsid w:val="00C22867"/>
    <w:rsid w:val="00C351FC"/>
    <w:rsid w:val="00C41D57"/>
    <w:rsid w:val="00C44790"/>
    <w:rsid w:val="00C52D38"/>
    <w:rsid w:val="00C62E5B"/>
    <w:rsid w:val="00C65517"/>
    <w:rsid w:val="00C67F59"/>
    <w:rsid w:val="00C705B2"/>
    <w:rsid w:val="00C710FF"/>
    <w:rsid w:val="00C74AD0"/>
    <w:rsid w:val="00C773FD"/>
    <w:rsid w:val="00C82C78"/>
    <w:rsid w:val="00C87A61"/>
    <w:rsid w:val="00CA1340"/>
    <w:rsid w:val="00CA7FA7"/>
    <w:rsid w:val="00CB179E"/>
    <w:rsid w:val="00CB64E4"/>
    <w:rsid w:val="00CC4F09"/>
    <w:rsid w:val="00CD3570"/>
    <w:rsid w:val="00CD3C69"/>
    <w:rsid w:val="00CD4025"/>
    <w:rsid w:val="00CD4393"/>
    <w:rsid w:val="00CD6E97"/>
    <w:rsid w:val="00CD70E6"/>
    <w:rsid w:val="00CE1552"/>
    <w:rsid w:val="00CF1DAF"/>
    <w:rsid w:val="00CF2F29"/>
    <w:rsid w:val="00CF54CF"/>
    <w:rsid w:val="00D072AA"/>
    <w:rsid w:val="00D07F4A"/>
    <w:rsid w:val="00D14AEB"/>
    <w:rsid w:val="00D216F4"/>
    <w:rsid w:val="00D2627E"/>
    <w:rsid w:val="00D26FF8"/>
    <w:rsid w:val="00D343A2"/>
    <w:rsid w:val="00D40AE5"/>
    <w:rsid w:val="00D413F2"/>
    <w:rsid w:val="00D478AC"/>
    <w:rsid w:val="00D56AB7"/>
    <w:rsid w:val="00D65440"/>
    <w:rsid w:val="00D7164B"/>
    <w:rsid w:val="00D73E4C"/>
    <w:rsid w:val="00D823C8"/>
    <w:rsid w:val="00D8249A"/>
    <w:rsid w:val="00D84BF7"/>
    <w:rsid w:val="00D86840"/>
    <w:rsid w:val="00DA1485"/>
    <w:rsid w:val="00DA334A"/>
    <w:rsid w:val="00DA3F73"/>
    <w:rsid w:val="00DA402F"/>
    <w:rsid w:val="00DC2893"/>
    <w:rsid w:val="00DC5B64"/>
    <w:rsid w:val="00DD0E65"/>
    <w:rsid w:val="00DD59E0"/>
    <w:rsid w:val="00DE3B16"/>
    <w:rsid w:val="00DF3459"/>
    <w:rsid w:val="00DF4B79"/>
    <w:rsid w:val="00E01734"/>
    <w:rsid w:val="00E05752"/>
    <w:rsid w:val="00E112EA"/>
    <w:rsid w:val="00E169CA"/>
    <w:rsid w:val="00E17A0F"/>
    <w:rsid w:val="00E22529"/>
    <w:rsid w:val="00E22C12"/>
    <w:rsid w:val="00E25617"/>
    <w:rsid w:val="00E34470"/>
    <w:rsid w:val="00E3721D"/>
    <w:rsid w:val="00E5567D"/>
    <w:rsid w:val="00E57EE1"/>
    <w:rsid w:val="00E60B9C"/>
    <w:rsid w:val="00E62A5D"/>
    <w:rsid w:val="00E71242"/>
    <w:rsid w:val="00E73618"/>
    <w:rsid w:val="00E75C12"/>
    <w:rsid w:val="00EA3EBD"/>
    <w:rsid w:val="00EA603D"/>
    <w:rsid w:val="00EC1023"/>
    <w:rsid w:val="00EC1B57"/>
    <w:rsid w:val="00EC6204"/>
    <w:rsid w:val="00ED6D0D"/>
    <w:rsid w:val="00ED726F"/>
    <w:rsid w:val="00EE3438"/>
    <w:rsid w:val="00EE402E"/>
    <w:rsid w:val="00EF7EE4"/>
    <w:rsid w:val="00F00123"/>
    <w:rsid w:val="00F035ED"/>
    <w:rsid w:val="00F05953"/>
    <w:rsid w:val="00F07993"/>
    <w:rsid w:val="00F174AC"/>
    <w:rsid w:val="00F33A95"/>
    <w:rsid w:val="00F406FF"/>
    <w:rsid w:val="00F41A88"/>
    <w:rsid w:val="00F53C35"/>
    <w:rsid w:val="00F567AC"/>
    <w:rsid w:val="00F6199A"/>
    <w:rsid w:val="00F62823"/>
    <w:rsid w:val="00F62EC6"/>
    <w:rsid w:val="00F64136"/>
    <w:rsid w:val="00F7389C"/>
    <w:rsid w:val="00F816D6"/>
    <w:rsid w:val="00F83B4F"/>
    <w:rsid w:val="00F9239F"/>
    <w:rsid w:val="00F964B6"/>
    <w:rsid w:val="00F964C8"/>
    <w:rsid w:val="00FA34B7"/>
    <w:rsid w:val="00FB259D"/>
    <w:rsid w:val="00FB2DD0"/>
    <w:rsid w:val="00FB3E34"/>
    <w:rsid w:val="00FC1DB3"/>
    <w:rsid w:val="00FC3541"/>
    <w:rsid w:val="00FD10B0"/>
    <w:rsid w:val="00FD1624"/>
    <w:rsid w:val="00FD3EB2"/>
    <w:rsid w:val="00FD6C0A"/>
    <w:rsid w:val="00FE18BD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225"/>
    <w:pPr>
      <w:spacing w:after="0"/>
      <w:jc w:val="both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6960A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60AB"/>
    <w:rPr>
      <w:rFonts w:ascii="Times New Roman" w:eastAsia="Calibri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5522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C289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F54C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4CF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F54C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4CF"/>
    <w:rPr>
      <w:rFonts w:ascii="Times New Roman" w:hAnsi="Times New Roman" w:cs="Times New Roman"/>
      <w:sz w:val="24"/>
    </w:rPr>
  </w:style>
  <w:style w:type="character" w:styleId="Lienhypertexte">
    <w:name w:val="Hyperlink"/>
    <w:basedOn w:val="Policepardfaut"/>
    <w:uiPriority w:val="99"/>
    <w:unhideWhenUsed/>
    <w:rsid w:val="009577A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04A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4A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4A39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4A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4A39"/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4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6EB9"/>
    <w:rPr>
      <w:szCs w:val="24"/>
    </w:rPr>
  </w:style>
  <w:style w:type="character" w:customStyle="1" w:styleId="shorttext">
    <w:name w:val="short_text"/>
    <w:basedOn w:val="Policepardfaut"/>
    <w:rsid w:val="00CB179E"/>
  </w:style>
  <w:style w:type="character" w:customStyle="1" w:styleId="hps">
    <w:name w:val="hps"/>
    <w:basedOn w:val="Policepardfaut"/>
    <w:rsid w:val="00CB179E"/>
  </w:style>
  <w:style w:type="character" w:styleId="Lienhypertextesuivivisit">
    <w:name w:val="FollowedHyperlink"/>
    <w:basedOn w:val="Policepardfaut"/>
    <w:uiPriority w:val="99"/>
    <w:semiHidden/>
    <w:unhideWhenUsed/>
    <w:rsid w:val="00D14AEB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262BC2"/>
    <w:pPr>
      <w:spacing w:after="0" w:line="240" w:lineRule="auto"/>
      <w:jc w:val="both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225"/>
    <w:pPr>
      <w:spacing w:after="0"/>
      <w:jc w:val="both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6960A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60AB"/>
    <w:rPr>
      <w:rFonts w:ascii="Times New Roman" w:eastAsia="Calibri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5522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C289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F54C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4CF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F54C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4CF"/>
    <w:rPr>
      <w:rFonts w:ascii="Times New Roman" w:hAnsi="Times New Roman" w:cs="Times New Roman"/>
      <w:sz w:val="24"/>
    </w:rPr>
  </w:style>
  <w:style w:type="character" w:styleId="Lienhypertexte">
    <w:name w:val="Hyperlink"/>
    <w:basedOn w:val="Policepardfaut"/>
    <w:uiPriority w:val="99"/>
    <w:unhideWhenUsed/>
    <w:rsid w:val="009577A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04A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4A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4A39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4A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4A39"/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4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6EB9"/>
    <w:rPr>
      <w:szCs w:val="24"/>
    </w:rPr>
  </w:style>
  <w:style w:type="character" w:customStyle="1" w:styleId="shorttext">
    <w:name w:val="short_text"/>
    <w:basedOn w:val="Policepardfaut"/>
    <w:rsid w:val="00CB179E"/>
  </w:style>
  <w:style w:type="character" w:customStyle="1" w:styleId="hps">
    <w:name w:val="hps"/>
    <w:basedOn w:val="Policepardfaut"/>
    <w:rsid w:val="00CB179E"/>
  </w:style>
  <w:style w:type="character" w:styleId="Lienhypertextesuivivisit">
    <w:name w:val="FollowedHyperlink"/>
    <w:basedOn w:val="Policepardfaut"/>
    <w:uiPriority w:val="99"/>
    <w:semiHidden/>
    <w:unhideWhenUsed/>
    <w:rsid w:val="00D14AEB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262BC2"/>
    <w:pPr>
      <w:spacing w:after="0" w:line="240" w:lineRule="auto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lii.ca/t/g0kz7" TargetMode="External"/><Relationship Id="rId13" Type="http://schemas.openxmlformats.org/officeDocument/2006/relationships/hyperlink" Target="http://www.coe.int/t/dg3/healthbioethic/texts_and_documents/" TargetMode="External"/><Relationship Id="rId3" Type="http://schemas.openxmlformats.org/officeDocument/2006/relationships/hyperlink" Target="http://www.ejustice.just.fgov.be/loi/loi.htm" TargetMode="External"/><Relationship Id="rId7" Type="http://schemas.openxmlformats.org/officeDocument/2006/relationships/hyperlink" Target="http://www.e-laws.gov.on.ca/" TargetMode="External"/><Relationship Id="rId12" Type="http://schemas.openxmlformats.org/officeDocument/2006/relationships/hyperlink" Target="http://www.un.org/disabilities/convention/conventionfull.shtml" TargetMode="External"/><Relationship Id="rId2" Type="http://schemas.openxmlformats.org/officeDocument/2006/relationships/hyperlink" Target="http://www.macarthur.virginia.edu/treatment.html" TargetMode="External"/><Relationship Id="rId1" Type="http://schemas.openxmlformats.org/officeDocument/2006/relationships/hyperlink" Target="http://www.who.int/mental_health/policy/resource_book_MHLeg.pdf" TargetMode="External"/><Relationship Id="rId6" Type="http://schemas.openxmlformats.org/officeDocument/2006/relationships/hyperlink" Target="http://www.legislation.gov.uk/ukpga/2005/9/part/1" TargetMode="External"/><Relationship Id="rId11" Type="http://schemas.openxmlformats.org/officeDocument/2006/relationships/hyperlink" Target="http://www.jointcentreforbioethics.ca/tools/ace_download.shtml" TargetMode="External"/><Relationship Id="rId5" Type="http://schemas.openxmlformats.org/officeDocument/2006/relationships/hyperlink" Target="http://www.ejustice.just.fgov.be/loi/loi.htm" TargetMode="External"/><Relationship Id="rId10" Type="http://schemas.openxmlformats.org/officeDocument/2006/relationships/hyperlink" Target="http://www.legislation.gov.uk/ukpga/2005/9/part/1" TargetMode="External"/><Relationship Id="rId4" Type="http://schemas.openxmlformats.org/officeDocument/2006/relationships/hyperlink" Target="http://www.ejustice.just.fgov.be/loi/loi.htm" TargetMode="External"/><Relationship Id="rId9" Type="http://schemas.openxmlformats.org/officeDocument/2006/relationships/hyperlink" Target="http://www.ejustice.just.fgov.be/loi/loi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2E56-C7D0-4582-BA4A-73342807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2011</Words>
  <Characters>11064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Rommelaere</dc:creator>
  <cp:lastModifiedBy>Claire Rommelaere</cp:lastModifiedBy>
  <cp:revision>49</cp:revision>
  <cp:lastPrinted>2014-04-29T14:25:00Z</cp:lastPrinted>
  <dcterms:created xsi:type="dcterms:W3CDTF">2014-04-29T13:50:00Z</dcterms:created>
  <dcterms:modified xsi:type="dcterms:W3CDTF">2014-11-17T10:54:00Z</dcterms:modified>
</cp:coreProperties>
</file>