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B9A8E" w14:textId="77777777" w:rsidR="00302A93" w:rsidRPr="00302A93" w:rsidRDefault="00302A93" w:rsidP="00950F45">
      <w:pPr>
        <w:pStyle w:val="TableText"/>
        <w:rPr>
          <w:rFonts w:ascii="Calibri" w:hAnsi="Calibri"/>
          <w:sz w:val="22"/>
          <w:szCs w:val="22"/>
        </w:rPr>
      </w:pPr>
      <w:r>
        <w:t xml:space="preserve">D3.1 </w:t>
      </w:r>
      <w:r>
        <w:rPr>
          <w:rFonts w:ascii="Calibri" w:hAnsi="Calibri"/>
          <w:sz w:val="22"/>
          <w:szCs w:val="22"/>
        </w:rPr>
        <w:t>A</w:t>
      </w:r>
      <w:r w:rsidRPr="00302A93">
        <w:rPr>
          <w:rFonts w:ascii="Calibri" w:hAnsi="Calibri"/>
          <w:sz w:val="22"/>
          <w:szCs w:val="22"/>
        </w:rPr>
        <w:t>cquisition des données pour l’interprétation de la pression associée des prélèvements d’eau souterraine sur l’état et le fonctionnement écol</w:t>
      </w:r>
      <w:r>
        <w:rPr>
          <w:rFonts w:ascii="Calibri" w:hAnsi="Calibri"/>
          <w:sz w:val="22"/>
          <w:szCs w:val="22"/>
        </w:rPr>
        <w:t xml:space="preserve">ogique des cours d’eau. </w:t>
      </w:r>
    </w:p>
    <w:p w14:paraId="2F3500FE" w14:textId="77777777" w:rsidR="00302A93" w:rsidRDefault="00302A93" w:rsidP="00950F45">
      <w:pPr>
        <w:jc w:val="both"/>
      </w:pPr>
    </w:p>
    <w:p w14:paraId="1F73EE16" w14:textId="77777777" w:rsidR="00302A93" w:rsidRPr="00950F45" w:rsidRDefault="00302A93" w:rsidP="00950F45">
      <w:pPr>
        <w:jc w:val="both"/>
        <w:rPr>
          <w:b/>
        </w:rPr>
      </w:pPr>
      <w:r w:rsidRPr="00950F45">
        <w:rPr>
          <w:b/>
        </w:rPr>
        <w:t>Introduction</w:t>
      </w:r>
    </w:p>
    <w:p w14:paraId="3D81855A" w14:textId="77777777" w:rsidR="00B354B5" w:rsidRPr="00302A93" w:rsidRDefault="00302A93" w:rsidP="00950F45">
      <w:pPr>
        <w:jc w:val="both"/>
      </w:pPr>
      <w:r>
        <w:t xml:space="preserve">L’objectif général du projet ESO-ESU </w:t>
      </w:r>
      <w:r w:rsidRPr="00302A93">
        <w:t xml:space="preserve">est de fournir à la Région les données et les bases scientifiques permettant de statuer, pour les masses d’eau souterraine et de surface concernées, sur leur caractère à risque et sur leur bon ou mauvais état et d’aboutir, comme exigé par la </w:t>
      </w:r>
      <w:r>
        <w:t>DCE</w:t>
      </w:r>
      <w:r w:rsidRPr="00302A93">
        <w:t>, à une estimation de la ressource en eau souterraine requise à l’alimentation de l’eau de surface en période d’étiage.</w:t>
      </w:r>
      <w:r>
        <w:t xml:space="preserve"> En ce qui concerne les cours d’eau, il s’agit en particulier </w:t>
      </w:r>
      <w:r>
        <w:rPr>
          <w:color w:val="000000"/>
          <w:lang w:val="fr-FR"/>
        </w:rPr>
        <w:t xml:space="preserve">d’évaluer au mieux l’impact des interactions avec les nappes d’eau souterraine sur leur </w:t>
      </w:r>
      <w:r w:rsidRPr="00302A93">
        <w:rPr>
          <w:color w:val="000000"/>
          <w:lang w:val="fr-FR"/>
        </w:rPr>
        <w:t xml:space="preserve">état </w:t>
      </w:r>
      <w:r w:rsidR="00D34E4D">
        <w:rPr>
          <w:color w:val="000000"/>
          <w:lang w:val="fr-FR"/>
        </w:rPr>
        <w:t>physico-</w:t>
      </w:r>
      <w:r w:rsidRPr="00302A93">
        <w:rPr>
          <w:color w:val="000000"/>
          <w:lang w:val="fr-FR"/>
        </w:rPr>
        <w:t>chimiq</w:t>
      </w:r>
      <w:r w:rsidR="00161E2C">
        <w:rPr>
          <w:color w:val="000000"/>
          <w:lang w:val="fr-FR"/>
        </w:rPr>
        <w:t>ue et écologique.</w:t>
      </w:r>
    </w:p>
    <w:p w14:paraId="2CE5B2DA" w14:textId="77777777" w:rsidR="00302A93" w:rsidRDefault="00302A93" w:rsidP="00950F45">
      <w:pPr>
        <w:jc w:val="both"/>
      </w:pPr>
      <w:r>
        <w:t xml:space="preserve">Le présent rapport correspond à la tâche 3.4 </w:t>
      </w:r>
      <w:r w:rsidR="00161E2C">
        <w:t>du projet : é</w:t>
      </w:r>
      <w:r>
        <w:t>valuation de la qualité physico-chimique et biologique des cours d’eau</w:t>
      </w:r>
      <w:r w:rsidR="00161E2C">
        <w:t>. Ci-après nous faisons un bref état des connaissances sur l’influence des interactions eaux sout</w:t>
      </w:r>
      <w:r w:rsidR="00D34E4D">
        <w:t>erraines</w:t>
      </w:r>
      <w:r w:rsidR="00BE6A62">
        <w:t xml:space="preserve"> (ESO) </w:t>
      </w:r>
      <w:r w:rsidR="00D34E4D">
        <w:t>-</w:t>
      </w:r>
      <w:r w:rsidR="00BE6A62">
        <w:t xml:space="preserve"> </w:t>
      </w:r>
      <w:r w:rsidR="00161E2C">
        <w:t>eaux de surface</w:t>
      </w:r>
      <w:r w:rsidR="00BE6A62">
        <w:t xml:space="preserve"> (ESU)</w:t>
      </w:r>
      <w:r w:rsidR="00161E2C">
        <w:t xml:space="preserve">, ainsi que de l’exploitation des nappes souterraines, sur les cours d’eau et sur les indicateurs de ces influences. </w:t>
      </w:r>
    </w:p>
    <w:p w14:paraId="030B10EB" w14:textId="77777777" w:rsidR="00302A93" w:rsidRPr="00950F45" w:rsidRDefault="00161E2C" w:rsidP="00950F45">
      <w:pPr>
        <w:jc w:val="both"/>
        <w:rPr>
          <w:b/>
        </w:rPr>
      </w:pPr>
      <w:r w:rsidRPr="00950F45">
        <w:rPr>
          <w:b/>
        </w:rPr>
        <w:t xml:space="preserve">Etat des connaissances sur les </w:t>
      </w:r>
      <w:r w:rsidR="00950F45" w:rsidRPr="00950F45">
        <w:rPr>
          <w:b/>
        </w:rPr>
        <w:t>indicateurs de perturbations liées aux interactions ESO-ESU</w:t>
      </w:r>
    </w:p>
    <w:p w14:paraId="5A94B1EE" w14:textId="77777777" w:rsidR="00950F45" w:rsidRDefault="00302A93" w:rsidP="00950F45">
      <w:pPr>
        <w:jc w:val="both"/>
      </w:pPr>
      <w:r>
        <w:t>Les méthodes utilisées dans le cadre des réseaux de contrôle DCE sont destinées à évaluer l’état écologique des masses d’eau en réponse aux pressions anthropiques diverses, susceptibles d’altérer l’état hydro-morphologique, physico-chimique, chimique et biologique des masses d’eau de surface. Elles sont par contre peu adéquates pour apprécier des perturbations</w:t>
      </w:r>
      <w:r w:rsidR="00161E2C">
        <w:t xml:space="preserve"> hydrologiques (variations du débit), thermiques et chimiques liées à l’exploitation des ESO. </w:t>
      </w:r>
    </w:p>
    <w:p w14:paraId="157AD7E6" w14:textId="1C40FA9A" w:rsidR="00C82A98" w:rsidRDefault="00FC79DA" w:rsidP="00950F45">
      <w:pPr>
        <w:jc w:val="both"/>
      </w:pPr>
      <w:r>
        <w:t>Peu d’études ont été consacrées à l’effet des réduction</w:t>
      </w:r>
      <w:r w:rsidR="00BD24AD">
        <w:t>s</w:t>
      </w:r>
      <w:r>
        <w:t xml:space="preserve"> de débit due</w:t>
      </w:r>
      <w:r w:rsidR="00BD24AD">
        <w:t>s</w:t>
      </w:r>
      <w:r>
        <w:t xml:space="preserve"> à des captages d’eau souterraine, mais quelques-unes </w:t>
      </w:r>
      <w:r w:rsidR="00E72994">
        <w:t>ont été réalisées</w:t>
      </w:r>
      <w:r>
        <w:t xml:space="preserve"> dans des situations similaires</w:t>
      </w:r>
      <w:r w:rsidR="00E72994">
        <w:t>,</w:t>
      </w:r>
      <w:r>
        <w:t xml:space="preserve"> dues à des </w:t>
      </w:r>
      <w:r w:rsidR="00E72994">
        <w:t>barrages pour créer des retenues</w:t>
      </w:r>
      <w:r>
        <w:t xml:space="preserve"> ou à des installations hydroélectriques</w:t>
      </w:r>
      <w:r w:rsidR="00E72994">
        <w:t>,</w:t>
      </w:r>
      <w:r>
        <w:t xml:space="preserve"> entraînant des diminutions de débit dans les cours d’eau en aval. Ainsi, Castella et al. (1995) </w:t>
      </w:r>
      <w:r w:rsidR="00E72994">
        <w:t>ont mis</w:t>
      </w:r>
      <w:r>
        <w:t xml:space="preserve"> en évidence des effets différents suivant les types de cours d’eau : dans les cours d’eau analogues à ceux étudiés dans le présent projet, on ne constate pas </w:t>
      </w:r>
      <w:r w:rsidR="0063277E">
        <w:t xml:space="preserve">ou peu </w:t>
      </w:r>
      <w:r>
        <w:t xml:space="preserve">de changement de composition taxonomique des peuplements d’invertébrés, mais une réduction des effectifs de certains taxons. </w:t>
      </w:r>
      <w:r w:rsidR="0063277E">
        <w:t xml:space="preserve">La revue de Dewson et al. (2007) </w:t>
      </w:r>
      <w:r w:rsidR="00E72994">
        <w:t>don</w:t>
      </w:r>
      <w:r w:rsidR="00D34E4D">
        <w:t>ne une meilleure vision d’ensem</w:t>
      </w:r>
      <w:r w:rsidR="00E72994">
        <w:t xml:space="preserve">ble d’une série d’études et </w:t>
      </w:r>
      <w:r w:rsidR="0063277E">
        <w:t>souligne que, parmi les conséquences des débits réduits sur les facteurs environnementaux importants pour la faune benthique, la diminution de la vitesse de courant et de la profondeur résulte en une perte d’habitats su</w:t>
      </w:r>
      <w:r w:rsidR="00D34E4D">
        <w:t>sc</w:t>
      </w:r>
      <w:r w:rsidR="0063277E">
        <w:t>eptible d’affecter la diversité des peuplements. Les autres effets sont des variations de température</w:t>
      </w:r>
      <w:r w:rsidR="00991CE5">
        <w:t xml:space="preserve"> : </w:t>
      </w:r>
      <w:r w:rsidR="0063277E">
        <w:t>augmentation dans le cas des rivières en aval de barrage</w:t>
      </w:r>
      <w:r w:rsidR="00E72994">
        <w:t>s</w:t>
      </w:r>
      <w:r w:rsidR="0063277E">
        <w:t> ; diminution la plupart du temps dans les rivières où les apports d’eau souterraine sont importants</w:t>
      </w:r>
      <w:r w:rsidR="00991CE5">
        <w:t>. D’autres changements physico-chimiques peuvent se produire, affectant le bilan en oxygène dissous, le pH, la conductivité et la concentration en nutriments, dans des sens divers suivant les régions, le type de cours d’eau et la contribution des eaux souterraines au débit de ces cours d’eau. Enfin, un problème fréquent est l’augmentation de la sédimentation et de la croissance des algues, modifiant la stru</w:t>
      </w:r>
      <w:r w:rsidR="00D34E4D">
        <w:t>c</w:t>
      </w:r>
      <w:r w:rsidR="00991CE5">
        <w:t xml:space="preserve">ture des fonds et les ressources en matières organiques, ces deux facteurs affectant fortement les macro-invertébrés benthiques. </w:t>
      </w:r>
      <w:r w:rsidR="00316DC6">
        <w:t xml:space="preserve">En ce qui concerne l’impact sur cette communauté, la revue de Dewson et al. (2007) montre que dans la plupart des études sont observées des réductions de densité (nombre d’individus par unité de surface) et de richesse taxonomique (nombre de taxons dans les stations). La composition des communautés est aussi affectée, avec généralement une augmentation des populations des taxons préférant des courants lents et des </w:t>
      </w:r>
      <w:r w:rsidR="00D34E4D">
        <w:t>substrats</w:t>
      </w:r>
      <w:r w:rsidR="00316DC6">
        <w:t xml:space="preserve"> fins et diminutions des taxons rhéophiles et </w:t>
      </w:r>
      <w:r w:rsidR="00D34E4D">
        <w:t>préférant</w:t>
      </w:r>
      <w:r w:rsidR="00316DC6">
        <w:t xml:space="preserve"> des substrats plus grossiers. Ces modifications ent</w:t>
      </w:r>
      <w:r w:rsidR="0074390A">
        <w:t>r</w:t>
      </w:r>
      <w:r w:rsidR="00316DC6">
        <w:t xml:space="preserve">aînent des changements des interactions biotiques, via des effets sur </w:t>
      </w:r>
      <w:r w:rsidR="0074390A">
        <w:t xml:space="preserve">la prédation et la compétition. Les modifications des ressources en nourriture interviennent </w:t>
      </w:r>
      <w:r w:rsidR="0074390A">
        <w:lastRenderedPageBreak/>
        <w:t xml:space="preserve">également, de sorte que </w:t>
      </w:r>
      <w:r w:rsidR="00D4643C">
        <w:t>la réponse de la communauté de macroinvertébrés à</w:t>
      </w:r>
      <w:r w:rsidR="0074390A">
        <w:t xml:space="preserve"> la réduction des débits </w:t>
      </w:r>
      <w:r w:rsidR="00D4643C">
        <w:t>est complexe</w:t>
      </w:r>
      <w:r w:rsidR="0074390A">
        <w:t xml:space="preserve"> </w:t>
      </w:r>
      <w:r w:rsidR="00C82A98">
        <w:t xml:space="preserve">(fig. 3.1.1) </w:t>
      </w:r>
      <w:r w:rsidR="0074390A">
        <w:t>et donc que leur évaluation demande des approches suffisamment fines de l’analyse des peuplements benthiques.</w:t>
      </w:r>
    </w:p>
    <w:p w14:paraId="24B95445" w14:textId="77777777" w:rsidR="00C82A98" w:rsidRDefault="00C82A98" w:rsidP="00950F45">
      <w:pPr>
        <w:jc w:val="both"/>
      </w:pPr>
    </w:p>
    <w:p w14:paraId="74E29A01" w14:textId="77777777" w:rsidR="00C82A98" w:rsidRDefault="00C511F2" w:rsidP="00950F45">
      <w:pPr>
        <w:jc w:val="both"/>
      </w:pPr>
      <w:r w:rsidRPr="0043798B">
        <w:rPr>
          <w:noProof/>
          <w:lang w:eastAsia="fr-BE"/>
        </w:rPr>
        <w:drawing>
          <wp:inline distT="0" distB="0" distL="0" distR="0" wp14:anchorId="36FF13A9" wp14:editId="72A1F8D8">
            <wp:extent cx="5762625" cy="40386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14:paraId="343B0862" w14:textId="77777777" w:rsidR="00C82A98" w:rsidRPr="00C82A98" w:rsidRDefault="00C82A98" w:rsidP="00950F45">
      <w:pPr>
        <w:jc w:val="both"/>
        <w:rPr>
          <w:sz w:val="20"/>
          <w:szCs w:val="20"/>
        </w:rPr>
      </w:pPr>
      <w:r w:rsidRPr="00C82A98">
        <w:rPr>
          <w:sz w:val="20"/>
          <w:szCs w:val="20"/>
        </w:rPr>
        <w:t>Fig. 3.1.1. Synthèse de la réponse des peuplements de macro-invertébrés benthiques en rivières suite à des prélèvements d’eau (« water abstraction</w:t>
      </w:r>
      <w:r w:rsidR="00BE6A62">
        <w:rPr>
          <w:sz w:val="20"/>
          <w:szCs w:val="20"/>
        </w:rPr>
        <w:t> »</w:t>
      </w:r>
      <w:r w:rsidRPr="00C82A98">
        <w:rPr>
          <w:sz w:val="20"/>
          <w:szCs w:val="20"/>
        </w:rPr>
        <w:t xml:space="preserve">) réduisant le débit (d’après Dewson </w:t>
      </w:r>
      <w:r w:rsidRPr="00C82A98">
        <w:rPr>
          <w:i/>
          <w:sz w:val="20"/>
          <w:szCs w:val="20"/>
        </w:rPr>
        <w:t>et al</w:t>
      </w:r>
      <w:r w:rsidRPr="00C82A98">
        <w:rPr>
          <w:sz w:val="20"/>
          <w:szCs w:val="20"/>
        </w:rPr>
        <w:t>., 2007).</w:t>
      </w:r>
    </w:p>
    <w:p w14:paraId="4B0A687B" w14:textId="77777777" w:rsidR="009804E5" w:rsidRDefault="00D4643C" w:rsidP="00950F45">
      <w:pPr>
        <w:jc w:val="both"/>
      </w:pPr>
      <w:r>
        <w:t>L’analyse fonctionnelle de ces peuplements, utilisant les traits biologiques et écologiques des macroinvertébrés</w:t>
      </w:r>
      <w:r w:rsidR="00776752">
        <w:t xml:space="preserve"> (Usseglio-Polatera et al., 2000</w:t>
      </w:r>
      <w:r w:rsidR="00E72994">
        <w:t>)</w:t>
      </w:r>
      <w:r>
        <w:t xml:space="preserve">, est apparue comme une méthode adéquate pour mettre en évidence </w:t>
      </w:r>
      <w:r w:rsidR="00D120AA">
        <w:t>les réponses aux changements environnementaux résultant des interactions entre les eaux souterraines et les eaux de surface</w:t>
      </w:r>
      <w:r w:rsidR="007E1F4A">
        <w:t>. De nombreux exemples de ce type d’analyse existent dans la littérature récente, notamment pour mettre en évidence la réponse des communautés à des stress multiples (Uss</w:t>
      </w:r>
      <w:r w:rsidR="00E72994">
        <w:t xml:space="preserve">eglio-Polatera et Beisel, 2002). </w:t>
      </w:r>
    </w:p>
    <w:p w14:paraId="72F9EE84" w14:textId="77777777" w:rsidR="00AA645C" w:rsidRDefault="009804E5" w:rsidP="00950F45">
      <w:pPr>
        <w:jc w:val="both"/>
      </w:pPr>
      <w:r w:rsidRPr="00AA645C">
        <w:t xml:space="preserve">Quelques études récentes ont mis en lumière des effets des fortes concentrations en nutriments sur le fonctionnement des écosystèmes aquatiques, complétant ainsi les informations des études précédentes. </w:t>
      </w:r>
      <w:r w:rsidR="0011471A" w:rsidRPr="00AA645C">
        <w:t>Le processus mesuré est le taux de décomposition de la litière formée de matière</w:t>
      </w:r>
      <w:r w:rsidR="0011471A">
        <w:t xml:space="preserve"> organique d’origine terrestre. L’étude, menée sur une centaine de cours d’eau en région tempérée, montre que la dégradation de la matière organique est stimulée dans la gamme de faible concentration en N et P inorganique (Woodward et al., 2012 ; Ferreira et al., 2014). Cette stimulation est le résultat des apports de nutriments sur l’activité microbiologique (en particulier des champignons aquatiques) </w:t>
      </w:r>
      <w:r w:rsidR="00AA645C">
        <w:t xml:space="preserve">suite à </w:t>
      </w:r>
      <w:r w:rsidR="0011471A">
        <w:t xml:space="preserve">une </w:t>
      </w:r>
      <w:r w:rsidR="00AA645C">
        <w:t>eutrophisation faible à modérée</w:t>
      </w:r>
      <w:r w:rsidR="0074390A">
        <w:t xml:space="preserve"> </w:t>
      </w:r>
      <w:r w:rsidR="00AA645C">
        <w:t>de</w:t>
      </w:r>
      <w:r w:rsidR="0011471A">
        <w:t xml:space="preserve"> systémes </w:t>
      </w:r>
      <w:r w:rsidR="00AA645C">
        <w:t xml:space="preserve">à l’origine </w:t>
      </w:r>
      <w:r w:rsidR="0011471A">
        <w:t xml:space="preserve">oligo- et mésotrophes. Une décroissance nette de l’activité de biodégradation est observée à de fortes concentrations en N et P : elle est interprétée comme le résultat de la dégradation de la qualité de l’eau et de l’habitat </w:t>
      </w:r>
      <w:r w:rsidR="0047055B">
        <w:t xml:space="preserve">impactant la communauté de macro-invertébrés – </w:t>
      </w:r>
      <w:r w:rsidR="00AA645C">
        <w:t>qui contribuent à la dégradation de la litière</w:t>
      </w:r>
      <w:r w:rsidR="0047055B">
        <w:t xml:space="preserve">- </w:t>
      </w:r>
      <w:r w:rsidR="0011471A">
        <w:t xml:space="preserve">suite à des </w:t>
      </w:r>
      <w:r w:rsidR="0011471A">
        <w:lastRenderedPageBreak/>
        <w:t>pollutions fortes</w:t>
      </w:r>
      <w:r w:rsidR="0047055B">
        <w:t xml:space="preserve"> entraînant de fortes concentration en nutriments, mais aussi un</w:t>
      </w:r>
      <w:r w:rsidR="00AA645C">
        <w:t>e</w:t>
      </w:r>
      <w:r w:rsidR="0047055B">
        <w:t xml:space="preserve"> baisse de la concentration en oxygène dissous, etc. </w:t>
      </w:r>
    </w:p>
    <w:p w14:paraId="5394026D" w14:textId="25EB2506" w:rsidR="00AA645C" w:rsidRDefault="0047055B" w:rsidP="00950F45">
      <w:pPr>
        <w:jc w:val="both"/>
      </w:pPr>
      <w:r>
        <w:t xml:space="preserve">En ce qui concerne l’effet des nitrates, différent d’un effet d’autres sources d’azote inorganique (ammonium essentiellement), les données montrent une stimulation de la décomposition de la litière dans la gamme des faibles concentrations, mais une saturation </w:t>
      </w:r>
      <w:r w:rsidR="00AA645C">
        <w:t>au-delà de 0.2 mg N/L et une absence d’effet sur les macroinvertébrés à des concentrations jusqu’à 1 mg N/L</w:t>
      </w:r>
      <w:r w:rsidR="00726060">
        <w:t xml:space="preserve"> (Ferreira et Graça</w:t>
      </w:r>
      <w:r w:rsidR="00AA645C">
        <w:t>., 2006). La mise en évidence de l’impact des nutriments en rivière a conduit à l’idée que l’on puisse utiliser le taux de dégradation de la litière comme indicateur d’intégrité de l’écosystème (Geissner et Chauvet, 2002). Par ailleurs, la combinaison de l’étude de la communauté d’invertébrés benthiques avec ces mesures de processus de biodégradation a été proposée (Lecerf et al., 2006).</w:t>
      </w:r>
      <w:r w:rsidR="00E069F9">
        <w:t xml:space="preserve"> Cela renforce l’idée que l’analyse fine de la communauté de macro-invertébrés benthiques est susceptible de détecter des effets de l’interaction ESO-ESU, dans la mesure où cette dernière influence la physico-chimie de l’eau et les paramètres morphodynamiques des cours d’eau. </w:t>
      </w:r>
    </w:p>
    <w:p w14:paraId="6693FCC2" w14:textId="77777777" w:rsidR="00E779E0" w:rsidRDefault="00E779E0" w:rsidP="00950F45">
      <w:pPr>
        <w:jc w:val="both"/>
        <w:rPr>
          <w:b/>
        </w:rPr>
      </w:pPr>
    </w:p>
    <w:p w14:paraId="17266B36" w14:textId="77777777" w:rsidR="00950F45" w:rsidRDefault="00950F45" w:rsidP="00950F45">
      <w:pPr>
        <w:jc w:val="both"/>
        <w:rPr>
          <w:b/>
        </w:rPr>
      </w:pPr>
      <w:r w:rsidRPr="00950F45">
        <w:rPr>
          <w:b/>
        </w:rPr>
        <w:t>Etat des masses d’eau concernées</w:t>
      </w:r>
      <w:r w:rsidR="005B0610">
        <w:rPr>
          <w:b/>
        </w:rPr>
        <w:t xml:space="preserve"> et choix des indicateurs</w:t>
      </w:r>
    </w:p>
    <w:p w14:paraId="37EBBC87" w14:textId="77777777" w:rsidR="00335CF3" w:rsidRDefault="00335CF3" w:rsidP="00335CF3">
      <w:pPr>
        <w:jc w:val="both"/>
      </w:pPr>
      <w:r>
        <w:t xml:space="preserve">Les masses d’eau de surface concernées (MV07R pour le Hoyoux ; MV08R pour le Triffoy) ont une majeure partie de leur bassin constitué de territoires agricoles et les nitrates déclassent ou sont susceptibles de déclasser la qualité physico-chimique </w:t>
      </w:r>
      <w:r w:rsidR="00BD24AD">
        <w:t xml:space="preserve">de </w:t>
      </w:r>
      <w:r>
        <w:t>ces masses d’eau. D’autre part, l’état écologique de la masse d’eau MV08R est considéré comme « moyen » à cause de l’indice IBGN basé sur les macroinvertébrés benthiques, alors que les autres indicateurs sont au minimum « bons ». Les raisons de ce déclassement sont à établir</w:t>
      </w:r>
      <w:r w:rsidR="008608A5">
        <w:t xml:space="preserve">, ce qui justifie </w:t>
      </w:r>
      <w:r w:rsidR="008608A5" w:rsidRPr="00D34E4D">
        <w:rPr>
          <w:i/>
        </w:rPr>
        <w:t>a fortiori</w:t>
      </w:r>
      <w:r w:rsidR="008608A5">
        <w:t xml:space="preserve"> le choix des macroinvertébrés benthiques comme indicateurs</w:t>
      </w:r>
      <w:r>
        <w:t xml:space="preserve">. </w:t>
      </w:r>
      <w:r w:rsidR="008608A5">
        <w:t>Les fiches synthétiques sur la qualité biologique des deux masses d’eau, extraites de la base de données « A</w:t>
      </w:r>
      <w:r w:rsidR="00D34E4D">
        <w:t>quabio » du SPW sont en annexe 3.</w:t>
      </w:r>
    </w:p>
    <w:p w14:paraId="69AC4C93" w14:textId="77777777" w:rsidR="00335CF3" w:rsidRDefault="00335CF3" w:rsidP="00335CF3">
      <w:pPr>
        <w:jc w:val="both"/>
      </w:pPr>
      <w:r>
        <w:t>Dans un rapport précédent (D2.1 BD hydro – mise à jour des données), une analyse des données existantes sur la qualité physico-chimique du Hoyoux et du Triffoy a été effectuée. Elle mettait en évidence, pour le Triffoy, un dépassement du seuil du bon état pour le</w:t>
      </w:r>
      <w:r w:rsidR="005B0610">
        <w:t xml:space="preserve">s nitrates (5.65 mg/L N) de 7 fois sur </w:t>
      </w:r>
      <w:r>
        <w:t>24 mesures</w:t>
      </w:r>
      <w:r w:rsidR="005B0610">
        <w:t xml:space="preserve"> (de 2005 à 2011, avec de 4 à 6 mesures par an)</w:t>
      </w:r>
      <w:r>
        <w:t>, en période printanière</w:t>
      </w:r>
      <w:r w:rsidR="005B0610">
        <w:t>. P</w:t>
      </w:r>
      <w:r>
        <w:t xml:space="preserve">our le Hoyoux à Vierset-Barse, le P90 des concentrations en nitrates dépassait la valeur-seuil 6 fois sur la période 2003-2012. Dans les deux cas, les nitrates étaient le seul paramètre problématique. </w:t>
      </w:r>
      <w:r w:rsidR="005B0610">
        <w:t>Pour cette raison, il a paru pertinent de réaliser, en plus de l’analyse des peuplements de macroinvertébrés proposé dans le projet initial, une analyse des assemblages de diatomées benthiques, qui répondent bien à la qualité physico-chimique de l’eau.</w:t>
      </w:r>
    </w:p>
    <w:p w14:paraId="120292D3" w14:textId="77777777" w:rsidR="00EF7FE7" w:rsidRDefault="00EF7FE7">
      <w:pPr>
        <w:spacing w:after="0" w:line="240" w:lineRule="auto"/>
        <w:rPr>
          <w:b/>
        </w:rPr>
      </w:pPr>
      <w:r>
        <w:rPr>
          <w:b/>
        </w:rPr>
        <w:br w:type="page"/>
      </w:r>
    </w:p>
    <w:p w14:paraId="07C75FF4" w14:textId="77777777" w:rsidR="00950F45" w:rsidRDefault="006C2688" w:rsidP="00950F45">
      <w:pPr>
        <w:jc w:val="both"/>
        <w:rPr>
          <w:b/>
        </w:rPr>
      </w:pPr>
      <w:r>
        <w:rPr>
          <w:b/>
        </w:rPr>
        <w:lastRenderedPageBreak/>
        <w:t>Analyse des assemblages de diatomées</w:t>
      </w:r>
    </w:p>
    <w:p w14:paraId="06B8C911" w14:textId="77777777" w:rsidR="00DE4C56" w:rsidRPr="00DE4C56" w:rsidRDefault="00DE4C56" w:rsidP="00DE4C56">
      <w:pPr>
        <w:pStyle w:val="Paragraphedeliste"/>
        <w:numPr>
          <w:ilvl w:val="0"/>
          <w:numId w:val="1"/>
        </w:numPr>
        <w:jc w:val="both"/>
        <w:rPr>
          <w:b/>
        </w:rPr>
      </w:pPr>
      <w:r w:rsidRPr="00DE4C56">
        <w:rPr>
          <w:b/>
        </w:rPr>
        <w:t>Matériel et méthodes</w:t>
      </w:r>
    </w:p>
    <w:p w14:paraId="7A065834" w14:textId="77777777" w:rsidR="006C2688" w:rsidRDefault="00DE480C" w:rsidP="00950F45">
      <w:pPr>
        <w:jc w:val="both"/>
      </w:pPr>
      <w:r>
        <w:t>Douze stations réparties sur les deux cours d’eau et un affluent ont fait l’objet de prélèvements pour des analyses physico-chimiques (fig. 3.1.2); dans o</w:t>
      </w:r>
      <w:r w:rsidR="00BD24AD">
        <w:t>nze</w:t>
      </w:r>
      <w:r w:rsidR="00BD24AD" w:rsidRPr="006C2688">
        <w:t xml:space="preserve"> </w:t>
      </w:r>
      <w:r>
        <w:t xml:space="preserve">d’entre elles, les diatomées benthiques </w:t>
      </w:r>
      <w:r w:rsidR="006C2688">
        <w:t>ont été échantillonné</w:t>
      </w:r>
      <w:r w:rsidR="005B2163">
        <w:t>e</w:t>
      </w:r>
      <w:r w:rsidR="006C2688">
        <w:t>s</w:t>
      </w:r>
      <w:r>
        <w:t xml:space="preserve"> le 19 juillet 2013. </w:t>
      </w:r>
      <w:r w:rsidR="005B2163">
        <w:t xml:space="preserve"> </w:t>
      </w:r>
    </w:p>
    <w:p w14:paraId="6072CA96" w14:textId="77777777" w:rsidR="005B2163" w:rsidRDefault="00C511F2" w:rsidP="002A4A12">
      <w:pPr>
        <w:jc w:val="center"/>
      </w:pPr>
      <w:r w:rsidRPr="0043798B">
        <w:rPr>
          <w:noProof/>
          <w:lang w:eastAsia="fr-BE"/>
        </w:rPr>
        <w:drawing>
          <wp:inline distT="0" distB="0" distL="0" distR="0" wp14:anchorId="4AD472B3" wp14:editId="53411D29">
            <wp:extent cx="4612237" cy="6515100"/>
            <wp:effectExtent l="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2642" cy="6515671"/>
                    </a:xfrm>
                    <a:prstGeom prst="rect">
                      <a:avLst/>
                    </a:prstGeom>
                    <a:noFill/>
                    <a:ln>
                      <a:noFill/>
                    </a:ln>
                  </pic:spPr>
                </pic:pic>
              </a:graphicData>
            </a:graphic>
          </wp:inline>
        </w:drawing>
      </w:r>
    </w:p>
    <w:p w14:paraId="2ED2B489" w14:textId="77777777" w:rsidR="005B2163" w:rsidRPr="00C82A98" w:rsidRDefault="002A4A12" w:rsidP="00950F45">
      <w:pPr>
        <w:jc w:val="both"/>
        <w:rPr>
          <w:sz w:val="20"/>
          <w:szCs w:val="20"/>
        </w:rPr>
      </w:pPr>
      <w:r w:rsidRPr="00C82A98">
        <w:rPr>
          <w:sz w:val="20"/>
          <w:szCs w:val="20"/>
        </w:rPr>
        <w:t xml:space="preserve">Fig. </w:t>
      </w:r>
      <w:r w:rsidR="00DE4C56" w:rsidRPr="00C82A98">
        <w:rPr>
          <w:sz w:val="20"/>
          <w:szCs w:val="20"/>
        </w:rPr>
        <w:t>3.1.</w:t>
      </w:r>
      <w:r w:rsidR="00C82A98" w:rsidRPr="00C82A98">
        <w:rPr>
          <w:sz w:val="20"/>
          <w:szCs w:val="20"/>
        </w:rPr>
        <w:t>2</w:t>
      </w:r>
      <w:r w:rsidRPr="00C82A98">
        <w:rPr>
          <w:sz w:val="20"/>
          <w:szCs w:val="20"/>
        </w:rPr>
        <w:t xml:space="preserve"> Stations de prélèvement </w:t>
      </w:r>
      <w:r w:rsidR="00DE480C">
        <w:rPr>
          <w:sz w:val="20"/>
          <w:szCs w:val="20"/>
        </w:rPr>
        <w:t xml:space="preserve">pour la physico-chimie ; </w:t>
      </w:r>
      <w:r w:rsidR="00C82A98" w:rsidRPr="00C82A98">
        <w:rPr>
          <w:sz w:val="20"/>
          <w:szCs w:val="20"/>
        </w:rPr>
        <w:t>l</w:t>
      </w:r>
      <w:r w:rsidRPr="00C82A98">
        <w:rPr>
          <w:sz w:val="20"/>
          <w:szCs w:val="20"/>
        </w:rPr>
        <w:t>es diatomées be</w:t>
      </w:r>
      <w:r w:rsidR="00DE4C56" w:rsidRPr="00C82A98">
        <w:rPr>
          <w:sz w:val="20"/>
          <w:szCs w:val="20"/>
        </w:rPr>
        <w:t>nthiques (campagne du 19/07/2013</w:t>
      </w:r>
      <w:r w:rsidRPr="00C82A98">
        <w:rPr>
          <w:sz w:val="20"/>
          <w:szCs w:val="20"/>
        </w:rPr>
        <w:t>)</w:t>
      </w:r>
      <w:r w:rsidR="00DE480C">
        <w:rPr>
          <w:sz w:val="20"/>
          <w:szCs w:val="20"/>
        </w:rPr>
        <w:t xml:space="preserve"> ont été échantillonnées partout sauf au point H3</w:t>
      </w:r>
      <w:r w:rsidRPr="00C82A98">
        <w:rPr>
          <w:sz w:val="20"/>
          <w:szCs w:val="20"/>
        </w:rPr>
        <w:t xml:space="preserve">. Voir tableau </w:t>
      </w:r>
      <w:r w:rsidR="00DE480C">
        <w:rPr>
          <w:sz w:val="20"/>
          <w:szCs w:val="20"/>
        </w:rPr>
        <w:t>3.1.1</w:t>
      </w:r>
      <w:r w:rsidRPr="00C82A98">
        <w:rPr>
          <w:sz w:val="20"/>
          <w:szCs w:val="20"/>
        </w:rPr>
        <w:t xml:space="preserve"> pour le descriptif et la position des stations.</w:t>
      </w:r>
      <w:r w:rsidR="00C82A98" w:rsidRPr="00C82A98">
        <w:rPr>
          <w:sz w:val="20"/>
          <w:szCs w:val="20"/>
        </w:rPr>
        <w:t xml:space="preserve"> Le monitoring en eau de surface à l’aide des sondes multiparamètres est réalisé aux stations T4, T6, H5 et H1.</w:t>
      </w:r>
    </w:p>
    <w:p w14:paraId="6464AFA7" w14:textId="77777777" w:rsidR="00DE480C" w:rsidRDefault="00DE480C" w:rsidP="00950F45">
      <w:pPr>
        <w:jc w:val="both"/>
      </w:pPr>
    </w:p>
    <w:p w14:paraId="05B3893D" w14:textId="77777777" w:rsidR="00DE4C56" w:rsidRDefault="00DE4C56" w:rsidP="00950F45">
      <w:pPr>
        <w:jc w:val="both"/>
      </w:pPr>
      <w:r>
        <w:lastRenderedPageBreak/>
        <w:t xml:space="preserve">Tableau 3.1.1 Localisation et dénomination des stations de prélèvement </w:t>
      </w:r>
      <w:r w:rsidR="00DE480C">
        <w:t xml:space="preserve">pour la physico-chimie. </w:t>
      </w:r>
    </w:p>
    <w:p w14:paraId="53A4AE65" w14:textId="77777777" w:rsidR="00DE4C56" w:rsidRDefault="00DE4C56" w:rsidP="00950F45">
      <w:pPr>
        <w:jc w:val="both"/>
      </w:pPr>
    </w:p>
    <w:p w14:paraId="6FC32C3C" w14:textId="77777777" w:rsidR="005B2163" w:rsidRDefault="00C511F2" w:rsidP="00950F45">
      <w:pPr>
        <w:jc w:val="both"/>
      </w:pPr>
      <w:r w:rsidRPr="0043798B">
        <w:rPr>
          <w:noProof/>
          <w:lang w:eastAsia="fr-BE"/>
        </w:rPr>
        <w:drawing>
          <wp:inline distT="0" distB="0" distL="0" distR="0" wp14:anchorId="04088976" wp14:editId="568E25FE">
            <wp:extent cx="4829175" cy="2867025"/>
            <wp:effectExtent l="0" t="0" r="9525" b="9525"/>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2867025"/>
                    </a:xfrm>
                    <a:prstGeom prst="rect">
                      <a:avLst/>
                    </a:prstGeom>
                    <a:noFill/>
                    <a:ln>
                      <a:noFill/>
                    </a:ln>
                  </pic:spPr>
                </pic:pic>
              </a:graphicData>
            </a:graphic>
          </wp:inline>
        </w:drawing>
      </w:r>
    </w:p>
    <w:p w14:paraId="2D84E7F1" w14:textId="77777777" w:rsidR="002A4A12" w:rsidRDefault="002A4A12" w:rsidP="00950F45">
      <w:pPr>
        <w:jc w:val="both"/>
      </w:pPr>
    </w:p>
    <w:p w14:paraId="5EC2E2FD" w14:textId="77777777" w:rsidR="00456B17" w:rsidRPr="00456B17" w:rsidRDefault="00456B17" w:rsidP="00456B17">
      <w:pPr>
        <w:pStyle w:val="texteBi-Eau"/>
        <w:ind w:firstLine="0"/>
        <w:rPr>
          <w:rFonts w:ascii="Calibri" w:hAnsi="Calibri"/>
        </w:rPr>
      </w:pPr>
      <w:r>
        <w:rPr>
          <w:rFonts w:ascii="Calibri" w:hAnsi="Calibri"/>
        </w:rPr>
        <w:t>Les</w:t>
      </w:r>
      <w:r w:rsidRPr="00456B17">
        <w:rPr>
          <w:rFonts w:ascii="Calibri" w:hAnsi="Calibri"/>
        </w:rPr>
        <w:t xml:space="preserve"> prélèvements ont </w:t>
      </w:r>
      <w:r>
        <w:rPr>
          <w:rFonts w:ascii="Calibri" w:hAnsi="Calibri"/>
        </w:rPr>
        <w:t xml:space="preserve">été effectués </w:t>
      </w:r>
      <w:r w:rsidRPr="00456B17">
        <w:rPr>
          <w:rFonts w:ascii="Calibri" w:hAnsi="Calibri"/>
        </w:rPr>
        <w:t>par brossage de substrats durs naturels immergés</w:t>
      </w:r>
      <w:r>
        <w:rPr>
          <w:rFonts w:ascii="Calibri" w:hAnsi="Calibri"/>
        </w:rPr>
        <w:t>, à l’aide d’un dispositif permettant de récolter les biofilms périphytiques à partir d’une surface totale de ~20 cm</w:t>
      </w:r>
      <w:r w:rsidRPr="00456B17">
        <w:rPr>
          <w:rFonts w:ascii="Calibri" w:hAnsi="Calibri"/>
          <w:vertAlign w:val="superscript"/>
        </w:rPr>
        <w:t>2</w:t>
      </w:r>
      <w:r>
        <w:rPr>
          <w:rFonts w:ascii="Calibri" w:hAnsi="Calibri"/>
        </w:rPr>
        <w:t xml:space="preserve"> et de combiner plusieurs substrats sur une même station</w:t>
      </w:r>
      <w:r w:rsidRPr="00456B17">
        <w:rPr>
          <w:rFonts w:ascii="Calibri" w:hAnsi="Calibri"/>
        </w:rPr>
        <w:t xml:space="preserve">. Le matériel récolté a été ensuite formolé </w:t>
      </w:r>
      <w:r w:rsidRPr="00456B17">
        <w:rPr>
          <w:rFonts w:ascii="Calibri" w:hAnsi="Calibri"/>
          <w:i/>
          <w:iCs/>
        </w:rPr>
        <w:t>in situ,</w:t>
      </w:r>
      <w:r>
        <w:rPr>
          <w:rFonts w:ascii="Calibri" w:hAnsi="Calibri"/>
        </w:rPr>
        <w:t xml:space="preserve"> puis envoyé au bureau d’études </w:t>
      </w:r>
      <w:r w:rsidRPr="00456B17">
        <w:rPr>
          <w:rFonts w:ascii="Calibri" w:hAnsi="Calibri"/>
        </w:rPr>
        <w:t>Bi-Eau</w:t>
      </w:r>
      <w:r>
        <w:rPr>
          <w:rFonts w:ascii="Calibri" w:hAnsi="Calibri"/>
        </w:rPr>
        <w:t xml:space="preserve"> d’Angers, France, spécialisé dans l’étude des algues microscopiques. </w:t>
      </w:r>
    </w:p>
    <w:p w14:paraId="758AE6F6" w14:textId="77777777" w:rsidR="00456B17" w:rsidRPr="00456B17" w:rsidRDefault="00456B17" w:rsidP="0059588A">
      <w:pPr>
        <w:pStyle w:val="texteBi-Eau"/>
        <w:ind w:firstLine="0"/>
        <w:rPr>
          <w:rFonts w:ascii="Calibri" w:hAnsi="Calibri"/>
        </w:rPr>
      </w:pPr>
      <w:r w:rsidRPr="00456B17">
        <w:rPr>
          <w:rFonts w:ascii="Calibri" w:hAnsi="Calibri"/>
        </w:rPr>
        <w:t>Bi-Eau a analysé les diatomées benthiques et calculé l’Indice Biologique Diatomées (</w:t>
      </w:r>
      <w:r w:rsidRPr="00456B17">
        <w:rPr>
          <w:rFonts w:ascii="Calibri" w:hAnsi="Calibri"/>
          <w:b/>
        </w:rPr>
        <w:t>IBD</w:t>
      </w:r>
      <w:r w:rsidRPr="00456B17">
        <w:rPr>
          <w:rFonts w:ascii="Calibri" w:hAnsi="Calibri"/>
        </w:rPr>
        <w:t>), normalisé en France (</w:t>
      </w:r>
      <w:r w:rsidR="00BD24AD" w:rsidRPr="00456B17">
        <w:rPr>
          <w:rFonts w:ascii="Calibri" w:hAnsi="Calibri"/>
        </w:rPr>
        <w:t>AFNOR NF T 90-354, 2007</w:t>
      </w:r>
      <w:r w:rsidRPr="00456B17">
        <w:rPr>
          <w:rFonts w:ascii="Calibri" w:hAnsi="Calibri"/>
        </w:rPr>
        <w:t>), ainsi que l’Indice de Polluosensibilité Spécifique (</w:t>
      </w:r>
      <w:r w:rsidRPr="00456B17">
        <w:rPr>
          <w:rFonts w:ascii="Calibri" w:hAnsi="Calibri"/>
          <w:b/>
        </w:rPr>
        <w:t>IPS</w:t>
      </w:r>
      <w:r>
        <w:rPr>
          <w:rFonts w:ascii="Calibri" w:hAnsi="Calibri"/>
        </w:rPr>
        <w:t>)</w:t>
      </w:r>
      <w:r w:rsidRPr="00456B17">
        <w:rPr>
          <w:rFonts w:ascii="Calibri" w:hAnsi="Calibri"/>
        </w:rPr>
        <w:t>. Nous donnerons également à titre indicatif, l’indice anglais TDI (Indice Diatomique Trophique) de Kelly</w:t>
      </w:r>
      <w:r w:rsidR="00DE480C">
        <w:rPr>
          <w:rFonts w:ascii="Calibri" w:hAnsi="Calibri"/>
        </w:rPr>
        <w:t xml:space="preserve"> &amp; Whitton</w:t>
      </w:r>
      <w:r w:rsidR="00BD24AD">
        <w:rPr>
          <w:rFonts w:ascii="Calibri" w:hAnsi="Calibri"/>
        </w:rPr>
        <w:t xml:space="preserve"> </w:t>
      </w:r>
      <w:r w:rsidR="00DE480C">
        <w:rPr>
          <w:rFonts w:ascii="Calibri" w:hAnsi="Calibri"/>
        </w:rPr>
        <w:t>(</w:t>
      </w:r>
      <w:r w:rsidR="00BD24AD">
        <w:rPr>
          <w:rFonts w:ascii="Calibri" w:hAnsi="Calibri"/>
        </w:rPr>
        <w:t>1995</w:t>
      </w:r>
      <w:r w:rsidR="005D2B43">
        <w:rPr>
          <w:rFonts w:ascii="Calibri" w:hAnsi="Calibri"/>
        </w:rPr>
        <w:t>)</w:t>
      </w:r>
      <w:r w:rsidRPr="00456B17">
        <w:rPr>
          <w:rFonts w:ascii="Calibri" w:hAnsi="Calibri"/>
        </w:rPr>
        <w:t>.</w:t>
      </w:r>
    </w:p>
    <w:p w14:paraId="6CCB7083" w14:textId="77777777" w:rsidR="00456B17" w:rsidRPr="00456B17" w:rsidRDefault="00456B17" w:rsidP="00456B17">
      <w:pPr>
        <w:pStyle w:val="texteBi-Eau"/>
        <w:ind w:firstLine="0"/>
        <w:rPr>
          <w:rFonts w:ascii="Calibri" w:hAnsi="Calibri"/>
        </w:rPr>
      </w:pPr>
      <w:r w:rsidRPr="00456B17">
        <w:rPr>
          <w:rFonts w:ascii="Calibri" w:hAnsi="Calibri"/>
        </w:rPr>
        <w:t xml:space="preserve">Au laboratoire de Bi-Eau, le matériel diatomique a subi un traitement selon la norme </w:t>
      </w:r>
      <w:r>
        <w:rPr>
          <w:rFonts w:ascii="Calibri" w:hAnsi="Calibri"/>
        </w:rPr>
        <w:t>AFNOR NF T 90-354 (</w:t>
      </w:r>
      <w:r w:rsidRPr="00456B17">
        <w:rPr>
          <w:rFonts w:ascii="Calibri" w:hAnsi="Calibri"/>
        </w:rPr>
        <w:t>décembre 2007</w:t>
      </w:r>
      <w:r>
        <w:rPr>
          <w:rFonts w:ascii="Calibri" w:hAnsi="Calibri"/>
        </w:rPr>
        <w:t>)</w:t>
      </w:r>
      <w:r w:rsidRPr="00456B17">
        <w:rPr>
          <w:rFonts w:ascii="Calibri" w:hAnsi="Calibri"/>
        </w:rPr>
        <w:t>. Les diatomées sont attaquées à l’eau oxygénée (H</w:t>
      </w:r>
      <w:r w:rsidRPr="00456B17">
        <w:rPr>
          <w:rFonts w:ascii="Calibri" w:hAnsi="Calibri"/>
          <w:vertAlign w:val="subscript"/>
        </w:rPr>
        <w:t>2</w:t>
      </w:r>
      <w:r w:rsidRPr="00456B17">
        <w:rPr>
          <w:rFonts w:ascii="Calibri" w:hAnsi="Calibri"/>
        </w:rPr>
        <w:t>O</w:t>
      </w:r>
      <w:r w:rsidRPr="00456B17">
        <w:rPr>
          <w:rFonts w:ascii="Calibri" w:hAnsi="Calibri"/>
          <w:vertAlign w:val="subscript"/>
        </w:rPr>
        <w:t>2</w:t>
      </w:r>
      <w:r w:rsidRPr="00456B17">
        <w:rPr>
          <w:rFonts w:ascii="Calibri" w:hAnsi="Calibri"/>
        </w:rPr>
        <w:t>) afin de détruire la matière organique, et rendre ainsi les frustules (squelettes externes en silice) identifiables. Ce travail est suivi de plusieurs cycles de rinçage alternant avec des phases de décantation. Ensuite, une goutte de la préparation est montée entre lame et lamelle dans du Naphrax</w:t>
      </w:r>
      <w:r w:rsidRPr="00456B17">
        <w:rPr>
          <w:rFonts w:ascii="Calibri" w:hAnsi="Calibri" w:cs="Arial"/>
        </w:rPr>
        <w:t>®</w:t>
      </w:r>
      <w:r w:rsidRPr="00456B17">
        <w:rPr>
          <w:rFonts w:ascii="Calibri" w:hAnsi="Calibri"/>
        </w:rPr>
        <w:t xml:space="preserve"> (résine à indice de réfraction élevé permettant l’obs</w:t>
      </w:r>
      <w:r>
        <w:rPr>
          <w:rFonts w:ascii="Calibri" w:hAnsi="Calibri"/>
        </w:rPr>
        <w:t>ervation des valves siliceuses). L</w:t>
      </w:r>
      <w:r w:rsidRPr="00456B17">
        <w:rPr>
          <w:rFonts w:ascii="Calibri" w:hAnsi="Calibri"/>
        </w:rPr>
        <w:t xml:space="preserve">es lames ainsi préparées </w:t>
      </w:r>
      <w:r>
        <w:rPr>
          <w:rFonts w:ascii="Calibri" w:hAnsi="Calibri"/>
        </w:rPr>
        <w:t>ont fait</w:t>
      </w:r>
      <w:r w:rsidR="005D2B43">
        <w:rPr>
          <w:rFonts w:ascii="Calibri" w:hAnsi="Calibri"/>
        </w:rPr>
        <w:t xml:space="preserve"> </w:t>
      </w:r>
      <w:r w:rsidRPr="00456B17">
        <w:rPr>
          <w:rFonts w:ascii="Calibri" w:hAnsi="Calibri"/>
        </w:rPr>
        <w:t xml:space="preserve">l’objet des observations microscopiques à l’objectif x100, à l’immersion et en contraste interférentiel DIC (Nikon Eclipse Ni-U). Le processus analytique (identification et comptage) </w:t>
      </w:r>
      <w:r>
        <w:rPr>
          <w:rFonts w:ascii="Calibri" w:hAnsi="Calibri"/>
        </w:rPr>
        <w:t>a utilisé</w:t>
      </w:r>
      <w:r w:rsidRPr="00456B17">
        <w:rPr>
          <w:rFonts w:ascii="Calibri" w:hAnsi="Calibri"/>
        </w:rPr>
        <w:t xml:space="preserve"> les prescriptions des normes AFNOR NF T 90-354 et EN 14407. </w:t>
      </w:r>
      <w:r w:rsidR="005D2B43">
        <w:rPr>
          <w:rFonts w:ascii="Calibri" w:hAnsi="Calibri"/>
        </w:rPr>
        <w:t>Au moins</w:t>
      </w:r>
      <w:r w:rsidRPr="00456B17">
        <w:rPr>
          <w:rFonts w:ascii="Calibri" w:hAnsi="Calibri"/>
        </w:rPr>
        <w:t xml:space="preserve"> 400 valves</w:t>
      </w:r>
      <w:r>
        <w:rPr>
          <w:rFonts w:ascii="Calibri" w:hAnsi="Calibri"/>
        </w:rPr>
        <w:t xml:space="preserve"> ont été identifiées et dénombrées</w:t>
      </w:r>
      <w:r w:rsidRPr="00456B17">
        <w:rPr>
          <w:rFonts w:ascii="Calibri" w:hAnsi="Calibri"/>
        </w:rPr>
        <w:t>. Les identifications sont basées, entre autres, sur la Sü</w:t>
      </w:r>
      <w:r w:rsidRPr="00456B17">
        <w:rPr>
          <w:rFonts w:ascii="Calibri" w:hAnsi="Calibri" w:cs="Arial"/>
        </w:rPr>
        <w:t>ß</w:t>
      </w:r>
      <w:r w:rsidRPr="00456B17">
        <w:rPr>
          <w:rFonts w:ascii="Calibri" w:hAnsi="Calibri"/>
        </w:rPr>
        <w:t xml:space="preserve">wasserflora (Krammer &amp; Lange-Berthalot 1986, 1988, 1991) et sur le Guide méthodologique pour la mise en œuvre de l’IBD (Prygiel &amp; Coste, 2000). Ce guide préconise un encodage </w:t>
      </w:r>
      <w:r w:rsidR="00C27ABA">
        <w:rPr>
          <w:rFonts w:ascii="Calibri" w:hAnsi="Calibri"/>
        </w:rPr>
        <w:t>des taxons en 4 lettres, qui s</w:t>
      </w:r>
      <w:r w:rsidRPr="00456B17">
        <w:rPr>
          <w:rFonts w:ascii="Calibri" w:hAnsi="Calibri"/>
        </w:rPr>
        <w:t xml:space="preserve">ont saisies dans le logiciel de calcul Omnidia (Lecointe &amp; </w:t>
      </w:r>
      <w:r w:rsidRPr="00456B17">
        <w:rPr>
          <w:rFonts w:ascii="Calibri" w:hAnsi="Calibri"/>
          <w:i/>
          <w:iCs/>
        </w:rPr>
        <w:t>al</w:t>
      </w:r>
      <w:r w:rsidRPr="00456B17">
        <w:rPr>
          <w:rFonts w:ascii="Calibri" w:hAnsi="Calibri"/>
        </w:rPr>
        <w:t xml:space="preserve">., 1993) version 5.3. </w:t>
      </w:r>
    </w:p>
    <w:p w14:paraId="53A84940" w14:textId="77777777" w:rsidR="00F651F5" w:rsidRPr="00F651F5" w:rsidRDefault="00456B17" w:rsidP="00DE4C56">
      <w:pPr>
        <w:pStyle w:val="texteBi-Eau"/>
        <w:ind w:firstLine="0"/>
        <w:rPr>
          <w:rFonts w:ascii="Calibri" w:hAnsi="Calibri"/>
        </w:rPr>
      </w:pPr>
      <w:r w:rsidRPr="00456B17">
        <w:rPr>
          <w:rFonts w:ascii="Calibri" w:hAnsi="Calibri"/>
        </w:rPr>
        <w:t>Bi-Eau a analysé les diatomées benthiques et calculé l’Indice Biologique Diatomées (</w:t>
      </w:r>
      <w:r w:rsidRPr="00456B17">
        <w:rPr>
          <w:rFonts w:ascii="Calibri" w:hAnsi="Calibri"/>
          <w:b/>
        </w:rPr>
        <w:t>IBD</w:t>
      </w:r>
      <w:r w:rsidRPr="00456B17">
        <w:rPr>
          <w:rFonts w:ascii="Calibri" w:hAnsi="Calibri"/>
        </w:rPr>
        <w:t>), normalisé en France (AFNOR NF T 90-354, décembre 2007), ainsi que l’Indice de Polluosensibilité Spécifique (</w:t>
      </w:r>
      <w:r w:rsidRPr="00456B17">
        <w:rPr>
          <w:rFonts w:ascii="Calibri" w:hAnsi="Calibri"/>
          <w:b/>
        </w:rPr>
        <w:t>IPS</w:t>
      </w:r>
      <w:r>
        <w:rPr>
          <w:rFonts w:ascii="Calibri" w:hAnsi="Calibri"/>
        </w:rPr>
        <w:t>)</w:t>
      </w:r>
      <w:r w:rsidRPr="00456B17">
        <w:rPr>
          <w:rFonts w:ascii="Calibri" w:hAnsi="Calibri"/>
        </w:rPr>
        <w:t xml:space="preserve">. </w:t>
      </w:r>
      <w:r>
        <w:rPr>
          <w:rFonts w:ascii="Calibri" w:hAnsi="Calibri"/>
        </w:rPr>
        <w:t xml:space="preserve">Nous ne retenons ici que l’IPS, utilisé en Wallonie, ainsi que, à titre </w:t>
      </w:r>
      <w:r w:rsidRPr="00456B17">
        <w:rPr>
          <w:rFonts w:ascii="Calibri" w:hAnsi="Calibri"/>
        </w:rPr>
        <w:t>indicatif</w:t>
      </w:r>
      <w:r>
        <w:rPr>
          <w:rFonts w:ascii="Calibri" w:hAnsi="Calibri"/>
        </w:rPr>
        <w:t xml:space="preserve"> puisque c’est une problématique de nutriment</w:t>
      </w:r>
      <w:r w:rsidR="006523FB">
        <w:rPr>
          <w:rFonts w:ascii="Calibri" w:hAnsi="Calibri"/>
        </w:rPr>
        <w:t>s</w:t>
      </w:r>
      <w:r>
        <w:rPr>
          <w:rFonts w:ascii="Calibri" w:hAnsi="Calibri"/>
        </w:rPr>
        <w:t xml:space="preserve"> en excès qui est en cause</w:t>
      </w:r>
      <w:r w:rsidRPr="00456B17">
        <w:rPr>
          <w:rFonts w:ascii="Calibri" w:hAnsi="Calibri"/>
        </w:rPr>
        <w:t xml:space="preserve">, l’indice anglais TDI (Indice Diatomique </w:t>
      </w:r>
      <w:r w:rsidRPr="00DE480C">
        <w:rPr>
          <w:rFonts w:ascii="Calibri" w:hAnsi="Calibri"/>
        </w:rPr>
        <w:lastRenderedPageBreak/>
        <w:t>Trophique).</w:t>
      </w:r>
      <w:r w:rsidR="0059588A" w:rsidRPr="00DE480C">
        <w:rPr>
          <w:rFonts w:ascii="Calibri" w:hAnsi="Calibri"/>
        </w:rPr>
        <w:t xml:space="preserve"> </w:t>
      </w:r>
      <w:r w:rsidR="00F651F5" w:rsidRPr="00DE480C">
        <w:rPr>
          <w:rFonts w:ascii="Calibri" w:hAnsi="Calibri"/>
        </w:rPr>
        <w:t>L’indic</w:t>
      </w:r>
      <w:r w:rsidR="005D2B43" w:rsidRPr="00DE480C">
        <w:rPr>
          <w:rFonts w:ascii="Calibri" w:hAnsi="Calibri"/>
        </w:rPr>
        <w:t>e IPS peut varier entre 1 et 20</w:t>
      </w:r>
      <w:r w:rsidR="00F651F5" w:rsidRPr="00DE480C">
        <w:rPr>
          <w:rFonts w:ascii="Calibri" w:hAnsi="Calibri"/>
        </w:rPr>
        <w:t>; en Région Wallon</w:t>
      </w:r>
      <w:r w:rsidR="005D2B43" w:rsidRPr="00DE480C">
        <w:rPr>
          <w:rFonts w:ascii="Calibri" w:hAnsi="Calibri"/>
        </w:rPr>
        <w:t>n</w:t>
      </w:r>
      <w:r w:rsidR="00F651F5" w:rsidRPr="00DE480C">
        <w:rPr>
          <w:rFonts w:ascii="Calibri" w:hAnsi="Calibri"/>
        </w:rPr>
        <w:t>e, la limite inférieure du bon</w:t>
      </w:r>
      <w:r w:rsidR="00F651F5">
        <w:rPr>
          <w:rFonts w:ascii="Calibri" w:hAnsi="Calibri"/>
        </w:rPr>
        <w:t xml:space="preserve"> état (BE) </w:t>
      </w:r>
      <w:r w:rsidR="005D2B43">
        <w:rPr>
          <w:rFonts w:ascii="Calibri" w:hAnsi="Calibri"/>
        </w:rPr>
        <w:t>a été fixée</w:t>
      </w:r>
      <w:r w:rsidR="00F651F5">
        <w:rPr>
          <w:rFonts w:ascii="Calibri" w:hAnsi="Calibri"/>
        </w:rPr>
        <w:t xml:space="preserve"> à 12/20 et la limite du très bon état (TBE) à 16/20. </w:t>
      </w:r>
    </w:p>
    <w:p w14:paraId="7A0EF93C" w14:textId="77777777" w:rsidR="00456B17" w:rsidRPr="00DE4C56" w:rsidRDefault="00DE4C56" w:rsidP="00DE4C56">
      <w:pPr>
        <w:pStyle w:val="texteBi-Eau"/>
        <w:numPr>
          <w:ilvl w:val="0"/>
          <w:numId w:val="1"/>
        </w:numPr>
        <w:rPr>
          <w:rFonts w:ascii="Calibri" w:hAnsi="Calibri"/>
          <w:b/>
        </w:rPr>
      </w:pPr>
      <w:r w:rsidRPr="00DE4C56">
        <w:rPr>
          <w:rFonts w:ascii="Calibri" w:hAnsi="Calibri"/>
          <w:b/>
        </w:rPr>
        <w:t>Résultats</w:t>
      </w:r>
    </w:p>
    <w:p w14:paraId="2B7C5C99" w14:textId="77777777" w:rsidR="00DE4C56" w:rsidRDefault="00DE4C56" w:rsidP="00DE4C56">
      <w:pPr>
        <w:pStyle w:val="texteBi-Eau"/>
        <w:ind w:firstLine="0"/>
        <w:rPr>
          <w:rFonts w:ascii="Calibri" w:hAnsi="Calibri"/>
        </w:rPr>
      </w:pPr>
      <w:r>
        <w:rPr>
          <w:rFonts w:ascii="Calibri" w:hAnsi="Calibri"/>
        </w:rPr>
        <w:t xml:space="preserve">Ceux-ci sont présentés en détail en annexe (détail des relevés) et résumés dans le tableau 3.1.2. </w:t>
      </w:r>
    </w:p>
    <w:p w14:paraId="5CF91F57" w14:textId="77777777" w:rsidR="004C3803" w:rsidRDefault="004C3803" w:rsidP="00DE4C56">
      <w:pPr>
        <w:pStyle w:val="texteBi-Eau"/>
        <w:ind w:firstLine="0"/>
        <w:rPr>
          <w:rFonts w:ascii="Calibri" w:hAnsi="Calibri"/>
        </w:rPr>
      </w:pPr>
    </w:p>
    <w:p w14:paraId="5C342A90" w14:textId="77777777" w:rsidR="004C3803" w:rsidRPr="00456B17" w:rsidRDefault="004C3803" w:rsidP="00DE4C56">
      <w:pPr>
        <w:pStyle w:val="texteBi-Eau"/>
        <w:ind w:firstLine="0"/>
        <w:rPr>
          <w:rFonts w:ascii="Calibri" w:hAnsi="Calibri"/>
        </w:rPr>
      </w:pPr>
      <w:r>
        <w:rPr>
          <w:rFonts w:ascii="Calibri" w:hAnsi="Calibri"/>
        </w:rPr>
        <w:t xml:space="preserve">Tableau 3.1.2 : Résultats du calcul des indices sur les assemblages de diatomées des stations de prélèvement (campagne du </w:t>
      </w:r>
      <w:r w:rsidR="00670723">
        <w:rPr>
          <w:rFonts w:ascii="Calibri" w:hAnsi="Calibri"/>
        </w:rPr>
        <w:t>19 juillet 2013). L’IPS est une note sur 20 (limite BE : 12 ; limite BE-TBE : 16)</w:t>
      </w:r>
    </w:p>
    <w:p w14:paraId="5851CDF9" w14:textId="77777777" w:rsidR="00756C28" w:rsidRDefault="00C511F2" w:rsidP="00950F45">
      <w:pPr>
        <w:jc w:val="both"/>
      </w:pPr>
      <w:r w:rsidRPr="0043798B">
        <w:rPr>
          <w:noProof/>
          <w:lang w:eastAsia="fr-BE"/>
        </w:rPr>
        <w:drawing>
          <wp:inline distT="0" distB="0" distL="0" distR="0" wp14:anchorId="26546EF8" wp14:editId="1031F6F0">
            <wp:extent cx="5753100" cy="1819275"/>
            <wp:effectExtent l="0" t="0" r="0" b="9525"/>
            <wp:docPr id="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inline>
        </w:drawing>
      </w:r>
    </w:p>
    <w:p w14:paraId="5557A65E" w14:textId="77777777" w:rsidR="004C3803" w:rsidRDefault="004C3803" w:rsidP="00950F45">
      <w:pPr>
        <w:jc w:val="both"/>
      </w:pPr>
      <w:r>
        <w:t>Globalement, toutes les stations ont une valeur IPS ≥ 12/20 et atteignent le BE pour l’indicateur diatomées</w:t>
      </w:r>
      <w:r w:rsidR="00670723">
        <w:t xml:space="preserve">, avec les meilleurs </w:t>
      </w:r>
      <w:r w:rsidR="00856690">
        <w:t>résultats dans le Triffoy</w:t>
      </w:r>
      <w:r>
        <w:t xml:space="preserve">. Le TDI montre peu de différenciation d’état trophique entre les stations. La diversité taxonomique est élevée partout dans le Hoyoux et le Ruisseau de Pailhe, et est un peu inférieure dans le Triffoy, où la valeur la plus basse est atteinte, paradoxalement, dans la station qui présente le meilleur IPS : ceci s’explique, cependant, par une forte proportion de taxons polluosensibles. </w:t>
      </w:r>
      <w:r w:rsidR="00670723">
        <w:t xml:space="preserve">Ci-après, </w:t>
      </w:r>
      <w:r w:rsidR="007F1A36">
        <w:t>l</w:t>
      </w:r>
      <w:r w:rsidR="00670723">
        <w:t>es commentaires établis par Bi-Eau :</w:t>
      </w:r>
    </w:p>
    <w:p w14:paraId="1E9646FB" w14:textId="77777777" w:rsidR="00670723" w:rsidRDefault="00670723" w:rsidP="00670723">
      <w:pPr>
        <w:pStyle w:val="Paragraphedeliste"/>
        <w:numPr>
          <w:ilvl w:val="0"/>
          <w:numId w:val="2"/>
        </w:numPr>
        <w:jc w:val="both"/>
      </w:pPr>
      <w:r w:rsidRPr="00670723">
        <w:rPr>
          <w:b/>
        </w:rPr>
        <w:t>Le Hoyoux</w:t>
      </w:r>
      <w:r>
        <w:t> est dans son ensemble un cours d’eau qui paraît stable, avec des indices de diversité de Shannon élevés pour les 5 stations, compris entre 4.37 et 4.99 bits/ind. ; les conditions sont favorables à l’installation de nombreuses populations de diatomées, comme le montrent les valeurs de la richesse taxinomique élevées, variant entre 56 et 68 taxons. Les résultats en t</w:t>
      </w:r>
      <w:r w:rsidR="00ED7793">
        <w:t>er</w:t>
      </w:r>
      <w:r>
        <w:t>me d’indice de qualité sont cependant moyens, avec un classement à la limit</w:t>
      </w:r>
      <w:r w:rsidR="00ED7793">
        <w:t>e du BE dans certaines stations</w:t>
      </w:r>
      <w:r w:rsidR="00ED171B">
        <w:t xml:space="preserve">, résultant d’une eutrophisation généralisée et de l’exposition à des rejets domestiques des villages de Petit-Avin et des Avins. </w:t>
      </w:r>
      <w:r w:rsidR="00ED7793">
        <w:t xml:space="preserve">Voici l’analyse détaillée faite par Bi-Eau, </w:t>
      </w:r>
      <w:r w:rsidR="00B7562A">
        <w:t xml:space="preserve">de l’amont </w:t>
      </w:r>
      <w:r w:rsidR="00ED7793">
        <w:t>vers l’</w:t>
      </w:r>
      <w:r w:rsidR="00B7562A">
        <w:t>aval</w:t>
      </w:r>
      <w:r w:rsidR="00ED7793">
        <w:t> :</w:t>
      </w:r>
    </w:p>
    <w:p w14:paraId="062DD511" w14:textId="77777777" w:rsidR="00ED7793" w:rsidRDefault="00ED7793" w:rsidP="00ED7793">
      <w:pPr>
        <w:pStyle w:val="Paragraphedeliste"/>
        <w:ind w:left="360"/>
        <w:jc w:val="both"/>
      </w:pPr>
    </w:p>
    <w:p w14:paraId="2753A466" w14:textId="77777777" w:rsidR="007A198C" w:rsidRDefault="007A198C" w:rsidP="007A198C">
      <w:pPr>
        <w:pStyle w:val="Paragraphedeliste"/>
        <w:numPr>
          <w:ilvl w:val="1"/>
          <w:numId w:val="2"/>
        </w:numPr>
        <w:jc w:val="both"/>
      </w:pPr>
      <w:r>
        <w:t>la station H6 (amont du domaine de Hoyoux) affiche en tête de cortège trois taxons (</w:t>
      </w:r>
      <w:r w:rsidRPr="00ED171B">
        <w:rPr>
          <w:i/>
        </w:rPr>
        <w:t>Achnanthidium minutissimum</w:t>
      </w:r>
      <w:r>
        <w:t xml:space="preserve">, </w:t>
      </w:r>
      <w:r w:rsidRPr="00ED171B">
        <w:rPr>
          <w:i/>
        </w:rPr>
        <w:t>Navicula gregaria</w:t>
      </w:r>
      <w:r>
        <w:t xml:space="preserve"> et </w:t>
      </w:r>
      <w:r w:rsidRPr="00ED171B">
        <w:rPr>
          <w:i/>
        </w:rPr>
        <w:t>Amphora pediculus</w:t>
      </w:r>
      <w:r>
        <w:t>), ceux-ci ne présentent pas les mêmes profils écologiques, ce qui suggère des pollutions ponctuelles ou par intermittence.</w:t>
      </w:r>
    </w:p>
    <w:p w14:paraId="4ED6B1DF" w14:textId="77777777" w:rsidR="007A198C" w:rsidRDefault="007A198C" w:rsidP="007A198C">
      <w:pPr>
        <w:pStyle w:val="Paragraphedeliste"/>
        <w:numPr>
          <w:ilvl w:val="1"/>
          <w:numId w:val="2"/>
        </w:numPr>
        <w:jc w:val="both"/>
      </w:pPr>
      <w:r>
        <w:t xml:space="preserve">dans la station H5 (Petit-Avin, carrière), </w:t>
      </w:r>
      <w:r w:rsidRPr="00ED171B">
        <w:rPr>
          <w:i/>
        </w:rPr>
        <w:t>Navicula tripunctata</w:t>
      </w:r>
      <w:r>
        <w:t xml:space="preserve"> atteint à peine les 10%, ce qui dénonce un milieu moyennement impacté par la matière organique et indique une pollution du milieu par les nutriments ; les autres diatomées l’accompagnant (participation &gt;5%) sont également révélatrices d’une eutrophisation du milieu ;</w:t>
      </w:r>
    </w:p>
    <w:p w14:paraId="1D72A988" w14:textId="77777777" w:rsidR="007A198C" w:rsidRDefault="007A198C" w:rsidP="007A198C">
      <w:pPr>
        <w:pStyle w:val="Paragraphedeliste"/>
        <w:numPr>
          <w:ilvl w:val="1"/>
          <w:numId w:val="2"/>
        </w:numPr>
        <w:jc w:val="both"/>
      </w:pPr>
      <w:r>
        <w:t xml:space="preserve">la station H4 (Petit-Avin, village) se singularise par son cortège diatomique très varié et équilibré (68 taxons et équitabilité de 0.82) et par </w:t>
      </w:r>
      <w:r w:rsidRPr="007F1A36">
        <w:rPr>
          <w:i/>
        </w:rPr>
        <w:t>Staurosira venter</w:t>
      </w:r>
      <w:r>
        <w:t xml:space="preserve"> au premier rang, élective d’un milieu peu chargé en matière organique et pouvant être riche en nutriments ; d’autres </w:t>
      </w:r>
      <w:r>
        <w:lastRenderedPageBreak/>
        <w:t xml:space="preserve">taxons bien développés dans cette station sont </w:t>
      </w:r>
      <w:r w:rsidRPr="007F1A36">
        <w:rPr>
          <w:i/>
        </w:rPr>
        <w:t>Staurosirella ovata</w:t>
      </w:r>
      <w:r>
        <w:t xml:space="preserve"> et </w:t>
      </w:r>
      <w:r w:rsidRPr="007F1A36">
        <w:rPr>
          <w:i/>
        </w:rPr>
        <w:t>Amphora pediculus</w:t>
      </w:r>
      <w:r>
        <w:rPr>
          <w:i/>
        </w:rPr>
        <w:t> </w:t>
      </w:r>
      <w:r>
        <w:t xml:space="preserve">; le premier taxon indiquerait un milieu à faibles teneurs en nitrates, nitrites et orthophosphates ; </w:t>
      </w:r>
    </w:p>
    <w:p w14:paraId="52DE8100" w14:textId="77777777" w:rsidR="007A198C" w:rsidRDefault="007A198C" w:rsidP="007A198C">
      <w:pPr>
        <w:pStyle w:val="Paragraphedeliste"/>
        <w:numPr>
          <w:ilvl w:val="1"/>
          <w:numId w:val="2"/>
        </w:numPr>
        <w:jc w:val="both"/>
      </w:pPr>
      <w:r>
        <w:t xml:space="preserve">dans la station H2 (les Avins), </w:t>
      </w:r>
      <w:r w:rsidRPr="00ED7793">
        <w:rPr>
          <w:i/>
        </w:rPr>
        <w:t>Surirella brebissonii</w:t>
      </w:r>
      <w:r>
        <w:t xml:space="preserve"> est dominante (18.7%) ; il s’agit d’une espèce d’eau moyennement saumâtre, alcaliphile, supportant des concentrations moyennes en matières organique et un milieu riche en nutriments ; ce dernier caractère est confirmé par </w:t>
      </w:r>
      <w:r w:rsidRPr="007F1A36">
        <w:rPr>
          <w:i/>
        </w:rPr>
        <w:t>Cocconeis euglypta</w:t>
      </w:r>
      <w:r>
        <w:t xml:space="preserve"> au second rang ; cette station obtient les moins bons résultats de cette campagne, elle semble le siège d’une eutrophisation anthropique</w:t>
      </w:r>
      <w:r>
        <w:rPr>
          <w:rStyle w:val="Appelnotedebasdep"/>
        </w:rPr>
        <w:footnoteReference w:id="1"/>
      </w:r>
      <w:r>
        <w:t xml:space="preserve"> ;</w:t>
      </w:r>
    </w:p>
    <w:p w14:paraId="3D07B87D" w14:textId="77777777" w:rsidR="00670723" w:rsidRDefault="00670723" w:rsidP="00670723">
      <w:pPr>
        <w:pStyle w:val="Paragraphedeliste"/>
        <w:numPr>
          <w:ilvl w:val="1"/>
          <w:numId w:val="2"/>
        </w:numPr>
        <w:jc w:val="both"/>
      </w:pPr>
      <w:r>
        <w:t>dans la station H1</w:t>
      </w:r>
      <w:r w:rsidR="00ED7793">
        <w:t xml:space="preserve"> (Peti</w:t>
      </w:r>
      <w:r w:rsidR="00AD583E">
        <w:t>t-Modave, amont des captages de Vivaqua</w:t>
      </w:r>
      <w:r w:rsidR="00ED7793">
        <w:t>)</w:t>
      </w:r>
      <w:r>
        <w:t>, un seul taxon dépasse 10% de participation : il s’agit d’</w:t>
      </w:r>
      <w:r w:rsidRPr="00670723">
        <w:rPr>
          <w:i/>
        </w:rPr>
        <w:t>Amphora pediculus</w:t>
      </w:r>
      <w:r>
        <w:t xml:space="preserve">, taxon qualifié de β-mésosaprobe et d’eutrophe. Au second rang, </w:t>
      </w:r>
      <w:r w:rsidRPr="00670723">
        <w:rPr>
          <w:i/>
        </w:rPr>
        <w:t>Navicula gregaria</w:t>
      </w:r>
      <w:r>
        <w:t xml:space="preserve"> confirme </w:t>
      </w:r>
      <w:r w:rsidR="00AD583E">
        <w:t>un fort impact des nutriments ; n</w:t>
      </w:r>
      <w:r>
        <w:t xml:space="preserve">ous pouvons souligner la contribution de diatomées centriques dans le cortège (9.1%), dont </w:t>
      </w:r>
      <w:r w:rsidRPr="00670723">
        <w:rPr>
          <w:i/>
        </w:rPr>
        <w:t>Discostella woltereckii</w:t>
      </w:r>
      <w:r>
        <w:t>, espèce planctonique de milieux riches en nutriments</w:t>
      </w:r>
      <w:r w:rsidR="00AD583E">
        <w:t>, provenant sans doute d’étangs en amont de la station</w:t>
      </w:r>
      <w:r>
        <w:t xml:space="preserve"> ;</w:t>
      </w:r>
    </w:p>
    <w:p w14:paraId="6C3D64EE" w14:textId="77777777" w:rsidR="007A198C" w:rsidRDefault="007A198C" w:rsidP="007A198C">
      <w:pPr>
        <w:pStyle w:val="Paragraphedeliste"/>
        <w:jc w:val="both"/>
      </w:pPr>
    </w:p>
    <w:p w14:paraId="0A55F048" w14:textId="77777777" w:rsidR="00ED171B" w:rsidRDefault="00ED171B" w:rsidP="00ED171B">
      <w:pPr>
        <w:pStyle w:val="Paragraphedeliste"/>
        <w:numPr>
          <w:ilvl w:val="0"/>
          <w:numId w:val="2"/>
        </w:numPr>
        <w:jc w:val="both"/>
      </w:pPr>
      <w:r w:rsidRPr="00ED171B">
        <w:rPr>
          <w:b/>
        </w:rPr>
        <w:t>Le Triffoy</w:t>
      </w:r>
      <w:r>
        <w:t xml:space="preserve"> apparaît comme un cours d’eau ho</w:t>
      </w:r>
      <w:r w:rsidR="007A198C">
        <w:t>mogène, de bonne à très bonne qualité au vu des résultats IPS compris</w:t>
      </w:r>
      <w:r>
        <w:t xml:space="preserve"> entre 15.2 et </w:t>
      </w:r>
      <w:r w:rsidR="006523FB">
        <w:t>1</w:t>
      </w:r>
      <w:r w:rsidR="007A198C">
        <w:t>8.6.</w:t>
      </w:r>
      <w:r>
        <w:t xml:space="preserve"> </w:t>
      </w:r>
      <w:r w:rsidRPr="00ED171B">
        <w:rPr>
          <w:i/>
        </w:rPr>
        <w:t>Amphora pediculus</w:t>
      </w:r>
      <w:r>
        <w:t xml:space="preserve"> semble trouver les conditions favorables pour se développer</w:t>
      </w:r>
      <w:r w:rsidR="008A391C">
        <w:t>,</w:t>
      </w:r>
      <w:r>
        <w:t xml:space="preserve"> vu ses </w:t>
      </w:r>
      <w:r w:rsidR="008A391C">
        <w:t>fortes abondances dans le cours d’eau, avec</w:t>
      </w:r>
      <w:r>
        <w:t xml:space="preserve"> l’exception de la</w:t>
      </w:r>
      <w:r w:rsidR="008A391C">
        <w:t xml:space="preserve"> station T3 qui </w:t>
      </w:r>
      <w:r>
        <w:t>est le siège d’une résurgence d’une eau propre ou d’une sou</w:t>
      </w:r>
      <w:r w:rsidR="008A391C">
        <w:t>rce, étant donné la qualité sensiblement meilleure que les</w:t>
      </w:r>
      <w:r>
        <w:t xml:space="preserve"> autres points de ce cours d’eau.</w:t>
      </w:r>
      <w:r w:rsidR="008A391C">
        <w:t xml:space="preserve"> Plus en détail :</w:t>
      </w:r>
    </w:p>
    <w:p w14:paraId="1DEFAA56" w14:textId="77777777" w:rsidR="008A391C" w:rsidRDefault="008A391C" w:rsidP="008A391C">
      <w:pPr>
        <w:pStyle w:val="Paragraphedeliste"/>
        <w:ind w:left="360"/>
        <w:jc w:val="both"/>
      </w:pPr>
    </w:p>
    <w:p w14:paraId="0E667738" w14:textId="77777777" w:rsidR="00ED171B" w:rsidRDefault="008A391C" w:rsidP="008A391C">
      <w:pPr>
        <w:pStyle w:val="Paragraphedeliste"/>
        <w:numPr>
          <w:ilvl w:val="1"/>
          <w:numId w:val="2"/>
        </w:numPr>
        <w:jc w:val="both"/>
      </w:pPr>
      <w:r>
        <w:t xml:space="preserve">T1 (station amont, en prairie) </w:t>
      </w:r>
      <w:r w:rsidR="00ED171B">
        <w:t xml:space="preserve">est fortement dominée par </w:t>
      </w:r>
      <w:r w:rsidR="00ED171B" w:rsidRPr="008A391C">
        <w:rPr>
          <w:i/>
        </w:rPr>
        <w:t>Amphora pediculus</w:t>
      </w:r>
      <w:r w:rsidR="00ED171B">
        <w:t xml:space="preserve"> (61.1%), taxon sensible à la po</w:t>
      </w:r>
      <w:r w:rsidR="00002EE9">
        <w:t>l</w:t>
      </w:r>
      <w:r w:rsidR="00ED171B">
        <w:t>lution organique, m</w:t>
      </w:r>
      <w:r>
        <w:t>ais</w:t>
      </w:r>
      <w:r w:rsidR="00ED171B">
        <w:t xml:space="preserve"> dénonçant le caractère eutrophe de la station ;</w:t>
      </w:r>
    </w:p>
    <w:p w14:paraId="0BF847E2" w14:textId="77777777" w:rsidR="00ED171B" w:rsidRDefault="008A391C" w:rsidP="008A391C">
      <w:pPr>
        <w:pStyle w:val="Paragraphedeliste"/>
        <w:numPr>
          <w:ilvl w:val="1"/>
          <w:numId w:val="2"/>
        </w:numPr>
        <w:jc w:val="both"/>
      </w:pPr>
      <w:r>
        <w:t xml:space="preserve">dans la station T2 (aval de Jamagne), </w:t>
      </w:r>
      <w:r w:rsidR="00ED171B" w:rsidRPr="008A391C">
        <w:rPr>
          <w:i/>
        </w:rPr>
        <w:t>Amphora pediculus</w:t>
      </w:r>
      <w:r w:rsidR="00ED171B">
        <w:t xml:space="preserve"> est également au premier rang, mais sa participation est moindre et le peuplement diat</w:t>
      </w:r>
      <w:r>
        <w:t>omique est varié et équilibré ; l</w:t>
      </w:r>
      <w:r w:rsidR="00ED171B">
        <w:t>e milieu permet l’installation de nombreuses espèces (55 taxons)</w:t>
      </w:r>
      <w:r>
        <w:t> </w:t>
      </w:r>
      <w:r w:rsidR="00ED171B">
        <w:t>;</w:t>
      </w:r>
    </w:p>
    <w:p w14:paraId="4EEA66D8" w14:textId="77777777" w:rsidR="00ED171B" w:rsidRDefault="008A391C" w:rsidP="008A391C">
      <w:pPr>
        <w:pStyle w:val="Paragraphedeliste"/>
        <w:numPr>
          <w:ilvl w:val="1"/>
          <w:numId w:val="2"/>
        </w:numPr>
        <w:jc w:val="both"/>
      </w:pPr>
      <w:r>
        <w:t xml:space="preserve">la station </w:t>
      </w:r>
      <w:r w:rsidR="00ED171B">
        <w:t xml:space="preserve">T3 est </w:t>
      </w:r>
      <w:r>
        <w:t xml:space="preserve">particulière a bien des égards ; </w:t>
      </w:r>
      <w:r w:rsidR="00ED171B">
        <w:t xml:space="preserve">elle obtient les meilleurs résultats de cette </w:t>
      </w:r>
      <w:r>
        <w:t>campagne en terme</w:t>
      </w:r>
      <w:r w:rsidR="006523FB">
        <w:t xml:space="preserve"> de</w:t>
      </w:r>
      <w:r>
        <w:t xml:space="preserve"> qualité d’eau</w:t>
      </w:r>
      <w:r w:rsidR="00ED171B">
        <w:t>, mais affiche le peuplement diatomique le plu</w:t>
      </w:r>
      <w:r>
        <w:t xml:space="preserve">s pauvre (20 taxons seulement) ; </w:t>
      </w:r>
      <w:r w:rsidR="00ED171B" w:rsidRPr="008A391C">
        <w:rPr>
          <w:i/>
        </w:rPr>
        <w:t>Achnanthidium lineare</w:t>
      </w:r>
      <w:r w:rsidR="00ED171B">
        <w:t xml:space="preserve"> est en tête du cortège diatomique avec un</w:t>
      </w:r>
      <w:r>
        <w:t>e participation de 44.9% ; c</w:t>
      </w:r>
      <w:r w:rsidR="00ED171B">
        <w:t>e taxon indique des eaux propres et c</w:t>
      </w:r>
      <w:r>
        <w:t>alcaires, pauvres en nutriments ;</w:t>
      </w:r>
      <w:r w:rsidR="00ED171B">
        <w:t xml:space="preserve"> Il est </w:t>
      </w:r>
      <w:r w:rsidR="00002EE9">
        <w:t>secondé par</w:t>
      </w:r>
      <w:r w:rsidR="00ED171B">
        <w:t xml:space="preserve"> </w:t>
      </w:r>
      <w:r w:rsidR="00ED171B" w:rsidRPr="008A391C">
        <w:rPr>
          <w:i/>
        </w:rPr>
        <w:t xml:space="preserve">Amphora pediculus </w:t>
      </w:r>
      <w:r w:rsidR="00ED171B">
        <w:t xml:space="preserve">et </w:t>
      </w:r>
      <w:r w:rsidR="00ED171B" w:rsidRPr="008A391C">
        <w:rPr>
          <w:i/>
        </w:rPr>
        <w:t>Achnanthidium minutissimum</w:t>
      </w:r>
      <w:r w:rsidR="00ED171B">
        <w:t xml:space="preserve">, qui sont plus tolérants vis-à-vis des nutriments ; </w:t>
      </w:r>
    </w:p>
    <w:p w14:paraId="117839B9" w14:textId="77777777" w:rsidR="00ED171B" w:rsidRDefault="00ED171B" w:rsidP="008A391C">
      <w:pPr>
        <w:pStyle w:val="Paragraphedeliste"/>
        <w:numPr>
          <w:ilvl w:val="1"/>
          <w:numId w:val="2"/>
        </w:numPr>
        <w:jc w:val="both"/>
      </w:pPr>
      <w:r>
        <w:t xml:space="preserve">les peuplements diatomiques des stations T4 et T5 indiquent des eaux riches en nutriments. En effet, le caractère eutrophe est dénoncé par </w:t>
      </w:r>
      <w:r w:rsidRPr="008A391C">
        <w:rPr>
          <w:i/>
        </w:rPr>
        <w:t>Amphora pediculus</w:t>
      </w:r>
      <w:r>
        <w:t xml:space="preserve"> et </w:t>
      </w:r>
      <w:r w:rsidRPr="008A391C">
        <w:rPr>
          <w:i/>
        </w:rPr>
        <w:t>Cocconeis euglypta</w:t>
      </w:r>
      <w:r>
        <w:t xml:space="preserve"> qui occupent les deux premiers rangs ; cependant la station T5 est plus variée (51 taxons contre 39 taxons en T4) et peut-être un peu plus impactée par les nutriments ;</w:t>
      </w:r>
    </w:p>
    <w:p w14:paraId="4C4B2C19" w14:textId="77777777" w:rsidR="00ED171B" w:rsidRDefault="008A391C" w:rsidP="008A391C">
      <w:pPr>
        <w:pStyle w:val="Paragraphedeliste"/>
        <w:numPr>
          <w:ilvl w:val="1"/>
          <w:numId w:val="2"/>
        </w:numPr>
        <w:jc w:val="both"/>
      </w:pPr>
      <w:r>
        <w:t xml:space="preserve">la station </w:t>
      </w:r>
      <w:r w:rsidR="00ED171B">
        <w:t xml:space="preserve">T6 </w:t>
      </w:r>
      <w:r>
        <w:t xml:space="preserve">(juste en amont du Ravel et de la confluence avec le Hoyoux) </w:t>
      </w:r>
      <w:r w:rsidR="00ED171B">
        <w:t>est jugée eutrophe avec toujours une dominance d’</w:t>
      </w:r>
      <w:r w:rsidR="00ED171B" w:rsidRPr="008A391C">
        <w:rPr>
          <w:i/>
        </w:rPr>
        <w:t>Amphora pediculus</w:t>
      </w:r>
      <w:r>
        <w:rPr>
          <w:i/>
        </w:rPr>
        <w:t> </w:t>
      </w:r>
      <w:r>
        <w:t>; a</w:t>
      </w:r>
      <w:r w:rsidR="00ED171B">
        <w:t xml:space="preserve">u second rang, nous observons </w:t>
      </w:r>
      <w:r w:rsidR="00ED171B" w:rsidRPr="008A391C">
        <w:rPr>
          <w:i/>
        </w:rPr>
        <w:t>Diploneis oculata</w:t>
      </w:r>
      <w:r>
        <w:t xml:space="preserve"> (8.8%), espèce est sensible à la matière organique, habituellement </w:t>
      </w:r>
      <w:r w:rsidR="00ED171B">
        <w:t>peu rencon</w:t>
      </w:r>
      <w:r>
        <w:t>trée dans ces proportions</w:t>
      </w:r>
      <w:r w:rsidR="00463270">
        <w:t xml:space="preserve">. </w:t>
      </w:r>
    </w:p>
    <w:p w14:paraId="7AE79644" w14:textId="77777777" w:rsidR="00776752" w:rsidRDefault="00776752" w:rsidP="00776752">
      <w:pPr>
        <w:pStyle w:val="Paragraphedeliste"/>
        <w:jc w:val="both"/>
      </w:pPr>
    </w:p>
    <w:p w14:paraId="217CB115" w14:textId="77777777" w:rsidR="00086E21" w:rsidRDefault="00086E21" w:rsidP="00086E21">
      <w:pPr>
        <w:pStyle w:val="Paragraphedeliste"/>
        <w:numPr>
          <w:ilvl w:val="0"/>
          <w:numId w:val="2"/>
        </w:numPr>
        <w:jc w:val="both"/>
      </w:pPr>
      <w:r>
        <w:t>Enfin, l</w:t>
      </w:r>
      <w:r w:rsidRPr="00086E21">
        <w:t xml:space="preserve">e </w:t>
      </w:r>
      <w:r>
        <w:t>Ruisseau de Pailhe est, au regard de l’indice IPS, de bonne qualité ;</w:t>
      </w:r>
      <w:r w:rsidRPr="00086E21">
        <w:t xml:space="preserve"> le peuplement diatomique </w:t>
      </w:r>
      <w:r>
        <w:t xml:space="preserve">y </w:t>
      </w:r>
      <w:r w:rsidRPr="00086E21">
        <w:t xml:space="preserve">est exceptionnellement varié avec 71 taxons. L’indice de diversité est également très </w:t>
      </w:r>
      <w:r>
        <w:t>élevé</w:t>
      </w:r>
      <w:r w:rsidRPr="00086E21">
        <w:t xml:space="preserve"> et supérieur à 5 bits/ind. (Tabl. </w:t>
      </w:r>
      <w:r w:rsidR="006523FB">
        <w:t>3.1.2</w:t>
      </w:r>
      <w:r w:rsidRPr="00086E21">
        <w:t xml:space="preserve">). Les conditions hydrologiques sont donc favorables et stables. </w:t>
      </w:r>
      <w:r w:rsidRPr="00F06DF4">
        <w:rPr>
          <w:i/>
        </w:rPr>
        <w:t>Navicula cryptotenella</w:t>
      </w:r>
      <w:r w:rsidRPr="00086E21">
        <w:t xml:space="preserve"> est l’espèce indicatrice (15%), qui trace un milieu faiblement </w:t>
      </w:r>
      <w:r w:rsidR="007A198C">
        <w:t>pollué par la matière organique ;</w:t>
      </w:r>
      <w:r w:rsidRPr="00086E21">
        <w:t xml:space="preserve"> relativement à la trophie elle est considérée indifférente.</w:t>
      </w:r>
    </w:p>
    <w:p w14:paraId="47A22834" w14:textId="77777777" w:rsidR="00F06DF4" w:rsidRDefault="00F06DF4" w:rsidP="00F06DF4">
      <w:pPr>
        <w:pStyle w:val="Paragraphedeliste"/>
        <w:ind w:left="360"/>
        <w:jc w:val="both"/>
      </w:pPr>
    </w:p>
    <w:p w14:paraId="32ED27DC" w14:textId="77777777" w:rsidR="00F06DF4" w:rsidRDefault="00F06DF4" w:rsidP="00F06DF4">
      <w:pPr>
        <w:pStyle w:val="Paragraphedeliste"/>
        <w:numPr>
          <w:ilvl w:val="0"/>
          <w:numId w:val="1"/>
        </w:numPr>
        <w:jc w:val="both"/>
        <w:rPr>
          <w:b/>
        </w:rPr>
      </w:pPr>
      <w:r w:rsidRPr="00F06DF4">
        <w:rPr>
          <w:b/>
        </w:rPr>
        <w:lastRenderedPageBreak/>
        <w:t>Conclusion</w:t>
      </w:r>
    </w:p>
    <w:p w14:paraId="4F1EFC03" w14:textId="77777777" w:rsidR="00F06DF4" w:rsidRDefault="00F06DF4" w:rsidP="00F06DF4">
      <w:pPr>
        <w:jc w:val="both"/>
      </w:pPr>
      <w:r>
        <w:t xml:space="preserve">D’après les indices diatomiques, les trois cours d’eau inventoriés sont au minimum de bonne qualité et présentent des conditions stables favorables à une diversité taxonomique élevée. L’analyse des assemblages de diatomées, si elle révèle la richesse en nutriments généralisée et des pollutions organiques </w:t>
      </w:r>
      <w:r w:rsidR="00002EE9">
        <w:t>localisées,</w:t>
      </w:r>
      <w:r>
        <w:t xml:space="preserve"> </w:t>
      </w:r>
      <w:r w:rsidR="007A198C">
        <w:t>ne permet cependant pas</w:t>
      </w:r>
      <w:r>
        <w:t xml:space="preserve"> de différencier l’altération due à l’excès d’azote de celle due au phosphore. Cette conclusion est confirmée par l’avis de spécialistes (</w:t>
      </w:r>
      <w:r w:rsidR="00002EE9">
        <w:t>Marty</w:t>
      </w:r>
      <w:r>
        <w:t xml:space="preserve"> Kelly, </w:t>
      </w:r>
      <w:r w:rsidR="007A198C">
        <w:t>co-</w:t>
      </w:r>
      <w:r>
        <w:t xml:space="preserve">auteur du « trophic diatom index » et </w:t>
      </w:r>
      <w:r w:rsidR="00B31EEF">
        <w:t>Stephen Juggins, gestionnaire de la base de données « EDDI » ou European Diatom data base). Il est donc nécessaire de s’intéresser de plus près à l’autoécologie des diatomées, qui pourrait apporter des informations sur des taxons potentiellement indicateurs de concentrations en azote élevée</w:t>
      </w:r>
      <w:r w:rsidR="00B7562A">
        <w:t>s</w:t>
      </w:r>
      <w:r w:rsidR="00B31EEF">
        <w:t>.</w:t>
      </w:r>
    </w:p>
    <w:p w14:paraId="72B6D7CD" w14:textId="77777777" w:rsidR="00B31EEF" w:rsidRPr="00F06DF4" w:rsidRDefault="00B31EEF" w:rsidP="00F06DF4">
      <w:pPr>
        <w:jc w:val="both"/>
      </w:pPr>
      <w:r>
        <w:t xml:space="preserve">Cette conclusion négative est cependant contrebalancée par le fait que les assemblages algaux ne semblent pas perturbés par la pollution azotée des cours d’eau étudiés. Autrement dit, </w:t>
      </w:r>
      <w:r w:rsidR="008F6F9C">
        <w:t xml:space="preserve">comme </w:t>
      </w:r>
      <w:r>
        <w:t>les fortes concentrations en nitrates ne constituent pas une perturbation significative de ces assemblages</w:t>
      </w:r>
      <w:r w:rsidR="00002EE9">
        <w:t>,</w:t>
      </w:r>
      <w:r>
        <w:t xml:space="preserve"> l’atteinte du bon état écologique, en ce qui concerne le phytobenthos</w:t>
      </w:r>
      <w:r w:rsidR="008F6F9C">
        <w:t>, n’est pas compromis</w:t>
      </w:r>
      <w:r>
        <w:t>. Cette conclusion est d’ailleurs confirmée par l’indice basé sur les macrophytes aquatiques, l’</w:t>
      </w:r>
      <w:r w:rsidR="004832C7">
        <w:t xml:space="preserve">IBMR, qui a montré dans le Hoyoux à Modave (station BERW_15024) une bonne à très bonne qualité de 2005 à 2011 (données Aquabio). Enfin, </w:t>
      </w:r>
      <w:r w:rsidR="008F6F9C">
        <w:t xml:space="preserve">de façon remarquable, </w:t>
      </w:r>
      <w:r w:rsidR="004832C7">
        <w:t xml:space="preserve">dans le cas du Triffoy à la station T3, l’interaction avec les eaux souterraines apparaît comme un bénéfice pour les assemblages de diatomées, du fait que l’apport à la rivière en </w:t>
      </w:r>
      <w:r w:rsidR="00002EE9">
        <w:t>aval</w:t>
      </w:r>
      <w:r w:rsidR="004832C7">
        <w:t xml:space="preserve"> des captages apporte une eau peu chargée en phosphore et matières organiques.</w:t>
      </w:r>
      <w:r w:rsidR="008F6F9C">
        <w:t xml:space="preserve"> Dans ce sens, l’analyse des peuplements de diatomées répond bien à l’objectif du projet ESO-ESU de développer des indicateurs des interactions entre les eaux souterraines et les eaux de surface, </w:t>
      </w:r>
      <w:r w:rsidR="00002EE9">
        <w:t>puisqu’elle</w:t>
      </w:r>
      <w:r w:rsidR="008F6F9C">
        <w:t xml:space="preserve"> montre une amélioration de la qualité biologique suite à un apport d’eau souterraine. </w:t>
      </w:r>
      <w:r w:rsidR="004832C7">
        <w:t xml:space="preserve">   </w:t>
      </w:r>
    </w:p>
    <w:p w14:paraId="6B81D612" w14:textId="77777777" w:rsidR="00C82A98" w:rsidRDefault="00C82A98" w:rsidP="00820FF0">
      <w:pPr>
        <w:jc w:val="both"/>
        <w:rPr>
          <w:b/>
        </w:rPr>
      </w:pPr>
    </w:p>
    <w:p w14:paraId="6EFE6174" w14:textId="77777777" w:rsidR="00820FF0" w:rsidRDefault="00820FF0" w:rsidP="00820FF0">
      <w:pPr>
        <w:jc w:val="both"/>
        <w:rPr>
          <w:b/>
        </w:rPr>
      </w:pPr>
      <w:r>
        <w:rPr>
          <w:b/>
        </w:rPr>
        <w:t>Analyse des peuplements de macroinvertébrés benthiques</w:t>
      </w:r>
    </w:p>
    <w:p w14:paraId="2FED9527" w14:textId="77777777" w:rsidR="007A7E79" w:rsidRPr="00DE4C56" w:rsidRDefault="007A7E79" w:rsidP="007A7E79">
      <w:pPr>
        <w:pStyle w:val="Paragraphedeliste"/>
        <w:numPr>
          <w:ilvl w:val="0"/>
          <w:numId w:val="3"/>
        </w:numPr>
        <w:jc w:val="both"/>
        <w:rPr>
          <w:b/>
        </w:rPr>
      </w:pPr>
      <w:r w:rsidRPr="00DE4C56">
        <w:rPr>
          <w:b/>
        </w:rPr>
        <w:t>Matériel et méthodes</w:t>
      </w:r>
    </w:p>
    <w:p w14:paraId="487FD64E" w14:textId="77777777" w:rsidR="00F06DF4" w:rsidRDefault="00820FF0" w:rsidP="00F06DF4">
      <w:pPr>
        <w:jc w:val="both"/>
      </w:pPr>
      <w:r>
        <w:t xml:space="preserve">D’après les </w:t>
      </w:r>
      <w:r w:rsidR="00E53E0F">
        <w:t>informations recueillies sur les résultats des évaluations de qualité biologique du Hoyoux et du Triffoy réalisées par le SPW, le</w:t>
      </w:r>
      <w:r w:rsidR="004832C7">
        <w:t xml:space="preserve"> bon état écolo</w:t>
      </w:r>
      <w:r w:rsidR="008F6F9C">
        <w:t xml:space="preserve">gique </w:t>
      </w:r>
      <w:r w:rsidR="00E53E0F">
        <w:t>(BE) n’est pas toujours atteint</w:t>
      </w:r>
      <w:r w:rsidR="008F6F9C">
        <w:t xml:space="preserve"> </w:t>
      </w:r>
      <w:r w:rsidR="00E53E0F">
        <w:t>à cause de l</w:t>
      </w:r>
      <w:r w:rsidR="00002EE9">
        <w:t>’élément de qualité biologique macroinvertébrés benthiques. P</w:t>
      </w:r>
      <w:r w:rsidR="00E53E0F">
        <w:t xml:space="preserve">our la station BERW-15024 (Hoyoux à Modave), alors que les autres indicateurs atteignent une bonne ou très bonne qualité, l’indice IBGN est sous la limite fixée à 13/20 pour les ruisseaux condrusiens à pente moyenne en 2008 et 2011 (soit </w:t>
      </w:r>
      <w:r w:rsidR="007A7E79">
        <w:t>2 fois sur 5 prélèvements)</w:t>
      </w:r>
      <w:r w:rsidR="00E53E0F">
        <w:t>; pour le Triffoy</w:t>
      </w:r>
      <w:r w:rsidR="007A7E79">
        <w:t xml:space="preserve"> (station BERW_15002 = station T6 de la fig. 3.1.1), le score obtenu est de 10 en 2006 et 11 en 2011</w:t>
      </w:r>
      <w:r w:rsidR="00E53E0F">
        <w:t xml:space="preserve"> </w:t>
      </w:r>
      <w:r w:rsidR="007A7E79">
        <w:t>et donc inférieur à la limite du BE pour 2 prélèvements sur 3.</w:t>
      </w:r>
    </w:p>
    <w:p w14:paraId="6B4D3FB5" w14:textId="77777777" w:rsidR="00497375" w:rsidRDefault="007A7E79" w:rsidP="00F06DF4">
      <w:pPr>
        <w:jc w:val="both"/>
      </w:pPr>
      <w:r>
        <w:t xml:space="preserve">Dans </w:t>
      </w:r>
      <w:r w:rsidR="00497375">
        <w:t>une première phase,</w:t>
      </w:r>
      <w:r>
        <w:t xml:space="preserve"> en 2013, le choix a été fait d’échantillonner les macroinvertébrés uniquement dans le Triffoy</w:t>
      </w:r>
      <w:r w:rsidR="00497375">
        <w:t xml:space="preserve"> à la station située le plus en aval (T6)</w:t>
      </w:r>
      <w:r>
        <w:t xml:space="preserve">, étant donné que c’est la seule station du réseau de contrôle de surveillance du SPW située dans le secteur d’étude. Les prélèvements ont été </w:t>
      </w:r>
      <w:r w:rsidR="00D222AA">
        <w:t xml:space="preserve">effectués </w:t>
      </w:r>
      <w:r>
        <w:t xml:space="preserve">le 19 juillet 2013, en suivant le protocole de prélèvement IBGN, autant que possible, vu la faible diversité des substrats dans la station. </w:t>
      </w:r>
    </w:p>
    <w:p w14:paraId="0D91E6A3" w14:textId="2CAD48D3" w:rsidR="00497375" w:rsidRDefault="00497375" w:rsidP="00F06DF4">
      <w:pPr>
        <w:jc w:val="both"/>
      </w:pPr>
      <w:r>
        <w:t>Suite aux résultats obtenus (voir 2.1), dans une deuxième phase (avril 2014), les quatre stations où se font les mesures en continu ont été échantillonnées, toujours conformément au protocole de prélèvement IBGN.</w:t>
      </w:r>
      <w:r w:rsidR="002353B3">
        <w:t xml:space="preserve"> Les niveaux d’identification vont</w:t>
      </w:r>
      <w:r w:rsidR="003258BC">
        <w:t xml:space="preserve"> </w:t>
      </w:r>
      <w:r w:rsidR="002353B3">
        <w:t xml:space="preserve">du genre à la famille. </w:t>
      </w:r>
      <w:r w:rsidR="003258BC">
        <w:t>Dans une première étape, les relevés ont été soumis à une analyse factorielle des correspondances à l’aide du logiciel R (</w:t>
      </w:r>
      <w:r w:rsidR="009804E5" w:rsidRPr="009804E5">
        <w:t xml:space="preserve">package </w:t>
      </w:r>
      <w:r w:rsidR="009804E5">
        <w:lastRenderedPageBreak/>
        <w:t>ade4, Dray et Dufour, 2007</w:t>
      </w:r>
      <w:r w:rsidR="003258BC">
        <w:t xml:space="preserve">), en vue de mettre en évidence les différences de peuplement et de caractéristiques physiques des deux rivières. </w:t>
      </w:r>
    </w:p>
    <w:p w14:paraId="3149B3A3" w14:textId="77777777" w:rsidR="00BD77F5" w:rsidRDefault="00497375" w:rsidP="00F06DF4">
      <w:pPr>
        <w:jc w:val="both"/>
      </w:pPr>
      <w:r>
        <w:t xml:space="preserve">Tous les </w:t>
      </w:r>
      <w:r w:rsidR="007A7E79">
        <w:t xml:space="preserve">résultats ont été analysés à l’aide du système-expert développé par </w:t>
      </w:r>
      <w:r w:rsidR="00AE1D26">
        <w:t>Usseglio-Polatera et Beisel (2002)</w:t>
      </w:r>
      <w:r w:rsidR="007C6CF7">
        <w:t xml:space="preserve">, qui permet non seulement la détermination de l’IBGN et de ses indices constitutifs, mais aussi une évaluation de la diversité bio/écologique et une analyse en terme de traits bio/écologiques. </w:t>
      </w:r>
      <w:r w:rsidR="00896E00">
        <w:t>L’évaluation s’effectue notamment par comparaison avec des sites de référence dont les caractéristiques sont contenues dans la base de données du système-expert ; ces sites de référence sont définis par type de cours d’</w:t>
      </w:r>
      <w:r w:rsidR="00BD77F5">
        <w:t xml:space="preserve">eau, en référence à la typologie </w:t>
      </w:r>
      <w:r w:rsidR="00002EE9">
        <w:t>d’Illies</w:t>
      </w:r>
      <w:r w:rsidR="00BD77F5">
        <w:t xml:space="preserve"> &amp; Botosaneanu (1963). </w:t>
      </w:r>
      <w:r w:rsidR="007C6CF7">
        <w:t xml:space="preserve">Les résultats sont disponibles et présentés ci-après. </w:t>
      </w:r>
    </w:p>
    <w:p w14:paraId="737D456F" w14:textId="77777777" w:rsidR="00C82A98" w:rsidRPr="00DE4C56" w:rsidRDefault="00C82A98" w:rsidP="00896E00">
      <w:pPr>
        <w:pStyle w:val="texteBi-Eau"/>
        <w:numPr>
          <w:ilvl w:val="0"/>
          <w:numId w:val="3"/>
        </w:numPr>
        <w:rPr>
          <w:rFonts w:ascii="Calibri" w:hAnsi="Calibri"/>
          <w:b/>
        </w:rPr>
      </w:pPr>
      <w:r w:rsidRPr="00DE4C56">
        <w:rPr>
          <w:rFonts w:ascii="Calibri" w:hAnsi="Calibri"/>
          <w:b/>
        </w:rPr>
        <w:t>Résultats</w:t>
      </w:r>
    </w:p>
    <w:p w14:paraId="27DDAFA2" w14:textId="77777777" w:rsidR="00497375" w:rsidRDefault="00497375" w:rsidP="00497375">
      <w:pPr>
        <w:pStyle w:val="Paragraphedeliste"/>
        <w:numPr>
          <w:ilvl w:val="1"/>
          <w:numId w:val="3"/>
        </w:numPr>
        <w:jc w:val="both"/>
      </w:pPr>
      <w:r>
        <w:t xml:space="preserve">Analyse des peuplements de la station aval du Triffoy (T6). </w:t>
      </w:r>
    </w:p>
    <w:p w14:paraId="7EA79A83" w14:textId="77777777" w:rsidR="00C82A98" w:rsidRDefault="00660982" w:rsidP="003258BC">
      <w:pPr>
        <w:jc w:val="both"/>
      </w:pPr>
      <w:r>
        <w:t>Le tableau 2 présente les résultats obtenus pour l’IBGN à la station aval du Triffoy, la structure du peuplement et la diversité. Le relevé détaillé se trouve en annexe 2. L’indice IBGN est de 10/20, ce qui correspond à une qualité « moyenne », inférieure de 3 points au seuil du bon état fixé pour les cours d’eau condrusiens à pente moyenne. Ceci correspond au résultat obtenu par le SPW en 2011</w:t>
      </w:r>
      <w:r w:rsidR="00940870">
        <w:t>. La note basse résulte du « groupe faunistique indicateur » ou GFI</w:t>
      </w:r>
      <w:r>
        <w:t xml:space="preserve"> </w:t>
      </w:r>
      <w:r w:rsidR="00940870">
        <w:t xml:space="preserve">qui est constitué d’une famille d’insectes dont la polluosensibilité est moyenne, mais </w:t>
      </w:r>
      <w:r w:rsidR="00002EE9">
        <w:t>surtout</w:t>
      </w:r>
      <w:r w:rsidR="00940870">
        <w:t xml:space="preserve"> d’une faible diversité taxonomique, ainsi que le montre la classe de variété (5), le nombre d’unités taxonomique (S) et les indices de diversité taxonomique (H’) assez faibles. L’équitabilité est relativement basse (le peuplement est dominé par un nombre faible de taxons</w:t>
      </w:r>
      <w:r w:rsidR="00FF3D5C">
        <w:t>, principalement des Gammaridae</w:t>
      </w:r>
      <w:r w:rsidR="00940870">
        <w:t>)</w:t>
      </w:r>
      <w:r w:rsidR="00FF3D5C">
        <w:t xml:space="preserve">. </w:t>
      </w:r>
    </w:p>
    <w:p w14:paraId="7EDF8A6C" w14:textId="77777777" w:rsidR="004D0604" w:rsidRPr="00AE1D26" w:rsidRDefault="00AE1D26" w:rsidP="00F06DF4">
      <w:pPr>
        <w:jc w:val="both"/>
        <w:rPr>
          <w:sz w:val="20"/>
          <w:szCs w:val="20"/>
        </w:rPr>
      </w:pPr>
      <w:r w:rsidRPr="00AE1D26">
        <w:rPr>
          <w:sz w:val="20"/>
          <w:szCs w:val="20"/>
        </w:rPr>
        <w:t>Tableau 2 Application du système expert (Usseglio-Polatera et Beisel, 2002) au relevé de macroinvertébrés de la station aval du Triffoy (T6), pour l’IBGN, la structure taxonomique et la diversité.</w:t>
      </w:r>
    </w:p>
    <w:p w14:paraId="60CE54BB" w14:textId="77777777" w:rsidR="004D0604" w:rsidRDefault="00C511F2" w:rsidP="00F06DF4">
      <w:pPr>
        <w:jc w:val="both"/>
      </w:pPr>
      <w:r w:rsidRPr="0043798B">
        <w:rPr>
          <w:noProof/>
          <w:lang w:eastAsia="fr-BE"/>
        </w:rPr>
        <w:drawing>
          <wp:inline distT="0" distB="0" distL="0" distR="0" wp14:anchorId="67DB1CAB" wp14:editId="5BE7B0E6">
            <wp:extent cx="5762625" cy="2495550"/>
            <wp:effectExtent l="0" t="0" r="952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495550"/>
                    </a:xfrm>
                    <a:prstGeom prst="rect">
                      <a:avLst/>
                    </a:prstGeom>
                    <a:noFill/>
                    <a:ln>
                      <a:noFill/>
                    </a:ln>
                  </pic:spPr>
                </pic:pic>
              </a:graphicData>
            </a:graphic>
          </wp:inline>
        </w:drawing>
      </w:r>
    </w:p>
    <w:p w14:paraId="669581BE" w14:textId="77777777" w:rsidR="004D0604" w:rsidRDefault="004D0604" w:rsidP="00F06DF4">
      <w:pPr>
        <w:jc w:val="both"/>
      </w:pPr>
    </w:p>
    <w:p w14:paraId="109F40E0" w14:textId="77777777" w:rsidR="003B102D" w:rsidRDefault="00FF3D5C" w:rsidP="00FF3D5C">
      <w:pPr>
        <w:jc w:val="both"/>
      </w:pPr>
      <w:r>
        <w:t xml:space="preserve">Du point de vue fonctionnel, la diversité écologique </w:t>
      </w:r>
      <w:r w:rsidR="00AE1D26">
        <w:t xml:space="preserve">du peuplement </w:t>
      </w:r>
      <w:r>
        <w:t xml:space="preserve">est relativement faible. Pour l’analyse des traits, nous ne retenons ici que les éléments les plus pertinents pour expliquer l’évaluation en qualité moyenne. Ainsi, la station, d’après la nature de son peuplement faunistique, a une valeur saprobiale comprise entre  oligosaprobe  et </w:t>
      </w:r>
      <w:r w:rsidRPr="00FF3D5C">
        <w:rPr>
          <w:rFonts w:ascii="Symbol" w:hAnsi="Symbol"/>
        </w:rPr>
        <w:t></w:t>
      </w:r>
      <w:r>
        <w:t>-mésosaprobe, ce qui indique une pollution organique faible à moyenne, provenant sans doute d’effluents domestiques de quelques habitations en amont. Ceci est confirmé par la pollu</w:t>
      </w:r>
      <w:r w:rsidR="00002EE9">
        <w:t>o</w:t>
      </w:r>
      <w:r>
        <w:t>sen</w:t>
      </w:r>
      <w:r w:rsidR="003B102D">
        <w:t xml:space="preserve">sibilité globale située entre moyenne et faible. Par contre, la majorité des taxons ont une respiration branchiale, ce qui montre une bonne oxygénation de l’eau. </w:t>
      </w:r>
      <w:r w:rsidR="003B102D">
        <w:lastRenderedPageBreak/>
        <w:t xml:space="preserve">Les modes d’alimentation et les ressources alimentaires sont variés et le statut trophique de la station se situe entre oligotrophe et mésotrophe. Enfin, la durée du cycle vital, supérieure à 1 an, indique une stabilité des conditions environnementales. </w:t>
      </w:r>
    </w:p>
    <w:p w14:paraId="4888859A" w14:textId="77777777" w:rsidR="00FF3D5C" w:rsidRDefault="003B102D" w:rsidP="00FF3D5C">
      <w:pPr>
        <w:jc w:val="both"/>
      </w:pPr>
      <w:r>
        <w:t xml:space="preserve">L’ensemble de ces traits montre une situation peu perturbée, correspondant à une bonne qualité physico-chimique pour les facteurs déterminant les potentialités biologiques </w:t>
      </w:r>
      <w:r w:rsidR="00906AD7">
        <w:t xml:space="preserve">(oxygène, matières organiques, nutriments) et à une bonne stabilité des conditions environnementales. Par contre, la station présente un peuplement plus caractéristique de l’ « épipotamon », c’est-à-dire de rivières de plaine à courant plus lent et </w:t>
      </w:r>
      <w:r w:rsidR="000B153B">
        <w:t xml:space="preserve">de </w:t>
      </w:r>
      <w:r w:rsidR="00906AD7">
        <w:t xml:space="preserve">profondeur plus grande que dans un petit cours d’eau faisant partie du « métarithron ». La nature des substrats préférés par les macroinvertébrés de la station est peu variée (graviers et branches/racines), ce qui indique la raison principale pour laquelle le peuplement est peu diversifié. </w:t>
      </w:r>
      <w:r w:rsidR="00806C33">
        <w:t xml:space="preserve">En fait, la particularité de cette station est que les dépôts de tuf calcaires sont très importants et constituent l’essentiel du fond de la rivière. De plus, les travertins très développés constituent des barrages qui ralentissent le courant et augmentent la profondeur. </w:t>
      </w:r>
    </w:p>
    <w:p w14:paraId="387A2F93" w14:textId="77777777" w:rsidR="003258BC" w:rsidRDefault="003258BC" w:rsidP="00932745">
      <w:pPr>
        <w:pStyle w:val="Paragraphedeliste"/>
        <w:numPr>
          <w:ilvl w:val="1"/>
          <w:numId w:val="3"/>
        </w:numPr>
        <w:jc w:val="both"/>
      </w:pPr>
      <w:r>
        <w:t>Analyse des prélèments des 4 stations du Hoyoux (H1 et H5) et du Triffoy (T3 et T6)</w:t>
      </w:r>
      <w:r w:rsidR="00932745">
        <w:t xml:space="preserve">. </w:t>
      </w:r>
    </w:p>
    <w:p w14:paraId="500ED800" w14:textId="4E11870A" w:rsidR="00BC1ABF" w:rsidRDefault="00BC1ABF" w:rsidP="00932745">
      <w:pPr>
        <w:jc w:val="both"/>
      </w:pPr>
      <w:r>
        <w:t xml:space="preserve">2.2.1. Bilan établi par le </w:t>
      </w:r>
      <w:r w:rsidR="00B41E1F">
        <w:t>s</w:t>
      </w:r>
      <w:r>
        <w:t>ystème-expert</w:t>
      </w:r>
    </w:p>
    <w:p w14:paraId="54757758" w14:textId="4ABBFED7" w:rsidR="00BC1ABF" w:rsidRDefault="00BC1ABF" w:rsidP="00932745">
      <w:pPr>
        <w:jc w:val="both"/>
      </w:pPr>
      <w:r>
        <w:t>D’après ce bilan (tableau 3)</w:t>
      </w:r>
      <w:r w:rsidR="008217C9">
        <w:t>, les deux stations du Hoyoux peuvent être considérées comme en bon état</w:t>
      </w:r>
      <w:r w:rsidR="00EB3D81">
        <w:t>, même si la diversité biologique est moyenne et si une légère dégradation apparaît dans la station aval.</w:t>
      </w:r>
    </w:p>
    <w:p w14:paraId="20D86028" w14:textId="77777777" w:rsidR="008217C9" w:rsidRDefault="008217C9" w:rsidP="00932745">
      <w:pPr>
        <w:jc w:val="both"/>
      </w:pPr>
    </w:p>
    <w:p w14:paraId="27ED9096" w14:textId="248CDA9E" w:rsidR="008217C9" w:rsidRDefault="008217C9" w:rsidP="00932745">
      <w:pPr>
        <w:jc w:val="both"/>
      </w:pPr>
      <w:r>
        <w:t>Tableau 3 : Evaluation de la diversité et l’IBGN dans les stations du Hoyoux et du Triffoy (prélèvements d’avril 2014). Q : indice de diversité de Shannon-Weaver ; S : richesse taxonomique ; H’ : équitabilité ; J’</w:t>
      </w:r>
      <w:r w:rsidR="009804E5">
        <w:t xml:space="preserve"> Indice de Pielou.</w:t>
      </w:r>
      <w:r>
        <w:t xml:space="preserve"> </w:t>
      </w:r>
      <w:r w:rsidR="00A12639">
        <w:t>Les trois évaluations de la diversité concernent la diversité des</w:t>
      </w:r>
      <w:r w:rsidR="009804E5">
        <w:t xml:space="preserve"> traits biologiques</w:t>
      </w:r>
      <w:r w:rsidR="00A12639">
        <w:t xml:space="preserve"> ou écologiques et la diversité taxonomique. </w:t>
      </w:r>
    </w:p>
    <w:tbl>
      <w:tblPr>
        <w:tblW w:w="7073" w:type="dxa"/>
        <w:tblInd w:w="55" w:type="dxa"/>
        <w:tblCellMar>
          <w:left w:w="70" w:type="dxa"/>
          <w:right w:w="70" w:type="dxa"/>
        </w:tblCellMar>
        <w:tblLook w:val="04A0" w:firstRow="1" w:lastRow="0" w:firstColumn="1" w:lastColumn="0" w:noHBand="0" w:noVBand="1"/>
      </w:tblPr>
      <w:tblGrid>
        <w:gridCol w:w="146"/>
        <w:gridCol w:w="2819"/>
        <w:gridCol w:w="785"/>
        <w:gridCol w:w="323"/>
        <w:gridCol w:w="500"/>
        <w:gridCol w:w="500"/>
        <w:gridCol w:w="500"/>
        <w:gridCol w:w="500"/>
        <w:gridCol w:w="500"/>
        <w:gridCol w:w="500"/>
      </w:tblGrid>
      <w:tr w:rsidR="00BC1ABF" w:rsidRPr="00EB3D81" w14:paraId="31793E10" w14:textId="77777777" w:rsidTr="008217C9">
        <w:trPr>
          <w:trHeight w:val="240"/>
        </w:trPr>
        <w:tc>
          <w:tcPr>
            <w:tcW w:w="4073" w:type="dxa"/>
            <w:gridSpan w:val="4"/>
            <w:tcBorders>
              <w:top w:val="nil"/>
              <w:left w:val="nil"/>
              <w:bottom w:val="nil"/>
              <w:right w:val="nil"/>
            </w:tcBorders>
            <w:shd w:val="clear" w:color="auto" w:fill="auto"/>
            <w:noWrap/>
            <w:vAlign w:val="bottom"/>
            <w:hideMark/>
          </w:tcPr>
          <w:p w14:paraId="4B7EC879" w14:textId="59DDAECF" w:rsidR="008217C9" w:rsidRPr="00EB3D81" w:rsidRDefault="008217C9" w:rsidP="00EB3D81">
            <w:pPr>
              <w:spacing w:after="0" w:line="240" w:lineRule="auto"/>
              <w:rPr>
                <w:rFonts w:asciiTheme="majorHAnsi" w:eastAsia="Times New Roman" w:hAnsiTheme="majorHAnsi" w:cs="Arial"/>
                <w:b/>
                <w:bCs/>
                <w:sz w:val="20"/>
                <w:szCs w:val="20"/>
                <w:lang w:eastAsia="fr-BE"/>
              </w:rPr>
            </w:pPr>
            <w:r w:rsidRPr="00EB3D81">
              <w:rPr>
                <w:rFonts w:asciiTheme="majorHAnsi" w:eastAsia="Times New Roman" w:hAnsiTheme="majorHAnsi" w:cs="Arial"/>
                <w:b/>
                <w:bCs/>
                <w:sz w:val="20"/>
                <w:szCs w:val="20"/>
                <w:lang w:eastAsia="fr-BE"/>
              </w:rPr>
              <w:t>Hoyoux amont</w:t>
            </w:r>
          </w:p>
          <w:p w14:paraId="39758869" w14:textId="5819A75D" w:rsidR="00BC1ABF" w:rsidRPr="00EB3D81" w:rsidRDefault="00BC1ABF" w:rsidP="00EB3D81">
            <w:pPr>
              <w:spacing w:after="0" w:line="240" w:lineRule="auto"/>
              <w:jc w:val="center"/>
              <w:rPr>
                <w:rFonts w:asciiTheme="majorHAnsi" w:eastAsia="Times New Roman" w:hAnsiTheme="majorHAnsi" w:cs="Arial"/>
                <w:bCs/>
                <w:sz w:val="20"/>
                <w:szCs w:val="20"/>
                <w:lang w:eastAsia="fr-BE"/>
              </w:rPr>
            </w:pPr>
            <w:r w:rsidRPr="00EB3D81">
              <w:rPr>
                <w:rFonts w:asciiTheme="majorHAnsi" w:eastAsia="Times New Roman" w:hAnsiTheme="majorHAnsi" w:cs="Arial"/>
                <w:bCs/>
                <w:sz w:val="20"/>
                <w:szCs w:val="20"/>
                <w:lang w:eastAsia="fr-BE"/>
              </w:rPr>
              <w:t>Évaluation de la diversité biologique</w:t>
            </w:r>
          </w:p>
        </w:tc>
        <w:tc>
          <w:tcPr>
            <w:tcW w:w="500" w:type="dxa"/>
            <w:tcBorders>
              <w:top w:val="nil"/>
              <w:left w:val="nil"/>
              <w:bottom w:val="nil"/>
              <w:right w:val="nil"/>
            </w:tcBorders>
            <w:shd w:val="clear" w:color="auto" w:fill="auto"/>
            <w:noWrap/>
            <w:vAlign w:val="bottom"/>
            <w:hideMark/>
          </w:tcPr>
          <w:p w14:paraId="6CFF062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E9BD02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A8C19E5"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BCA177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2F42A8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C10F44E"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r>
      <w:tr w:rsidR="00BC1ABF" w:rsidRPr="00EB3D81" w14:paraId="36C465DC" w14:textId="77777777" w:rsidTr="008217C9">
        <w:trPr>
          <w:trHeight w:val="240"/>
        </w:trPr>
        <w:tc>
          <w:tcPr>
            <w:tcW w:w="146" w:type="dxa"/>
            <w:tcBorders>
              <w:top w:val="nil"/>
              <w:left w:val="nil"/>
              <w:bottom w:val="nil"/>
              <w:right w:val="nil"/>
            </w:tcBorders>
            <w:shd w:val="clear" w:color="auto" w:fill="auto"/>
            <w:noWrap/>
            <w:vAlign w:val="bottom"/>
            <w:hideMark/>
          </w:tcPr>
          <w:p w14:paraId="134EAAAE"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4BF697E6"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785" w:type="dxa"/>
            <w:tcBorders>
              <w:top w:val="nil"/>
              <w:left w:val="nil"/>
              <w:bottom w:val="nil"/>
              <w:right w:val="nil"/>
            </w:tcBorders>
            <w:shd w:val="clear" w:color="auto" w:fill="auto"/>
            <w:noWrap/>
            <w:vAlign w:val="bottom"/>
            <w:hideMark/>
          </w:tcPr>
          <w:p w14:paraId="4E2E1F5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nil"/>
              <w:bottom w:val="nil"/>
              <w:right w:val="nil"/>
            </w:tcBorders>
            <w:shd w:val="clear" w:color="auto" w:fill="auto"/>
            <w:noWrap/>
            <w:vAlign w:val="bottom"/>
            <w:hideMark/>
          </w:tcPr>
          <w:p w14:paraId="5A75C6DD"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5B0032"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bookmarkStart w:id="0" w:name="RANGE!AA22"/>
            <w:r w:rsidRPr="00EB3D81">
              <w:rPr>
                <w:rFonts w:asciiTheme="majorHAnsi" w:eastAsia="Times New Roman" w:hAnsiTheme="majorHAnsi" w:cs="Arial"/>
                <w:sz w:val="20"/>
                <w:szCs w:val="20"/>
                <w:lang w:eastAsia="fr-BE"/>
              </w:rPr>
              <w:t>1</w:t>
            </w:r>
            <w:bookmarkEnd w:id="0"/>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05237E4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000000" w:fill="FFFF00"/>
            <w:noWrap/>
            <w:vAlign w:val="bottom"/>
            <w:hideMark/>
          </w:tcPr>
          <w:p w14:paraId="3DB0CE1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42DF808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352A705"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64DE147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46FEE56E" w14:textId="77777777" w:rsidTr="008217C9">
        <w:trPr>
          <w:trHeight w:val="240"/>
        </w:trPr>
        <w:tc>
          <w:tcPr>
            <w:tcW w:w="4073" w:type="dxa"/>
            <w:gridSpan w:val="4"/>
            <w:tcBorders>
              <w:top w:val="nil"/>
              <w:left w:val="nil"/>
              <w:bottom w:val="nil"/>
              <w:right w:val="nil"/>
            </w:tcBorders>
            <w:shd w:val="clear" w:color="auto" w:fill="auto"/>
            <w:noWrap/>
            <w:vAlign w:val="bottom"/>
            <w:hideMark/>
          </w:tcPr>
          <w:p w14:paraId="264C1A9F" w14:textId="6B366FC0" w:rsidR="00BC1ABF" w:rsidRPr="00EB3D81" w:rsidRDefault="00BC1ABF" w:rsidP="00EB3D81">
            <w:pPr>
              <w:spacing w:after="0" w:line="240" w:lineRule="auto"/>
              <w:jc w:val="center"/>
              <w:rPr>
                <w:rFonts w:asciiTheme="majorHAnsi" w:eastAsia="Times New Roman" w:hAnsiTheme="majorHAnsi" w:cs="Arial"/>
                <w:bCs/>
                <w:sz w:val="20"/>
                <w:szCs w:val="20"/>
                <w:lang w:eastAsia="fr-BE"/>
              </w:rPr>
            </w:pPr>
            <w:r w:rsidRPr="00EB3D81">
              <w:rPr>
                <w:rFonts w:asciiTheme="majorHAnsi" w:eastAsia="Times New Roman" w:hAnsiTheme="majorHAnsi" w:cs="Arial"/>
                <w:bCs/>
                <w:sz w:val="20"/>
                <w:szCs w:val="20"/>
                <w:lang w:eastAsia="fr-BE"/>
              </w:rPr>
              <w:t>Évaluation de la diversité écologique</w:t>
            </w:r>
          </w:p>
        </w:tc>
        <w:tc>
          <w:tcPr>
            <w:tcW w:w="500" w:type="dxa"/>
            <w:tcBorders>
              <w:top w:val="nil"/>
              <w:left w:val="nil"/>
              <w:bottom w:val="nil"/>
              <w:right w:val="nil"/>
            </w:tcBorders>
            <w:shd w:val="clear" w:color="auto" w:fill="auto"/>
            <w:noWrap/>
            <w:vAlign w:val="bottom"/>
            <w:hideMark/>
          </w:tcPr>
          <w:p w14:paraId="50A60D9E"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D6547A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17AC90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E7EF8F1"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482128DE"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B29A07E"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r>
      <w:tr w:rsidR="00BC1ABF" w:rsidRPr="00EB3D81" w14:paraId="5475DEE1" w14:textId="77777777" w:rsidTr="008217C9">
        <w:trPr>
          <w:trHeight w:val="240"/>
        </w:trPr>
        <w:tc>
          <w:tcPr>
            <w:tcW w:w="146" w:type="dxa"/>
            <w:tcBorders>
              <w:top w:val="nil"/>
              <w:left w:val="nil"/>
              <w:bottom w:val="nil"/>
              <w:right w:val="nil"/>
            </w:tcBorders>
            <w:shd w:val="clear" w:color="auto" w:fill="auto"/>
            <w:noWrap/>
            <w:vAlign w:val="bottom"/>
            <w:hideMark/>
          </w:tcPr>
          <w:p w14:paraId="3BB476C4"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153D13D3"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785" w:type="dxa"/>
            <w:tcBorders>
              <w:top w:val="nil"/>
              <w:left w:val="nil"/>
              <w:bottom w:val="nil"/>
              <w:right w:val="nil"/>
            </w:tcBorders>
            <w:shd w:val="clear" w:color="auto" w:fill="auto"/>
            <w:noWrap/>
            <w:vAlign w:val="bottom"/>
            <w:hideMark/>
          </w:tcPr>
          <w:p w14:paraId="632E383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nil"/>
              <w:bottom w:val="nil"/>
              <w:right w:val="nil"/>
            </w:tcBorders>
            <w:shd w:val="clear" w:color="auto" w:fill="auto"/>
            <w:noWrap/>
            <w:vAlign w:val="bottom"/>
            <w:hideMark/>
          </w:tcPr>
          <w:p w14:paraId="7F2FFA35"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9ECE1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bookmarkStart w:id="1" w:name="RANGE!AA25"/>
            <w:r w:rsidRPr="00EB3D81">
              <w:rPr>
                <w:rFonts w:asciiTheme="majorHAnsi" w:eastAsia="Times New Roman" w:hAnsiTheme="majorHAnsi" w:cs="Arial"/>
                <w:sz w:val="20"/>
                <w:szCs w:val="20"/>
                <w:lang w:eastAsia="fr-BE"/>
              </w:rPr>
              <w:t>1</w:t>
            </w:r>
            <w:bookmarkEnd w:id="1"/>
          </w:p>
        </w:tc>
        <w:tc>
          <w:tcPr>
            <w:tcW w:w="500" w:type="dxa"/>
            <w:tcBorders>
              <w:top w:val="single" w:sz="8" w:space="0" w:color="auto"/>
              <w:left w:val="nil"/>
              <w:bottom w:val="single" w:sz="8" w:space="0" w:color="auto"/>
              <w:right w:val="single" w:sz="8" w:space="0" w:color="auto"/>
            </w:tcBorders>
            <w:shd w:val="clear" w:color="000000" w:fill="00FF00"/>
            <w:noWrap/>
            <w:vAlign w:val="bottom"/>
            <w:hideMark/>
          </w:tcPr>
          <w:p w14:paraId="5D555EE3"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F26012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60073B7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08024B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1F0D189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4D4414E6" w14:textId="77777777" w:rsidTr="008217C9">
        <w:trPr>
          <w:trHeight w:val="240"/>
        </w:trPr>
        <w:tc>
          <w:tcPr>
            <w:tcW w:w="4573" w:type="dxa"/>
            <w:gridSpan w:val="5"/>
            <w:tcBorders>
              <w:top w:val="nil"/>
              <w:left w:val="nil"/>
              <w:bottom w:val="nil"/>
              <w:right w:val="nil"/>
            </w:tcBorders>
            <w:shd w:val="clear" w:color="auto" w:fill="auto"/>
            <w:noWrap/>
            <w:vAlign w:val="bottom"/>
            <w:hideMark/>
          </w:tcPr>
          <w:p w14:paraId="27BFECF0" w14:textId="226A1835" w:rsidR="00BC1ABF" w:rsidRPr="00EB3D81" w:rsidRDefault="00BC1ABF" w:rsidP="00EB3D81">
            <w:pPr>
              <w:spacing w:after="0" w:line="240" w:lineRule="auto"/>
              <w:jc w:val="center"/>
              <w:rPr>
                <w:rFonts w:asciiTheme="majorHAnsi" w:eastAsia="Times New Roman" w:hAnsiTheme="majorHAnsi" w:cs="Arial"/>
                <w:bCs/>
                <w:sz w:val="20"/>
                <w:szCs w:val="20"/>
                <w:lang w:eastAsia="fr-BE"/>
              </w:rPr>
            </w:pPr>
            <w:r w:rsidRPr="00EB3D81">
              <w:rPr>
                <w:rFonts w:asciiTheme="majorHAnsi" w:eastAsia="Times New Roman" w:hAnsiTheme="majorHAnsi" w:cs="Arial"/>
                <w:bCs/>
                <w:sz w:val="20"/>
                <w:szCs w:val="20"/>
                <w:lang w:eastAsia="fr-BE"/>
              </w:rPr>
              <w:t>Description de la structure taxonomique</w:t>
            </w:r>
          </w:p>
        </w:tc>
        <w:tc>
          <w:tcPr>
            <w:tcW w:w="500" w:type="dxa"/>
            <w:tcBorders>
              <w:top w:val="nil"/>
              <w:left w:val="nil"/>
              <w:bottom w:val="nil"/>
              <w:right w:val="nil"/>
            </w:tcBorders>
            <w:shd w:val="clear" w:color="auto" w:fill="auto"/>
            <w:noWrap/>
            <w:vAlign w:val="bottom"/>
            <w:hideMark/>
          </w:tcPr>
          <w:p w14:paraId="08F17714"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271DD1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53C406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37FA955"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38FC34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r>
      <w:tr w:rsidR="00BC1ABF" w:rsidRPr="00EB3D81" w14:paraId="2DB688F4" w14:textId="77777777" w:rsidTr="008217C9">
        <w:trPr>
          <w:trHeight w:val="240"/>
        </w:trPr>
        <w:tc>
          <w:tcPr>
            <w:tcW w:w="146" w:type="dxa"/>
            <w:tcBorders>
              <w:top w:val="nil"/>
              <w:left w:val="nil"/>
              <w:bottom w:val="nil"/>
              <w:right w:val="nil"/>
            </w:tcBorders>
            <w:shd w:val="clear" w:color="auto" w:fill="auto"/>
            <w:noWrap/>
            <w:vAlign w:val="bottom"/>
            <w:hideMark/>
          </w:tcPr>
          <w:p w14:paraId="47E290AC"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59D4FD82"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liste globale (station)</w:t>
            </w:r>
          </w:p>
        </w:tc>
        <w:tc>
          <w:tcPr>
            <w:tcW w:w="785" w:type="dxa"/>
            <w:tcBorders>
              <w:top w:val="nil"/>
              <w:left w:val="nil"/>
              <w:bottom w:val="nil"/>
              <w:right w:val="nil"/>
            </w:tcBorders>
            <w:shd w:val="clear" w:color="auto" w:fill="auto"/>
            <w:noWrap/>
            <w:vAlign w:val="bottom"/>
            <w:hideMark/>
          </w:tcPr>
          <w:p w14:paraId="5B0E5B1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C851C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Q</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FF6E8E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000000" w:fill="00FF00"/>
            <w:noWrap/>
            <w:vAlign w:val="bottom"/>
            <w:hideMark/>
          </w:tcPr>
          <w:p w14:paraId="2E51F867"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9B36561"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2450B8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7DD863AD"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7174ED0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408564C9" w14:textId="77777777" w:rsidTr="008217C9">
        <w:trPr>
          <w:trHeight w:val="240"/>
        </w:trPr>
        <w:tc>
          <w:tcPr>
            <w:tcW w:w="146" w:type="dxa"/>
            <w:tcBorders>
              <w:top w:val="nil"/>
              <w:left w:val="nil"/>
              <w:bottom w:val="nil"/>
              <w:right w:val="nil"/>
            </w:tcBorders>
            <w:shd w:val="clear" w:color="auto" w:fill="auto"/>
            <w:noWrap/>
            <w:vAlign w:val="bottom"/>
            <w:hideMark/>
          </w:tcPr>
          <w:p w14:paraId="4EB0B6E8"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6C65B9F2"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785" w:type="dxa"/>
            <w:tcBorders>
              <w:top w:val="nil"/>
              <w:left w:val="nil"/>
              <w:bottom w:val="nil"/>
              <w:right w:val="nil"/>
            </w:tcBorders>
            <w:shd w:val="clear" w:color="auto" w:fill="auto"/>
            <w:noWrap/>
            <w:vAlign w:val="bottom"/>
            <w:hideMark/>
          </w:tcPr>
          <w:p w14:paraId="159B66B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single" w:sz="8" w:space="0" w:color="auto"/>
              <w:bottom w:val="single" w:sz="8" w:space="0" w:color="auto"/>
              <w:right w:val="single" w:sz="8" w:space="0" w:color="auto"/>
            </w:tcBorders>
            <w:shd w:val="clear" w:color="auto" w:fill="auto"/>
            <w:noWrap/>
            <w:vAlign w:val="bottom"/>
            <w:hideMark/>
          </w:tcPr>
          <w:p w14:paraId="05BF2577"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S</w:t>
            </w:r>
          </w:p>
        </w:tc>
        <w:tc>
          <w:tcPr>
            <w:tcW w:w="500" w:type="dxa"/>
            <w:tcBorders>
              <w:top w:val="nil"/>
              <w:left w:val="nil"/>
              <w:bottom w:val="single" w:sz="8" w:space="0" w:color="auto"/>
              <w:right w:val="single" w:sz="8" w:space="0" w:color="auto"/>
            </w:tcBorders>
            <w:shd w:val="clear" w:color="auto" w:fill="auto"/>
            <w:noWrap/>
            <w:vAlign w:val="bottom"/>
            <w:hideMark/>
          </w:tcPr>
          <w:p w14:paraId="110CEA33"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000000" w:fill="00FF00"/>
            <w:noWrap/>
            <w:vAlign w:val="bottom"/>
            <w:hideMark/>
          </w:tcPr>
          <w:p w14:paraId="37816132"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auto" w:fill="auto"/>
            <w:noWrap/>
            <w:vAlign w:val="bottom"/>
            <w:hideMark/>
          </w:tcPr>
          <w:p w14:paraId="797A9D9E"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6FFDAA2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7175D92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5118D3E2"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37F2A5EE" w14:textId="77777777" w:rsidTr="008217C9">
        <w:trPr>
          <w:trHeight w:val="240"/>
        </w:trPr>
        <w:tc>
          <w:tcPr>
            <w:tcW w:w="146" w:type="dxa"/>
            <w:tcBorders>
              <w:top w:val="nil"/>
              <w:left w:val="nil"/>
              <w:bottom w:val="nil"/>
              <w:right w:val="nil"/>
            </w:tcBorders>
            <w:shd w:val="clear" w:color="auto" w:fill="auto"/>
            <w:noWrap/>
            <w:vAlign w:val="bottom"/>
            <w:hideMark/>
          </w:tcPr>
          <w:p w14:paraId="58784B22"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19E74892"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785" w:type="dxa"/>
            <w:tcBorders>
              <w:top w:val="nil"/>
              <w:left w:val="nil"/>
              <w:bottom w:val="nil"/>
              <w:right w:val="nil"/>
            </w:tcBorders>
            <w:shd w:val="clear" w:color="auto" w:fill="auto"/>
            <w:noWrap/>
            <w:vAlign w:val="bottom"/>
            <w:hideMark/>
          </w:tcPr>
          <w:p w14:paraId="58D7CE1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single" w:sz="8" w:space="0" w:color="auto"/>
              <w:bottom w:val="single" w:sz="8" w:space="0" w:color="auto"/>
              <w:right w:val="single" w:sz="8" w:space="0" w:color="auto"/>
            </w:tcBorders>
            <w:shd w:val="clear" w:color="auto" w:fill="auto"/>
            <w:noWrap/>
            <w:vAlign w:val="bottom"/>
            <w:hideMark/>
          </w:tcPr>
          <w:p w14:paraId="6A0B673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H'</w:t>
            </w:r>
          </w:p>
        </w:tc>
        <w:tc>
          <w:tcPr>
            <w:tcW w:w="500" w:type="dxa"/>
            <w:tcBorders>
              <w:top w:val="nil"/>
              <w:left w:val="nil"/>
              <w:bottom w:val="single" w:sz="8" w:space="0" w:color="auto"/>
              <w:right w:val="single" w:sz="8" w:space="0" w:color="auto"/>
            </w:tcBorders>
            <w:shd w:val="clear" w:color="auto" w:fill="auto"/>
            <w:noWrap/>
            <w:vAlign w:val="bottom"/>
            <w:hideMark/>
          </w:tcPr>
          <w:p w14:paraId="528438D2"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000000" w:fill="00FF00"/>
            <w:noWrap/>
            <w:vAlign w:val="bottom"/>
            <w:hideMark/>
          </w:tcPr>
          <w:p w14:paraId="3584A9D4"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auto" w:fill="auto"/>
            <w:noWrap/>
            <w:vAlign w:val="bottom"/>
            <w:hideMark/>
          </w:tcPr>
          <w:p w14:paraId="3D74062E"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271DD63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3EB0156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04331D2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43303C50" w14:textId="77777777" w:rsidTr="008217C9">
        <w:trPr>
          <w:trHeight w:val="240"/>
        </w:trPr>
        <w:tc>
          <w:tcPr>
            <w:tcW w:w="146" w:type="dxa"/>
            <w:tcBorders>
              <w:top w:val="nil"/>
              <w:left w:val="nil"/>
              <w:bottom w:val="nil"/>
              <w:right w:val="nil"/>
            </w:tcBorders>
            <w:shd w:val="clear" w:color="auto" w:fill="auto"/>
            <w:noWrap/>
            <w:vAlign w:val="bottom"/>
            <w:hideMark/>
          </w:tcPr>
          <w:p w14:paraId="72D474D9"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5B939D6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785" w:type="dxa"/>
            <w:tcBorders>
              <w:top w:val="nil"/>
              <w:left w:val="nil"/>
              <w:bottom w:val="nil"/>
              <w:right w:val="nil"/>
            </w:tcBorders>
            <w:shd w:val="clear" w:color="auto" w:fill="auto"/>
            <w:noWrap/>
            <w:vAlign w:val="bottom"/>
            <w:hideMark/>
          </w:tcPr>
          <w:p w14:paraId="490B03FD"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single" w:sz="8" w:space="0" w:color="auto"/>
              <w:bottom w:val="single" w:sz="8" w:space="0" w:color="auto"/>
              <w:right w:val="single" w:sz="8" w:space="0" w:color="auto"/>
            </w:tcBorders>
            <w:shd w:val="clear" w:color="auto" w:fill="auto"/>
            <w:noWrap/>
            <w:vAlign w:val="bottom"/>
            <w:hideMark/>
          </w:tcPr>
          <w:p w14:paraId="46A4CCE3"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J'</w:t>
            </w:r>
          </w:p>
        </w:tc>
        <w:tc>
          <w:tcPr>
            <w:tcW w:w="500" w:type="dxa"/>
            <w:tcBorders>
              <w:top w:val="nil"/>
              <w:left w:val="nil"/>
              <w:bottom w:val="single" w:sz="8" w:space="0" w:color="auto"/>
              <w:right w:val="single" w:sz="8" w:space="0" w:color="auto"/>
            </w:tcBorders>
            <w:shd w:val="clear" w:color="auto" w:fill="auto"/>
            <w:noWrap/>
            <w:vAlign w:val="bottom"/>
            <w:hideMark/>
          </w:tcPr>
          <w:p w14:paraId="3B55015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auto" w:fill="auto"/>
            <w:noWrap/>
            <w:vAlign w:val="bottom"/>
            <w:hideMark/>
          </w:tcPr>
          <w:p w14:paraId="472187D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000000" w:fill="FFFF00"/>
            <w:noWrap/>
            <w:vAlign w:val="bottom"/>
            <w:hideMark/>
          </w:tcPr>
          <w:p w14:paraId="6C658BD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0EB2823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71391F3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376F482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4EBA9743" w14:textId="77777777" w:rsidTr="008217C9">
        <w:trPr>
          <w:trHeight w:val="240"/>
        </w:trPr>
        <w:tc>
          <w:tcPr>
            <w:tcW w:w="146" w:type="dxa"/>
            <w:tcBorders>
              <w:top w:val="nil"/>
              <w:left w:val="nil"/>
              <w:bottom w:val="nil"/>
              <w:right w:val="nil"/>
            </w:tcBorders>
            <w:shd w:val="clear" w:color="auto" w:fill="auto"/>
            <w:noWrap/>
            <w:vAlign w:val="bottom"/>
            <w:hideMark/>
          </w:tcPr>
          <w:p w14:paraId="084A9397"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300CBA95"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785" w:type="dxa"/>
            <w:tcBorders>
              <w:top w:val="nil"/>
              <w:left w:val="nil"/>
              <w:bottom w:val="nil"/>
              <w:right w:val="nil"/>
            </w:tcBorders>
            <w:shd w:val="clear" w:color="auto" w:fill="auto"/>
            <w:noWrap/>
            <w:vAlign w:val="bottom"/>
            <w:hideMark/>
          </w:tcPr>
          <w:p w14:paraId="735EBED7"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nil"/>
              <w:bottom w:val="nil"/>
              <w:right w:val="nil"/>
            </w:tcBorders>
            <w:shd w:val="clear" w:color="auto" w:fill="auto"/>
            <w:noWrap/>
            <w:vAlign w:val="bottom"/>
            <w:hideMark/>
          </w:tcPr>
          <w:p w14:paraId="14CC40B5"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ADB2A4E"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44F2E84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5C59BA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8F1F1F1"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4DBB04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2B07364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r>
      <w:tr w:rsidR="00BC1ABF" w:rsidRPr="00EB3D81" w14:paraId="640B2CA0" w14:textId="77777777" w:rsidTr="008217C9">
        <w:trPr>
          <w:trHeight w:val="240"/>
        </w:trPr>
        <w:tc>
          <w:tcPr>
            <w:tcW w:w="146" w:type="dxa"/>
            <w:tcBorders>
              <w:top w:val="nil"/>
              <w:left w:val="nil"/>
              <w:bottom w:val="nil"/>
              <w:right w:val="nil"/>
            </w:tcBorders>
            <w:shd w:val="clear" w:color="auto" w:fill="auto"/>
            <w:noWrap/>
            <w:vAlign w:val="bottom"/>
            <w:hideMark/>
          </w:tcPr>
          <w:p w14:paraId="6749D222"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160F58AB"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785" w:type="dxa"/>
            <w:tcBorders>
              <w:top w:val="nil"/>
              <w:left w:val="nil"/>
              <w:bottom w:val="nil"/>
              <w:right w:val="nil"/>
            </w:tcBorders>
            <w:shd w:val="clear" w:color="auto" w:fill="auto"/>
            <w:noWrap/>
            <w:vAlign w:val="bottom"/>
            <w:hideMark/>
          </w:tcPr>
          <w:p w14:paraId="65C94454"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IBGN</w:t>
            </w:r>
          </w:p>
        </w:tc>
        <w:tc>
          <w:tcPr>
            <w:tcW w:w="323" w:type="dxa"/>
            <w:tcBorders>
              <w:top w:val="nil"/>
              <w:left w:val="nil"/>
              <w:bottom w:val="nil"/>
              <w:right w:val="nil"/>
            </w:tcBorders>
            <w:shd w:val="clear" w:color="auto" w:fill="auto"/>
            <w:noWrap/>
            <w:vAlign w:val="bottom"/>
            <w:hideMark/>
          </w:tcPr>
          <w:p w14:paraId="754F2AC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29BD9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bookmarkStart w:id="2" w:name="RANGE!AA34"/>
            <w:r w:rsidRPr="00EB3D81">
              <w:rPr>
                <w:rFonts w:asciiTheme="majorHAnsi" w:eastAsia="Times New Roman" w:hAnsiTheme="majorHAnsi" w:cs="Arial"/>
                <w:sz w:val="20"/>
                <w:szCs w:val="20"/>
                <w:lang w:eastAsia="fr-BE"/>
              </w:rPr>
              <w:t>1</w:t>
            </w:r>
            <w:bookmarkEnd w:id="2"/>
          </w:p>
        </w:tc>
        <w:tc>
          <w:tcPr>
            <w:tcW w:w="500" w:type="dxa"/>
            <w:tcBorders>
              <w:top w:val="single" w:sz="8" w:space="0" w:color="auto"/>
              <w:left w:val="nil"/>
              <w:bottom w:val="single" w:sz="8" w:space="0" w:color="auto"/>
              <w:right w:val="single" w:sz="8" w:space="0" w:color="auto"/>
            </w:tcBorders>
            <w:shd w:val="clear" w:color="000000" w:fill="00FF00"/>
            <w:noWrap/>
            <w:vAlign w:val="bottom"/>
            <w:hideMark/>
          </w:tcPr>
          <w:p w14:paraId="515BD9E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4BC3FAE4"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387CD39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7CE551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31A3629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bl>
    <w:p w14:paraId="1BBBDF2D" w14:textId="4D2E47F7" w:rsidR="00BC1ABF" w:rsidRPr="00EB3D81" w:rsidRDefault="008217C9" w:rsidP="00EB3D81">
      <w:pPr>
        <w:spacing w:line="240" w:lineRule="auto"/>
        <w:rPr>
          <w:rFonts w:asciiTheme="majorHAnsi" w:hAnsiTheme="majorHAnsi"/>
          <w:b/>
          <w:sz w:val="20"/>
          <w:szCs w:val="20"/>
        </w:rPr>
      </w:pPr>
      <w:r w:rsidRPr="00EB3D81">
        <w:rPr>
          <w:rFonts w:asciiTheme="majorHAnsi" w:hAnsiTheme="majorHAnsi"/>
          <w:b/>
          <w:sz w:val="20"/>
          <w:szCs w:val="20"/>
        </w:rPr>
        <w:t>Hoyoux aval</w:t>
      </w:r>
    </w:p>
    <w:tbl>
      <w:tblPr>
        <w:tblW w:w="7006" w:type="dxa"/>
        <w:tblInd w:w="55" w:type="dxa"/>
        <w:tblCellMar>
          <w:left w:w="70" w:type="dxa"/>
          <w:right w:w="70" w:type="dxa"/>
        </w:tblCellMar>
        <w:tblLook w:val="04A0" w:firstRow="1" w:lastRow="0" w:firstColumn="1" w:lastColumn="0" w:noHBand="0" w:noVBand="1"/>
      </w:tblPr>
      <w:tblGrid>
        <w:gridCol w:w="146"/>
        <w:gridCol w:w="2767"/>
        <w:gridCol w:w="770"/>
        <w:gridCol w:w="323"/>
        <w:gridCol w:w="500"/>
        <w:gridCol w:w="500"/>
        <w:gridCol w:w="500"/>
        <w:gridCol w:w="500"/>
        <w:gridCol w:w="500"/>
        <w:gridCol w:w="500"/>
      </w:tblGrid>
      <w:tr w:rsidR="00BC1ABF" w:rsidRPr="00EB3D81" w14:paraId="12B90A49" w14:textId="77777777" w:rsidTr="008217C9">
        <w:trPr>
          <w:trHeight w:val="240"/>
        </w:trPr>
        <w:tc>
          <w:tcPr>
            <w:tcW w:w="4006" w:type="dxa"/>
            <w:gridSpan w:val="4"/>
            <w:tcBorders>
              <w:top w:val="nil"/>
              <w:left w:val="nil"/>
              <w:bottom w:val="nil"/>
              <w:right w:val="nil"/>
            </w:tcBorders>
            <w:shd w:val="clear" w:color="auto" w:fill="auto"/>
            <w:noWrap/>
            <w:vAlign w:val="bottom"/>
            <w:hideMark/>
          </w:tcPr>
          <w:p w14:paraId="3569DC96" w14:textId="42DD056B" w:rsidR="00BC1ABF" w:rsidRPr="00EB3D81" w:rsidRDefault="00BC1ABF" w:rsidP="00EB3D81">
            <w:pPr>
              <w:spacing w:after="0" w:line="240" w:lineRule="auto"/>
              <w:jc w:val="center"/>
              <w:rPr>
                <w:rFonts w:asciiTheme="majorHAnsi" w:eastAsia="Times New Roman" w:hAnsiTheme="majorHAnsi" w:cs="Arial"/>
                <w:bCs/>
                <w:sz w:val="20"/>
                <w:szCs w:val="20"/>
                <w:lang w:eastAsia="fr-BE"/>
              </w:rPr>
            </w:pPr>
            <w:r w:rsidRPr="00EB3D81">
              <w:rPr>
                <w:rFonts w:asciiTheme="majorHAnsi" w:eastAsia="Times New Roman" w:hAnsiTheme="majorHAnsi" w:cs="Arial"/>
                <w:bCs/>
                <w:sz w:val="20"/>
                <w:szCs w:val="20"/>
                <w:lang w:eastAsia="fr-BE"/>
              </w:rPr>
              <w:t>Évaluation de la diversité biologique</w:t>
            </w:r>
          </w:p>
        </w:tc>
        <w:tc>
          <w:tcPr>
            <w:tcW w:w="500" w:type="dxa"/>
            <w:tcBorders>
              <w:top w:val="nil"/>
              <w:left w:val="nil"/>
              <w:bottom w:val="nil"/>
              <w:right w:val="nil"/>
            </w:tcBorders>
            <w:shd w:val="clear" w:color="auto" w:fill="auto"/>
            <w:noWrap/>
            <w:vAlign w:val="bottom"/>
            <w:hideMark/>
          </w:tcPr>
          <w:p w14:paraId="39404042"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0EDEEAD"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2EA66B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2573950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E2A2FC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13788CA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r>
      <w:tr w:rsidR="00BC1ABF" w:rsidRPr="00EB3D81" w14:paraId="472ACF77" w14:textId="77777777" w:rsidTr="008217C9">
        <w:trPr>
          <w:trHeight w:val="240"/>
        </w:trPr>
        <w:tc>
          <w:tcPr>
            <w:tcW w:w="146" w:type="dxa"/>
            <w:tcBorders>
              <w:top w:val="nil"/>
              <w:left w:val="nil"/>
              <w:bottom w:val="nil"/>
              <w:right w:val="nil"/>
            </w:tcBorders>
            <w:shd w:val="clear" w:color="auto" w:fill="auto"/>
            <w:noWrap/>
            <w:vAlign w:val="bottom"/>
            <w:hideMark/>
          </w:tcPr>
          <w:p w14:paraId="5FCC52A8"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767" w:type="dxa"/>
            <w:tcBorders>
              <w:top w:val="nil"/>
              <w:left w:val="nil"/>
              <w:bottom w:val="nil"/>
              <w:right w:val="nil"/>
            </w:tcBorders>
            <w:shd w:val="clear" w:color="auto" w:fill="auto"/>
            <w:noWrap/>
            <w:vAlign w:val="bottom"/>
            <w:hideMark/>
          </w:tcPr>
          <w:p w14:paraId="3C8BE374"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770" w:type="dxa"/>
            <w:tcBorders>
              <w:top w:val="nil"/>
              <w:left w:val="nil"/>
              <w:bottom w:val="nil"/>
              <w:right w:val="nil"/>
            </w:tcBorders>
            <w:shd w:val="clear" w:color="auto" w:fill="auto"/>
            <w:noWrap/>
            <w:vAlign w:val="bottom"/>
            <w:hideMark/>
          </w:tcPr>
          <w:p w14:paraId="5DA1AC9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nil"/>
              <w:bottom w:val="nil"/>
              <w:right w:val="nil"/>
            </w:tcBorders>
            <w:shd w:val="clear" w:color="auto" w:fill="auto"/>
            <w:noWrap/>
            <w:vAlign w:val="bottom"/>
            <w:hideMark/>
          </w:tcPr>
          <w:p w14:paraId="1E67C3D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D13A3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EB43145"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000000" w:fill="FFFF00"/>
            <w:noWrap/>
            <w:vAlign w:val="bottom"/>
            <w:hideMark/>
          </w:tcPr>
          <w:p w14:paraId="51D2E84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324C455"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548CA5A1"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32BAE68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40941ABA" w14:textId="77777777" w:rsidTr="008217C9">
        <w:trPr>
          <w:trHeight w:val="240"/>
        </w:trPr>
        <w:tc>
          <w:tcPr>
            <w:tcW w:w="4006" w:type="dxa"/>
            <w:gridSpan w:val="4"/>
            <w:tcBorders>
              <w:top w:val="nil"/>
              <w:left w:val="nil"/>
              <w:bottom w:val="nil"/>
              <w:right w:val="nil"/>
            </w:tcBorders>
            <w:shd w:val="clear" w:color="auto" w:fill="auto"/>
            <w:noWrap/>
            <w:vAlign w:val="bottom"/>
            <w:hideMark/>
          </w:tcPr>
          <w:p w14:paraId="32794A05" w14:textId="3425A03B" w:rsidR="00BC1ABF" w:rsidRPr="00EB3D81" w:rsidRDefault="00BC1ABF" w:rsidP="00EB3D81">
            <w:pPr>
              <w:spacing w:after="0" w:line="240" w:lineRule="auto"/>
              <w:jc w:val="center"/>
              <w:rPr>
                <w:rFonts w:asciiTheme="majorHAnsi" w:eastAsia="Times New Roman" w:hAnsiTheme="majorHAnsi" w:cs="Arial"/>
                <w:bCs/>
                <w:sz w:val="20"/>
                <w:szCs w:val="20"/>
                <w:lang w:eastAsia="fr-BE"/>
              </w:rPr>
            </w:pPr>
            <w:r w:rsidRPr="00EB3D81">
              <w:rPr>
                <w:rFonts w:asciiTheme="majorHAnsi" w:eastAsia="Times New Roman" w:hAnsiTheme="majorHAnsi" w:cs="Arial"/>
                <w:bCs/>
                <w:sz w:val="20"/>
                <w:szCs w:val="20"/>
                <w:lang w:eastAsia="fr-BE"/>
              </w:rPr>
              <w:t>Évaluation de la diversité écologique</w:t>
            </w:r>
          </w:p>
        </w:tc>
        <w:tc>
          <w:tcPr>
            <w:tcW w:w="500" w:type="dxa"/>
            <w:tcBorders>
              <w:top w:val="nil"/>
              <w:left w:val="nil"/>
              <w:bottom w:val="nil"/>
              <w:right w:val="nil"/>
            </w:tcBorders>
            <w:shd w:val="clear" w:color="auto" w:fill="auto"/>
            <w:noWrap/>
            <w:vAlign w:val="bottom"/>
            <w:hideMark/>
          </w:tcPr>
          <w:p w14:paraId="72197B34"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6986E7A"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0D3307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0F604A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691DCEA3"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78D3E1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r>
      <w:tr w:rsidR="00BC1ABF" w:rsidRPr="00EB3D81" w14:paraId="59ACCB81" w14:textId="77777777" w:rsidTr="008217C9">
        <w:trPr>
          <w:trHeight w:val="240"/>
        </w:trPr>
        <w:tc>
          <w:tcPr>
            <w:tcW w:w="146" w:type="dxa"/>
            <w:tcBorders>
              <w:top w:val="nil"/>
              <w:left w:val="nil"/>
              <w:bottom w:val="nil"/>
              <w:right w:val="nil"/>
            </w:tcBorders>
            <w:shd w:val="clear" w:color="auto" w:fill="auto"/>
            <w:noWrap/>
            <w:vAlign w:val="bottom"/>
            <w:hideMark/>
          </w:tcPr>
          <w:p w14:paraId="0CD21CA7"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767" w:type="dxa"/>
            <w:tcBorders>
              <w:top w:val="nil"/>
              <w:left w:val="nil"/>
              <w:bottom w:val="nil"/>
              <w:right w:val="nil"/>
            </w:tcBorders>
            <w:shd w:val="clear" w:color="auto" w:fill="auto"/>
            <w:noWrap/>
            <w:vAlign w:val="bottom"/>
            <w:hideMark/>
          </w:tcPr>
          <w:p w14:paraId="73A1E64A"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770" w:type="dxa"/>
            <w:tcBorders>
              <w:top w:val="nil"/>
              <w:left w:val="nil"/>
              <w:bottom w:val="nil"/>
              <w:right w:val="nil"/>
            </w:tcBorders>
            <w:shd w:val="clear" w:color="auto" w:fill="auto"/>
            <w:noWrap/>
            <w:vAlign w:val="bottom"/>
            <w:hideMark/>
          </w:tcPr>
          <w:p w14:paraId="250CAAD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nil"/>
              <w:bottom w:val="nil"/>
              <w:right w:val="nil"/>
            </w:tcBorders>
            <w:shd w:val="clear" w:color="auto" w:fill="auto"/>
            <w:noWrap/>
            <w:vAlign w:val="bottom"/>
            <w:hideMark/>
          </w:tcPr>
          <w:p w14:paraId="720364B4"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3B42B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077BC4C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323976D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000000" w:fill="FF9900"/>
            <w:noWrap/>
            <w:vAlign w:val="bottom"/>
            <w:hideMark/>
          </w:tcPr>
          <w:p w14:paraId="618FE5F3"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687573B1"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7CE4340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0CABAE7D" w14:textId="77777777" w:rsidTr="008217C9">
        <w:trPr>
          <w:trHeight w:val="240"/>
        </w:trPr>
        <w:tc>
          <w:tcPr>
            <w:tcW w:w="4506" w:type="dxa"/>
            <w:gridSpan w:val="5"/>
            <w:tcBorders>
              <w:top w:val="nil"/>
              <w:left w:val="nil"/>
              <w:bottom w:val="nil"/>
              <w:right w:val="nil"/>
            </w:tcBorders>
            <w:shd w:val="clear" w:color="auto" w:fill="auto"/>
            <w:noWrap/>
            <w:vAlign w:val="bottom"/>
            <w:hideMark/>
          </w:tcPr>
          <w:p w14:paraId="13062C90" w14:textId="2280C06A" w:rsidR="00BC1ABF" w:rsidRPr="00EB3D81" w:rsidRDefault="00BC1ABF" w:rsidP="00EB3D81">
            <w:pPr>
              <w:spacing w:after="0" w:line="240" w:lineRule="auto"/>
              <w:jc w:val="center"/>
              <w:rPr>
                <w:rFonts w:asciiTheme="majorHAnsi" w:eastAsia="Times New Roman" w:hAnsiTheme="majorHAnsi" w:cs="Arial"/>
                <w:bCs/>
                <w:sz w:val="20"/>
                <w:szCs w:val="20"/>
                <w:lang w:eastAsia="fr-BE"/>
              </w:rPr>
            </w:pPr>
            <w:r w:rsidRPr="00EB3D81">
              <w:rPr>
                <w:rFonts w:asciiTheme="majorHAnsi" w:eastAsia="Times New Roman" w:hAnsiTheme="majorHAnsi" w:cs="Arial"/>
                <w:bCs/>
                <w:sz w:val="20"/>
                <w:szCs w:val="20"/>
                <w:lang w:eastAsia="fr-BE"/>
              </w:rPr>
              <w:t>Description de la structure taxonomique</w:t>
            </w:r>
          </w:p>
        </w:tc>
        <w:tc>
          <w:tcPr>
            <w:tcW w:w="500" w:type="dxa"/>
            <w:tcBorders>
              <w:top w:val="nil"/>
              <w:left w:val="nil"/>
              <w:bottom w:val="nil"/>
              <w:right w:val="nil"/>
            </w:tcBorders>
            <w:shd w:val="clear" w:color="auto" w:fill="auto"/>
            <w:noWrap/>
            <w:vAlign w:val="bottom"/>
            <w:hideMark/>
          </w:tcPr>
          <w:p w14:paraId="6EE85E2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6371408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AC58224"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61E65A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672EE247"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r>
      <w:tr w:rsidR="00BC1ABF" w:rsidRPr="00EB3D81" w14:paraId="75ACC587" w14:textId="77777777" w:rsidTr="008217C9">
        <w:trPr>
          <w:trHeight w:val="240"/>
        </w:trPr>
        <w:tc>
          <w:tcPr>
            <w:tcW w:w="146" w:type="dxa"/>
            <w:tcBorders>
              <w:top w:val="nil"/>
              <w:left w:val="nil"/>
              <w:bottom w:val="nil"/>
              <w:right w:val="nil"/>
            </w:tcBorders>
            <w:shd w:val="clear" w:color="auto" w:fill="auto"/>
            <w:noWrap/>
            <w:vAlign w:val="bottom"/>
            <w:hideMark/>
          </w:tcPr>
          <w:p w14:paraId="3151AC15"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767" w:type="dxa"/>
            <w:tcBorders>
              <w:top w:val="nil"/>
              <w:left w:val="nil"/>
              <w:bottom w:val="nil"/>
              <w:right w:val="nil"/>
            </w:tcBorders>
            <w:shd w:val="clear" w:color="auto" w:fill="auto"/>
            <w:noWrap/>
            <w:vAlign w:val="bottom"/>
            <w:hideMark/>
          </w:tcPr>
          <w:p w14:paraId="25435DB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liste globale (station)</w:t>
            </w:r>
          </w:p>
        </w:tc>
        <w:tc>
          <w:tcPr>
            <w:tcW w:w="770" w:type="dxa"/>
            <w:tcBorders>
              <w:top w:val="nil"/>
              <w:left w:val="nil"/>
              <w:bottom w:val="nil"/>
              <w:right w:val="nil"/>
            </w:tcBorders>
            <w:shd w:val="clear" w:color="auto" w:fill="auto"/>
            <w:noWrap/>
            <w:vAlign w:val="bottom"/>
            <w:hideMark/>
          </w:tcPr>
          <w:p w14:paraId="246F4F9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4DDF7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Q</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0F840473"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000000" w:fill="00FF00"/>
            <w:noWrap/>
            <w:vAlign w:val="bottom"/>
            <w:hideMark/>
          </w:tcPr>
          <w:p w14:paraId="56AB662D"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087BA13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09E599A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48442BC7"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7A504D27"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308C87EC" w14:textId="77777777" w:rsidTr="008217C9">
        <w:trPr>
          <w:trHeight w:val="240"/>
        </w:trPr>
        <w:tc>
          <w:tcPr>
            <w:tcW w:w="146" w:type="dxa"/>
            <w:tcBorders>
              <w:top w:val="nil"/>
              <w:left w:val="nil"/>
              <w:bottom w:val="nil"/>
              <w:right w:val="nil"/>
            </w:tcBorders>
            <w:shd w:val="clear" w:color="auto" w:fill="auto"/>
            <w:noWrap/>
            <w:vAlign w:val="bottom"/>
            <w:hideMark/>
          </w:tcPr>
          <w:p w14:paraId="0022CFB2"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767" w:type="dxa"/>
            <w:tcBorders>
              <w:top w:val="nil"/>
              <w:left w:val="nil"/>
              <w:bottom w:val="nil"/>
              <w:right w:val="nil"/>
            </w:tcBorders>
            <w:shd w:val="clear" w:color="auto" w:fill="auto"/>
            <w:noWrap/>
            <w:vAlign w:val="bottom"/>
            <w:hideMark/>
          </w:tcPr>
          <w:p w14:paraId="528698A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770" w:type="dxa"/>
            <w:tcBorders>
              <w:top w:val="nil"/>
              <w:left w:val="nil"/>
              <w:bottom w:val="nil"/>
              <w:right w:val="nil"/>
            </w:tcBorders>
            <w:shd w:val="clear" w:color="auto" w:fill="auto"/>
            <w:noWrap/>
            <w:vAlign w:val="bottom"/>
            <w:hideMark/>
          </w:tcPr>
          <w:p w14:paraId="109C542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single" w:sz="8" w:space="0" w:color="auto"/>
              <w:bottom w:val="single" w:sz="8" w:space="0" w:color="auto"/>
              <w:right w:val="single" w:sz="8" w:space="0" w:color="auto"/>
            </w:tcBorders>
            <w:shd w:val="clear" w:color="auto" w:fill="auto"/>
            <w:noWrap/>
            <w:vAlign w:val="bottom"/>
            <w:hideMark/>
          </w:tcPr>
          <w:p w14:paraId="5856526F"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S</w:t>
            </w:r>
          </w:p>
        </w:tc>
        <w:tc>
          <w:tcPr>
            <w:tcW w:w="500" w:type="dxa"/>
            <w:tcBorders>
              <w:top w:val="nil"/>
              <w:left w:val="nil"/>
              <w:bottom w:val="single" w:sz="8" w:space="0" w:color="auto"/>
              <w:right w:val="single" w:sz="8" w:space="0" w:color="auto"/>
            </w:tcBorders>
            <w:shd w:val="clear" w:color="auto" w:fill="auto"/>
            <w:noWrap/>
            <w:vAlign w:val="bottom"/>
            <w:hideMark/>
          </w:tcPr>
          <w:p w14:paraId="02A5517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000000" w:fill="00FF00"/>
            <w:noWrap/>
            <w:vAlign w:val="bottom"/>
            <w:hideMark/>
          </w:tcPr>
          <w:p w14:paraId="1B339767"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auto" w:fill="auto"/>
            <w:noWrap/>
            <w:vAlign w:val="bottom"/>
            <w:hideMark/>
          </w:tcPr>
          <w:p w14:paraId="25441B5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40D9D00B"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7F0EFE0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7D333531"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679A21D6" w14:textId="77777777" w:rsidTr="008217C9">
        <w:trPr>
          <w:trHeight w:val="240"/>
        </w:trPr>
        <w:tc>
          <w:tcPr>
            <w:tcW w:w="146" w:type="dxa"/>
            <w:tcBorders>
              <w:top w:val="nil"/>
              <w:left w:val="nil"/>
              <w:bottom w:val="nil"/>
              <w:right w:val="nil"/>
            </w:tcBorders>
            <w:shd w:val="clear" w:color="auto" w:fill="auto"/>
            <w:noWrap/>
            <w:vAlign w:val="bottom"/>
            <w:hideMark/>
          </w:tcPr>
          <w:p w14:paraId="1A472A99"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767" w:type="dxa"/>
            <w:tcBorders>
              <w:top w:val="nil"/>
              <w:left w:val="nil"/>
              <w:bottom w:val="nil"/>
              <w:right w:val="nil"/>
            </w:tcBorders>
            <w:shd w:val="clear" w:color="auto" w:fill="auto"/>
            <w:noWrap/>
            <w:vAlign w:val="bottom"/>
            <w:hideMark/>
          </w:tcPr>
          <w:p w14:paraId="3739FC7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770" w:type="dxa"/>
            <w:tcBorders>
              <w:top w:val="nil"/>
              <w:left w:val="nil"/>
              <w:bottom w:val="nil"/>
              <w:right w:val="nil"/>
            </w:tcBorders>
            <w:shd w:val="clear" w:color="auto" w:fill="auto"/>
            <w:noWrap/>
            <w:vAlign w:val="bottom"/>
            <w:hideMark/>
          </w:tcPr>
          <w:p w14:paraId="4696FC48"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single" w:sz="8" w:space="0" w:color="auto"/>
              <w:bottom w:val="single" w:sz="8" w:space="0" w:color="auto"/>
              <w:right w:val="single" w:sz="8" w:space="0" w:color="auto"/>
            </w:tcBorders>
            <w:shd w:val="clear" w:color="auto" w:fill="auto"/>
            <w:noWrap/>
            <w:vAlign w:val="bottom"/>
            <w:hideMark/>
          </w:tcPr>
          <w:p w14:paraId="29591F9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H'</w:t>
            </w:r>
          </w:p>
        </w:tc>
        <w:tc>
          <w:tcPr>
            <w:tcW w:w="500" w:type="dxa"/>
            <w:tcBorders>
              <w:top w:val="nil"/>
              <w:left w:val="nil"/>
              <w:bottom w:val="single" w:sz="8" w:space="0" w:color="auto"/>
              <w:right w:val="single" w:sz="8" w:space="0" w:color="auto"/>
            </w:tcBorders>
            <w:shd w:val="clear" w:color="auto" w:fill="auto"/>
            <w:noWrap/>
            <w:vAlign w:val="bottom"/>
            <w:hideMark/>
          </w:tcPr>
          <w:p w14:paraId="5B1D97A1"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auto" w:fill="auto"/>
            <w:noWrap/>
            <w:vAlign w:val="bottom"/>
            <w:hideMark/>
          </w:tcPr>
          <w:p w14:paraId="194EE909"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000000" w:fill="FFFF00"/>
            <w:noWrap/>
            <w:vAlign w:val="bottom"/>
            <w:hideMark/>
          </w:tcPr>
          <w:p w14:paraId="034EC72E"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003BD913"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13036B93"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05429D53"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5006C91D" w14:textId="77777777" w:rsidTr="008217C9">
        <w:trPr>
          <w:trHeight w:val="240"/>
        </w:trPr>
        <w:tc>
          <w:tcPr>
            <w:tcW w:w="146" w:type="dxa"/>
            <w:tcBorders>
              <w:top w:val="nil"/>
              <w:left w:val="nil"/>
              <w:bottom w:val="nil"/>
              <w:right w:val="nil"/>
            </w:tcBorders>
            <w:shd w:val="clear" w:color="auto" w:fill="auto"/>
            <w:noWrap/>
            <w:vAlign w:val="bottom"/>
            <w:hideMark/>
          </w:tcPr>
          <w:p w14:paraId="1F1100C9" w14:textId="77777777" w:rsidR="00BC1ABF" w:rsidRPr="00EB3D81" w:rsidRDefault="00BC1ABF" w:rsidP="00EB3D81">
            <w:pPr>
              <w:spacing w:after="0" w:line="240" w:lineRule="auto"/>
              <w:jc w:val="center"/>
              <w:rPr>
                <w:rFonts w:asciiTheme="majorHAnsi" w:eastAsia="Times New Roman" w:hAnsiTheme="majorHAnsi" w:cs="Arial"/>
                <w:b/>
                <w:bCs/>
                <w:sz w:val="20"/>
                <w:szCs w:val="20"/>
                <w:lang w:eastAsia="fr-BE"/>
              </w:rPr>
            </w:pPr>
          </w:p>
        </w:tc>
        <w:tc>
          <w:tcPr>
            <w:tcW w:w="2767" w:type="dxa"/>
            <w:tcBorders>
              <w:top w:val="nil"/>
              <w:left w:val="nil"/>
              <w:bottom w:val="nil"/>
              <w:right w:val="nil"/>
            </w:tcBorders>
            <w:shd w:val="clear" w:color="auto" w:fill="auto"/>
            <w:noWrap/>
            <w:vAlign w:val="bottom"/>
            <w:hideMark/>
          </w:tcPr>
          <w:p w14:paraId="6A57E407"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770" w:type="dxa"/>
            <w:tcBorders>
              <w:top w:val="nil"/>
              <w:left w:val="nil"/>
              <w:bottom w:val="nil"/>
              <w:right w:val="nil"/>
            </w:tcBorders>
            <w:shd w:val="clear" w:color="auto" w:fill="auto"/>
            <w:noWrap/>
            <w:vAlign w:val="bottom"/>
            <w:hideMark/>
          </w:tcPr>
          <w:p w14:paraId="48D3C58C"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p>
        </w:tc>
        <w:tc>
          <w:tcPr>
            <w:tcW w:w="323" w:type="dxa"/>
            <w:tcBorders>
              <w:top w:val="nil"/>
              <w:left w:val="single" w:sz="8" w:space="0" w:color="auto"/>
              <w:bottom w:val="single" w:sz="8" w:space="0" w:color="auto"/>
              <w:right w:val="single" w:sz="8" w:space="0" w:color="auto"/>
            </w:tcBorders>
            <w:shd w:val="clear" w:color="auto" w:fill="auto"/>
            <w:noWrap/>
            <w:vAlign w:val="bottom"/>
            <w:hideMark/>
          </w:tcPr>
          <w:p w14:paraId="7F4E600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J'</w:t>
            </w:r>
          </w:p>
        </w:tc>
        <w:tc>
          <w:tcPr>
            <w:tcW w:w="500" w:type="dxa"/>
            <w:tcBorders>
              <w:top w:val="nil"/>
              <w:left w:val="nil"/>
              <w:bottom w:val="single" w:sz="8" w:space="0" w:color="auto"/>
              <w:right w:val="single" w:sz="8" w:space="0" w:color="auto"/>
            </w:tcBorders>
            <w:shd w:val="clear" w:color="auto" w:fill="auto"/>
            <w:noWrap/>
            <w:vAlign w:val="bottom"/>
            <w:hideMark/>
          </w:tcPr>
          <w:p w14:paraId="7CC5DF86"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auto" w:fill="auto"/>
            <w:noWrap/>
            <w:vAlign w:val="bottom"/>
            <w:hideMark/>
          </w:tcPr>
          <w:p w14:paraId="4E1D1DE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auto" w:fill="auto"/>
            <w:noWrap/>
            <w:vAlign w:val="bottom"/>
            <w:hideMark/>
          </w:tcPr>
          <w:p w14:paraId="4E10008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000000" w:fill="FF9900"/>
            <w:noWrap/>
            <w:vAlign w:val="bottom"/>
            <w:hideMark/>
          </w:tcPr>
          <w:p w14:paraId="56F01E71"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54CCBD20"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4D8059ED" w14:textId="77777777" w:rsidR="00BC1ABF" w:rsidRPr="00EB3D81" w:rsidRDefault="00BC1ABF"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BC1ABF" w:rsidRPr="00EB3D81" w14:paraId="0F9B85F4" w14:textId="77777777" w:rsidTr="008217C9">
        <w:trPr>
          <w:trHeight w:val="240"/>
        </w:trPr>
        <w:tc>
          <w:tcPr>
            <w:tcW w:w="146" w:type="dxa"/>
            <w:tcBorders>
              <w:top w:val="nil"/>
              <w:left w:val="nil"/>
              <w:bottom w:val="nil"/>
              <w:right w:val="nil"/>
            </w:tcBorders>
            <w:shd w:val="clear" w:color="auto" w:fill="auto"/>
            <w:noWrap/>
            <w:vAlign w:val="bottom"/>
            <w:hideMark/>
          </w:tcPr>
          <w:p w14:paraId="2F5E4C95" w14:textId="77777777" w:rsidR="00BC1ABF" w:rsidRPr="00EB3D81" w:rsidRDefault="00BC1ABF" w:rsidP="008217C9">
            <w:pPr>
              <w:spacing w:after="0" w:line="240" w:lineRule="auto"/>
              <w:jc w:val="center"/>
              <w:rPr>
                <w:rFonts w:asciiTheme="majorHAnsi" w:eastAsia="Times New Roman" w:hAnsiTheme="majorHAnsi" w:cs="Arial"/>
                <w:b/>
                <w:bCs/>
                <w:sz w:val="20"/>
                <w:szCs w:val="20"/>
                <w:lang w:eastAsia="fr-BE"/>
              </w:rPr>
            </w:pPr>
          </w:p>
        </w:tc>
        <w:tc>
          <w:tcPr>
            <w:tcW w:w="2767" w:type="dxa"/>
            <w:tcBorders>
              <w:top w:val="nil"/>
              <w:left w:val="nil"/>
              <w:bottom w:val="nil"/>
              <w:right w:val="nil"/>
            </w:tcBorders>
            <w:shd w:val="clear" w:color="auto" w:fill="auto"/>
            <w:noWrap/>
            <w:vAlign w:val="bottom"/>
            <w:hideMark/>
          </w:tcPr>
          <w:p w14:paraId="4FACAAF2"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c>
          <w:tcPr>
            <w:tcW w:w="770" w:type="dxa"/>
            <w:tcBorders>
              <w:top w:val="nil"/>
              <w:left w:val="nil"/>
              <w:bottom w:val="nil"/>
              <w:right w:val="nil"/>
            </w:tcBorders>
            <w:shd w:val="clear" w:color="auto" w:fill="auto"/>
            <w:noWrap/>
            <w:vAlign w:val="bottom"/>
            <w:hideMark/>
          </w:tcPr>
          <w:p w14:paraId="2E26F64F"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c>
          <w:tcPr>
            <w:tcW w:w="323" w:type="dxa"/>
            <w:tcBorders>
              <w:top w:val="nil"/>
              <w:left w:val="nil"/>
              <w:bottom w:val="nil"/>
              <w:right w:val="nil"/>
            </w:tcBorders>
            <w:shd w:val="clear" w:color="auto" w:fill="auto"/>
            <w:noWrap/>
            <w:vAlign w:val="bottom"/>
            <w:hideMark/>
          </w:tcPr>
          <w:p w14:paraId="27C3F9DC"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24553980"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48BAF66"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2DD4DC55"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A158185"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616A097"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2D1B6918"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r>
      <w:tr w:rsidR="00BC1ABF" w:rsidRPr="00EB3D81" w14:paraId="1E378EFE" w14:textId="77777777" w:rsidTr="008217C9">
        <w:trPr>
          <w:trHeight w:val="240"/>
        </w:trPr>
        <w:tc>
          <w:tcPr>
            <w:tcW w:w="146" w:type="dxa"/>
            <w:tcBorders>
              <w:top w:val="nil"/>
              <w:left w:val="nil"/>
              <w:bottom w:val="nil"/>
              <w:right w:val="nil"/>
            </w:tcBorders>
            <w:shd w:val="clear" w:color="auto" w:fill="auto"/>
            <w:noWrap/>
            <w:vAlign w:val="bottom"/>
            <w:hideMark/>
          </w:tcPr>
          <w:p w14:paraId="3E786567" w14:textId="77777777" w:rsidR="00BC1ABF" w:rsidRPr="00EB3D81" w:rsidRDefault="00BC1ABF" w:rsidP="008217C9">
            <w:pPr>
              <w:spacing w:after="0" w:line="240" w:lineRule="auto"/>
              <w:jc w:val="center"/>
              <w:rPr>
                <w:rFonts w:asciiTheme="majorHAnsi" w:eastAsia="Times New Roman" w:hAnsiTheme="majorHAnsi" w:cs="Arial"/>
                <w:b/>
                <w:bCs/>
                <w:sz w:val="20"/>
                <w:szCs w:val="20"/>
                <w:lang w:eastAsia="fr-BE"/>
              </w:rPr>
            </w:pPr>
          </w:p>
        </w:tc>
        <w:tc>
          <w:tcPr>
            <w:tcW w:w="2767" w:type="dxa"/>
            <w:tcBorders>
              <w:top w:val="nil"/>
              <w:left w:val="nil"/>
              <w:bottom w:val="nil"/>
              <w:right w:val="nil"/>
            </w:tcBorders>
            <w:shd w:val="clear" w:color="auto" w:fill="auto"/>
            <w:noWrap/>
            <w:vAlign w:val="bottom"/>
            <w:hideMark/>
          </w:tcPr>
          <w:p w14:paraId="2BD7008D" w14:textId="77777777" w:rsidR="00BC1ABF" w:rsidRPr="00EB3D81" w:rsidRDefault="00BC1ABF" w:rsidP="008217C9">
            <w:pPr>
              <w:spacing w:after="0" w:line="240" w:lineRule="auto"/>
              <w:jc w:val="center"/>
              <w:rPr>
                <w:rFonts w:asciiTheme="majorHAnsi" w:eastAsia="Times New Roman" w:hAnsiTheme="majorHAnsi" w:cs="Arial"/>
                <w:b/>
                <w:bCs/>
                <w:sz w:val="20"/>
                <w:szCs w:val="20"/>
                <w:lang w:eastAsia="fr-BE"/>
              </w:rPr>
            </w:pPr>
          </w:p>
        </w:tc>
        <w:tc>
          <w:tcPr>
            <w:tcW w:w="770" w:type="dxa"/>
            <w:tcBorders>
              <w:top w:val="nil"/>
              <w:left w:val="nil"/>
              <w:bottom w:val="nil"/>
              <w:right w:val="nil"/>
            </w:tcBorders>
            <w:shd w:val="clear" w:color="auto" w:fill="auto"/>
            <w:noWrap/>
            <w:vAlign w:val="bottom"/>
            <w:hideMark/>
          </w:tcPr>
          <w:p w14:paraId="723CFCC8"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IBGN</w:t>
            </w:r>
          </w:p>
        </w:tc>
        <w:tc>
          <w:tcPr>
            <w:tcW w:w="323" w:type="dxa"/>
            <w:tcBorders>
              <w:top w:val="nil"/>
              <w:left w:val="nil"/>
              <w:bottom w:val="nil"/>
              <w:right w:val="nil"/>
            </w:tcBorders>
            <w:shd w:val="clear" w:color="auto" w:fill="auto"/>
            <w:noWrap/>
            <w:vAlign w:val="bottom"/>
            <w:hideMark/>
          </w:tcPr>
          <w:p w14:paraId="28BA8383"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540000"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000000" w:fill="00FF00"/>
            <w:noWrap/>
            <w:vAlign w:val="bottom"/>
            <w:hideMark/>
          </w:tcPr>
          <w:p w14:paraId="2F90B773"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5DDA7A23"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18C75DF"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492A7BB"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293981DC" w14:textId="77777777" w:rsidR="00BC1ABF" w:rsidRPr="00EB3D81" w:rsidRDefault="00BC1ABF" w:rsidP="008217C9">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bl>
    <w:p w14:paraId="308D11B0" w14:textId="77777777" w:rsidR="00BC1ABF" w:rsidRDefault="00BC1ABF" w:rsidP="00932745">
      <w:pPr>
        <w:jc w:val="both"/>
      </w:pPr>
    </w:p>
    <w:p w14:paraId="292C5699" w14:textId="2D502378" w:rsidR="00EB3D81" w:rsidRDefault="00EB3D81" w:rsidP="00932745">
      <w:pPr>
        <w:jc w:val="both"/>
      </w:pPr>
      <w:r>
        <w:t>Tableau 3 (suite)</w:t>
      </w:r>
    </w:p>
    <w:tbl>
      <w:tblPr>
        <w:tblW w:w="7073" w:type="dxa"/>
        <w:tblInd w:w="55" w:type="dxa"/>
        <w:tblCellMar>
          <w:left w:w="70" w:type="dxa"/>
          <w:right w:w="70" w:type="dxa"/>
        </w:tblCellMar>
        <w:tblLook w:val="04A0" w:firstRow="1" w:lastRow="0" w:firstColumn="1" w:lastColumn="0" w:noHBand="0" w:noVBand="1"/>
      </w:tblPr>
      <w:tblGrid>
        <w:gridCol w:w="146"/>
        <w:gridCol w:w="2819"/>
        <w:gridCol w:w="785"/>
        <w:gridCol w:w="323"/>
        <w:gridCol w:w="500"/>
        <w:gridCol w:w="500"/>
        <w:gridCol w:w="500"/>
        <w:gridCol w:w="500"/>
        <w:gridCol w:w="500"/>
        <w:gridCol w:w="500"/>
      </w:tblGrid>
      <w:tr w:rsidR="00EB3D81" w:rsidRPr="00EB3D81" w14:paraId="5CC8C0EC" w14:textId="77777777" w:rsidTr="00EB3D81">
        <w:trPr>
          <w:trHeight w:val="240"/>
        </w:trPr>
        <w:tc>
          <w:tcPr>
            <w:tcW w:w="4073" w:type="dxa"/>
            <w:gridSpan w:val="4"/>
            <w:tcBorders>
              <w:top w:val="nil"/>
              <w:left w:val="nil"/>
              <w:bottom w:val="nil"/>
              <w:right w:val="nil"/>
            </w:tcBorders>
            <w:shd w:val="clear" w:color="auto" w:fill="auto"/>
            <w:noWrap/>
            <w:vAlign w:val="bottom"/>
            <w:hideMark/>
          </w:tcPr>
          <w:p w14:paraId="308D035F" w14:textId="2CC71959" w:rsidR="00EB3D81" w:rsidRPr="00B41E1F" w:rsidRDefault="00EB3D81" w:rsidP="00EB3D81">
            <w:pPr>
              <w:spacing w:after="0" w:line="240" w:lineRule="auto"/>
              <w:rPr>
                <w:rFonts w:asciiTheme="majorHAnsi" w:eastAsia="Times New Roman" w:hAnsiTheme="majorHAnsi" w:cs="Arial"/>
                <w:b/>
                <w:bCs/>
                <w:sz w:val="20"/>
                <w:szCs w:val="20"/>
                <w:lang w:eastAsia="fr-BE"/>
              </w:rPr>
            </w:pPr>
            <w:r w:rsidRPr="00B41E1F">
              <w:rPr>
                <w:rFonts w:asciiTheme="majorHAnsi" w:eastAsia="Times New Roman" w:hAnsiTheme="majorHAnsi" w:cs="Arial"/>
                <w:b/>
                <w:bCs/>
                <w:sz w:val="20"/>
                <w:szCs w:val="20"/>
                <w:lang w:eastAsia="fr-BE"/>
              </w:rPr>
              <w:t>Triffoy amont</w:t>
            </w:r>
          </w:p>
          <w:p w14:paraId="6D2429E5" w14:textId="77777777" w:rsidR="00EB3D81" w:rsidRPr="00EB3D81" w:rsidRDefault="00EB3D81" w:rsidP="00EB3D81">
            <w:pPr>
              <w:spacing w:after="0" w:line="240" w:lineRule="auto"/>
              <w:rPr>
                <w:rFonts w:asciiTheme="majorHAnsi" w:eastAsia="Times New Roman" w:hAnsiTheme="majorHAnsi" w:cs="Arial"/>
                <w:bCs/>
                <w:sz w:val="20"/>
                <w:szCs w:val="20"/>
                <w:lang w:eastAsia="fr-BE"/>
              </w:rPr>
            </w:pPr>
          </w:p>
          <w:p w14:paraId="4EC7A211" w14:textId="1F6829BC" w:rsidR="00EB3D81" w:rsidRPr="00EB3D81" w:rsidRDefault="00EB3D81" w:rsidP="00EB3D81">
            <w:pPr>
              <w:spacing w:after="0" w:line="240" w:lineRule="auto"/>
              <w:rPr>
                <w:rFonts w:asciiTheme="majorHAnsi" w:eastAsia="Times New Roman" w:hAnsiTheme="majorHAnsi" w:cs="Arial"/>
                <w:bCs/>
                <w:sz w:val="20"/>
                <w:szCs w:val="20"/>
                <w:lang w:eastAsia="fr-BE"/>
              </w:rPr>
            </w:pPr>
            <w:r w:rsidRPr="00EB3D81">
              <w:rPr>
                <w:rFonts w:asciiTheme="majorHAnsi" w:eastAsia="Times New Roman" w:hAnsiTheme="majorHAnsi" w:cs="Arial"/>
                <w:bCs/>
                <w:sz w:val="20"/>
                <w:szCs w:val="20"/>
                <w:lang w:eastAsia="fr-BE"/>
              </w:rPr>
              <w:t>Évaluation de la diversité biologique</w:t>
            </w:r>
          </w:p>
        </w:tc>
        <w:tc>
          <w:tcPr>
            <w:tcW w:w="500" w:type="dxa"/>
            <w:tcBorders>
              <w:top w:val="nil"/>
              <w:left w:val="nil"/>
              <w:bottom w:val="nil"/>
              <w:right w:val="nil"/>
            </w:tcBorders>
            <w:shd w:val="clear" w:color="auto" w:fill="auto"/>
            <w:noWrap/>
            <w:vAlign w:val="bottom"/>
            <w:hideMark/>
          </w:tcPr>
          <w:p w14:paraId="5BA132AD"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2220225"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DB92379"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4292D796"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16656E6F"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4C4A631A"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r>
      <w:tr w:rsidR="00EB3D81" w:rsidRPr="00EB3D81" w14:paraId="2B7F9BE7" w14:textId="77777777" w:rsidTr="00EB3D81">
        <w:trPr>
          <w:trHeight w:val="240"/>
        </w:trPr>
        <w:tc>
          <w:tcPr>
            <w:tcW w:w="146" w:type="dxa"/>
            <w:tcBorders>
              <w:top w:val="nil"/>
              <w:left w:val="nil"/>
              <w:bottom w:val="nil"/>
              <w:right w:val="nil"/>
            </w:tcBorders>
            <w:shd w:val="clear" w:color="auto" w:fill="auto"/>
            <w:noWrap/>
            <w:vAlign w:val="bottom"/>
            <w:hideMark/>
          </w:tcPr>
          <w:p w14:paraId="1C9E0DD4" w14:textId="77777777" w:rsidR="00EB3D81" w:rsidRPr="00280457" w:rsidRDefault="00EB3D81" w:rsidP="00EB3D81">
            <w:pPr>
              <w:spacing w:after="0" w:line="240" w:lineRule="auto"/>
              <w:rPr>
                <w:rFonts w:ascii="Arial" w:eastAsia="Times New Roman" w:hAnsi="Arial"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76854DA9" w14:textId="77777777" w:rsidR="00EB3D81" w:rsidRPr="00EB3D81" w:rsidRDefault="00EB3D81" w:rsidP="00EB3D81">
            <w:pPr>
              <w:spacing w:after="0" w:line="240" w:lineRule="auto"/>
              <w:rPr>
                <w:rFonts w:asciiTheme="majorHAnsi" w:eastAsia="Times New Roman" w:hAnsiTheme="majorHAnsi" w:cs="Arial"/>
                <w:bCs/>
                <w:sz w:val="20"/>
                <w:szCs w:val="20"/>
                <w:lang w:eastAsia="fr-BE"/>
              </w:rPr>
            </w:pPr>
          </w:p>
        </w:tc>
        <w:tc>
          <w:tcPr>
            <w:tcW w:w="785" w:type="dxa"/>
            <w:tcBorders>
              <w:top w:val="nil"/>
              <w:left w:val="nil"/>
              <w:bottom w:val="nil"/>
              <w:right w:val="nil"/>
            </w:tcBorders>
            <w:shd w:val="clear" w:color="auto" w:fill="auto"/>
            <w:noWrap/>
            <w:vAlign w:val="bottom"/>
            <w:hideMark/>
          </w:tcPr>
          <w:p w14:paraId="73014FD1"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323" w:type="dxa"/>
            <w:tcBorders>
              <w:top w:val="nil"/>
              <w:left w:val="nil"/>
              <w:bottom w:val="nil"/>
              <w:right w:val="nil"/>
            </w:tcBorders>
            <w:shd w:val="clear" w:color="auto" w:fill="auto"/>
            <w:noWrap/>
            <w:vAlign w:val="bottom"/>
            <w:hideMark/>
          </w:tcPr>
          <w:p w14:paraId="145FF5D9"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672F1E"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51876EF5"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53B89DC5"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6C897691"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000000" w:fill="FF0000"/>
            <w:noWrap/>
            <w:vAlign w:val="bottom"/>
            <w:hideMark/>
          </w:tcPr>
          <w:p w14:paraId="70967702"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57607BF0"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EB3D81" w:rsidRPr="00EB3D81" w14:paraId="18FC2A9E" w14:textId="77777777" w:rsidTr="00EB3D81">
        <w:trPr>
          <w:trHeight w:val="240"/>
        </w:trPr>
        <w:tc>
          <w:tcPr>
            <w:tcW w:w="4073" w:type="dxa"/>
            <w:gridSpan w:val="4"/>
            <w:tcBorders>
              <w:top w:val="nil"/>
              <w:left w:val="nil"/>
              <w:bottom w:val="nil"/>
              <w:right w:val="nil"/>
            </w:tcBorders>
            <w:shd w:val="clear" w:color="auto" w:fill="auto"/>
            <w:noWrap/>
            <w:vAlign w:val="bottom"/>
            <w:hideMark/>
          </w:tcPr>
          <w:p w14:paraId="0EFC9674" w14:textId="7A15C85E" w:rsidR="00EB3D81" w:rsidRPr="00EB3D81" w:rsidRDefault="00EB3D81" w:rsidP="00EB3D81">
            <w:pPr>
              <w:spacing w:after="0" w:line="240" w:lineRule="auto"/>
              <w:rPr>
                <w:rFonts w:asciiTheme="majorHAnsi" w:eastAsia="Times New Roman" w:hAnsiTheme="majorHAnsi" w:cs="Arial"/>
                <w:bCs/>
                <w:sz w:val="20"/>
                <w:szCs w:val="20"/>
                <w:lang w:eastAsia="fr-BE"/>
              </w:rPr>
            </w:pPr>
            <w:r w:rsidRPr="00EB3D81">
              <w:rPr>
                <w:rFonts w:asciiTheme="majorHAnsi" w:eastAsia="Times New Roman" w:hAnsiTheme="majorHAnsi" w:cs="Arial"/>
                <w:bCs/>
                <w:sz w:val="20"/>
                <w:szCs w:val="20"/>
                <w:lang w:eastAsia="fr-BE"/>
              </w:rPr>
              <w:t>Évaluation de la diversité écologique</w:t>
            </w:r>
          </w:p>
        </w:tc>
        <w:tc>
          <w:tcPr>
            <w:tcW w:w="500" w:type="dxa"/>
            <w:tcBorders>
              <w:top w:val="nil"/>
              <w:left w:val="nil"/>
              <w:bottom w:val="nil"/>
              <w:right w:val="nil"/>
            </w:tcBorders>
            <w:shd w:val="clear" w:color="auto" w:fill="auto"/>
            <w:noWrap/>
            <w:vAlign w:val="bottom"/>
            <w:hideMark/>
          </w:tcPr>
          <w:p w14:paraId="0B249F3C"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16FD7207"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140C36FC"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3A61D1E"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6B7CAE3"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3EF28C7"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r>
      <w:tr w:rsidR="00EB3D81" w:rsidRPr="00EB3D81" w14:paraId="59AA829A" w14:textId="77777777" w:rsidTr="00EB3D81">
        <w:trPr>
          <w:trHeight w:val="240"/>
        </w:trPr>
        <w:tc>
          <w:tcPr>
            <w:tcW w:w="146" w:type="dxa"/>
            <w:tcBorders>
              <w:top w:val="nil"/>
              <w:left w:val="nil"/>
              <w:bottom w:val="nil"/>
              <w:right w:val="nil"/>
            </w:tcBorders>
            <w:shd w:val="clear" w:color="auto" w:fill="auto"/>
            <w:noWrap/>
            <w:vAlign w:val="bottom"/>
            <w:hideMark/>
          </w:tcPr>
          <w:p w14:paraId="1CFBBE73" w14:textId="77777777" w:rsidR="00EB3D81" w:rsidRPr="00280457" w:rsidRDefault="00EB3D81" w:rsidP="00EB3D81">
            <w:pPr>
              <w:spacing w:after="0" w:line="240" w:lineRule="auto"/>
              <w:rPr>
                <w:rFonts w:ascii="Arial" w:eastAsia="Times New Roman" w:hAnsi="Arial"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00C60D76" w14:textId="77777777" w:rsidR="00EB3D81" w:rsidRPr="00EB3D81" w:rsidRDefault="00EB3D81" w:rsidP="00EB3D81">
            <w:pPr>
              <w:spacing w:after="0" w:line="240" w:lineRule="auto"/>
              <w:rPr>
                <w:rFonts w:asciiTheme="majorHAnsi" w:eastAsia="Times New Roman" w:hAnsiTheme="majorHAnsi" w:cs="Arial"/>
                <w:bCs/>
                <w:sz w:val="20"/>
                <w:szCs w:val="20"/>
                <w:lang w:eastAsia="fr-BE"/>
              </w:rPr>
            </w:pPr>
          </w:p>
        </w:tc>
        <w:tc>
          <w:tcPr>
            <w:tcW w:w="785" w:type="dxa"/>
            <w:tcBorders>
              <w:top w:val="nil"/>
              <w:left w:val="nil"/>
              <w:bottom w:val="nil"/>
              <w:right w:val="nil"/>
            </w:tcBorders>
            <w:shd w:val="clear" w:color="auto" w:fill="auto"/>
            <w:noWrap/>
            <w:vAlign w:val="bottom"/>
            <w:hideMark/>
          </w:tcPr>
          <w:p w14:paraId="48FF0683"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323" w:type="dxa"/>
            <w:tcBorders>
              <w:top w:val="nil"/>
              <w:left w:val="nil"/>
              <w:bottom w:val="nil"/>
              <w:right w:val="nil"/>
            </w:tcBorders>
            <w:shd w:val="clear" w:color="auto" w:fill="auto"/>
            <w:noWrap/>
            <w:vAlign w:val="bottom"/>
            <w:hideMark/>
          </w:tcPr>
          <w:p w14:paraId="7AA9B497"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820AD3"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6E6382A"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000000" w:fill="FFFF00"/>
            <w:noWrap/>
            <w:vAlign w:val="bottom"/>
            <w:hideMark/>
          </w:tcPr>
          <w:p w14:paraId="6905723B"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0FC2C82"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3544405C"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1665C7B1"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EB3D81" w:rsidRPr="00EB3D81" w14:paraId="5154B739" w14:textId="77777777" w:rsidTr="00EB3D81">
        <w:trPr>
          <w:trHeight w:val="240"/>
        </w:trPr>
        <w:tc>
          <w:tcPr>
            <w:tcW w:w="4573" w:type="dxa"/>
            <w:gridSpan w:val="5"/>
            <w:tcBorders>
              <w:top w:val="nil"/>
              <w:left w:val="nil"/>
              <w:bottom w:val="nil"/>
              <w:right w:val="nil"/>
            </w:tcBorders>
            <w:shd w:val="clear" w:color="auto" w:fill="auto"/>
            <w:noWrap/>
            <w:vAlign w:val="bottom"/>
            <w:hideMark/>
          </w:tcPr>
          <w:p w14:paraId="7FF7ECCB" w14:textId="77777777" w:rsidR="00EB3D81" w:rsidRPr="00EB3D81" w:rsidRDefault="00EB3D81" w:rsidP="00EB3D81">
            <w:pPr>
              <w:spacing w:after="0" w:line="240" w:lineRule="auto"/>
              <w:rPr>
                <w:rFonts w:asciiTheme="majorHAnsi" w:eastAsia="Times New Roman" w:hAnsiTheme="majorHAnsi" w:cs="Arial"/>
                <w:bCs/>
                <w:sz w:val="20"/>
                <w:szCs w:val="20"/>
                <w:lang w:eastAsia="fr-BE"/>
              </w:rPr>
            </w:pPr>
            <w:r w:rsidRPr="00EB3D81">
              <w:rPr>
                <w:rFonts w:asciiTheme="majorHAnsi" w:eastAsia="Times New Roman" w:hAnsiTheme="majorHAnsi" w:cs="Arial"/>
                <w:bCs/>
                <w:sz w:val="20"/>
                <w:szCs w:val="20"/>
                <w:lang w:eastAsia="fr-BE"/>
              </w:rPr>
              <w:t>5. Description de la structure taxonomique</w:t>
            </w:r>
          </w:p>
        </w:tc>
        <w:tc>
          <w:tcPr>
            <w:tcW w:w="500" w:type="dxa"/>
            <w:tcBorders>
              <w:top w:val="nil"/>
              <w:left w:val="nil"/>
              <w:bottom w:val="nil"/>
              <w:right w:val="nil"/>
            </w:tcBorders>
            <w:shd w:val="clear" w:color="auto" w:fill="auto"/>
            <w:noWrap/>
            <w:vAlign w:val="bottom"/>
            <w:hideMark/>
          </w:tcPr>
          <w:p w14:paraId="65441404"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FC0C96C"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21FC2AA0"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61FBEF4D"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19183923"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r>
      <w:tr w:rsidR="00EB3D81" w:rsidRPr="00EB3D81" w14:paraId="2C99C192" w14:textId="77777777" w:rsidTr="00EB3D81">
        <w:trPr>
          <w:trHeight w:val="240"/>
        </w:trPr>
        <w:tc>
          <w:tcPr>
            <w:tcW w:w="146" w:type="dxa"/>
            <w:tcBorders>
              <w:top w:val="nil"/>
              <w:left w:val="nil"/>
              <w:bottom w:val="nil"/>
              <w:right w:val="nil"/>
            </w:tcBorders>
            <w:shd w:val="clear" w:color="auto" w:fill="auto"/>
            <w:noWrap/>
            <w:vAlign w:val="bottom"/>
            <w:hideMark/>
          </w:tcPr>
          <w:p w14:paraId="3A05F8CC" w14:textId="77777777" w:rsidR="00EB3D81" w:rsidRPr="00280457" w:rsidRDefault="00EB3D81" w:rsidP="00EB3D81">
            <w:pPr>
              <w:spacing w:after="0" w:line="240" w:lineRule="auto"/>
              <w:rPr>
                <w:rFonts w:ascii="Arial" w:eastAsia="Times New Roman" w:hAnsi="Arial"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122683F4" w14:textId="77777777" w:rsidR="00EB3D81" w:rsidRPr="00EB3D81" w:rsidRDefault="00EB3D81" w:rsidP="00EB3D81">
            <w:pPr>
              <w:spacing w:after="0" w:line="240" w:lineRule="auto"/>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liste globale (station)</w:t>
            </w:r>
          </w:p>
        </w:tc>
        <w:tc>
          <w:tcPr>
            <w:tcW w:w="785" w:type="dxa"/>
            <w:tcBorders>
              <w:top w:val="nil"/>
              <w:left w:val="nil"/>
              <w:bottom w:val="nil"/>
              <w:right w:val="nil"/>
            </w:tcBorders>
            <w:shd w:val="clear" w:color="auto" w:fill="auto"/>
            <w:noWrap/>
            <w:vAlign w:val="bottom"/>
            <w:hideMark/>
          </w:tcPr>
          <w:p w14:paraId="6AA0D2F2"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3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C98DAB"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Q</w:t>
            </w:r>
          </w:p>
        </w:tc>
        <w:tc>
          <w:tcPr>
            <w:tcW w:w="500" w:type="dxa"/>
            <w:tcBorders>
              <w:top w:val="single" w:sz="8" w:space="0" w:color="auto"/>
              <w:left w:val="nil"/>
              <w:bottom w:val="single" w:sz="8" w:space="0" w:color="auto"/>
              <w:right w:val="single" w:sz="8" w:space="0" w:color="auto"/>
            </w:tcBorders>
            <w:shd w:val="clear" w:color="000000" w:fill="3366FF"/>
            <w:noWrap/>
            <w:vAlign w:val="bottom"/>
            <w:hideMark/>
          </w:tcPr>
          <w:p w14:paraId="6D4CA758"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30BCCD16"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5614910B"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6E0D3AD8"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0C97673C"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27601887"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EB3D81" w:rsidRPr="00EB3D81" w14:paraId="7CDBAF4E" w14:textId="77777777" w:rsidTr="00EB3D81">
        <w:trPr>
          <w:trHeight w:val="240"/>
        </w:trPr>
        <w:tc>
          <w:tcPr>
            <w:tcW w:w="146" w:type="dxa"/>
            <w:tcBorders>
              <w:top w:val="nil"/>
              <w:left w:val="nil"/>
              <w:bottom w:val="nil"/>
              <w:right w:val="nil"/>
            </w:tcBorders>
            <w:shd w:val="clear" w:color="auto" w:fill="auto"/>
            <w:noWrap/>
            <w:vAlign w:val="bottom"/>
            <w:hideMark/>
          </w:tcPr>
          <w:p w14:paraId="21A3BF4E" w14:textId="77777777" w:rsidR="00EB3D81" w:rsidRPr="00280457" w:rsidRDefault="00EB3D81" w:rsidP="00EB3D81">
            <w:pPr>
              <w:spacing w:after="0" w:line="240" w:lineRule="auto"/>
              <w:rPr>
                <w:rFonts w:ascii="Arial" w:eastAsia="Times New Roman" w:hAnsi="Arial"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21EECED5"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785" w:type="dxa"/>
            <w:tcBorders>
              <w:top w:val="nil"/>
              <w:left w:val="nil"/>
              <w:bottom w:val="nil"/>
              <w:right w:val="nil"/>
            </w:tcBorders>
            <w:shd w:val="clear" w:color="auto" w:fill="auto"/>
            <w:noWrap/>
            <w:vAlign w:val="bottom"/>
            <w:hideMark/>
          </w:tcPr>
          <w:p w14:paraId="61817D65"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323" w:type="dxa"/>
            <w:tcBorders>
              <w:top w:val="nil"/>
              <w:left w:val="single" w:sz="8" w:space="0" w:color="auto"/>
              <w:bottom w:val="single" w:sz="8" w:space="0" w:color="auto"/>
              <w:right w:val="single" w:sz="8" w:space="0" w:color="auto"/>
            </w:tcBorders>
            <w:shd w:val="clear" w:color="auto" w:fill="auto"/>
            <w:noWrap/>
            <w:vAlign w:val="bottom"/>
            <w:hideMark/>
          </w:tcPr>
          <w:p w14:paraId="3FB4787D"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S</w:t>
            </w:r>
          </w:p>
        </w:tc>
        <w:tc>
          <w:tcPr>
            <w:tcW w:w="500" w:type="dxa"/>
            <w:tcBorders>
              <w:top w:val="nil"/>
              <w:left w:val="nil"/>
              <w:bottom w:val="single" w:sz="8" w:space="0" w:color="auto"/>
              <w:right w:val="single" w:sz="8" w:space="0" w:color="auto"/>
            </w:tcBorders>
            <w:shd w:val="clear" w:color="auto" w:fill="auto"/>
            <w:noWrap/>
            <w:vAlign w:val="bottom"/>
            <w:hideMark/>
          </w:tcPr>
          <w:p w14:paraId="097F235D"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000000" w:fill="00FF00"/>
            <w:noWrap/>
            <w:vAlign w:val="bottom"/>
            <w:hideMark/>
          </w:tcPr>
          <w:p w14:paraId="6D7C52FE"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auto" w:fill="auto"/>
            <w:noWrap/>
            <w:vAlign w:val="bottom"/>
            <w:hideMark/>
          </w:tcPr>
          <w:p w14:paraId="5588BA8E"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7969C328"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6970D31C"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285FC37F"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EB3D81" w:rsidRPr="00EB3D81" w14:paraId="2B85D030" w14:textId="77777777" w:rsidTr="00EB3D81">
        <w:trPr>
          <w:trHeight w:val="240"/>
        </w:trPr>
        <w:tc>
          <w:tcPr>
            <w:tcW w:w="146" w:type="dxa"/>
            <w:tcBorders>
              <w:top w:val="nil"/>
              <w:left w:val="nil"/>
              <w:bottom w:val="nil"/>
              <w:right w:val="nil"/>
            </w:tcBorders>
            <w:shd w:val="clear" w:color="auto" w:fill="auto"/>
            <w:noWrap/>
            <w:vAlign w:val="bottom"/>
            <w:hideMark/>
          </w:tcPr>
          <w:p w14:paraId="12E1512E" w14:textId="77777777" w:rsidR="00EB3D81" w:rsidRPr="00280457" w:rsidRDefault="00EB3D81" w:rsidP="00EB3D81">
            <w:pPr>
              <w:spacing w:after="0" w:line="240" w:lineRule="auto"/>
              <w:rPr>
                <w:rFonts w:ascii="Arial" w:eastAsia="Times New Roman" w:hAnsi="Arial"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68F3FF57"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785" w:type="dxa"/>
            <w:tcBorders>
              <w:top w:val="nil"/>
              <w:left w:val="nil"/>
              <w:bottom w:val="nil"/>
              <w:right w:val="nil"/>
            </w:tcBorders>
            <w:shd w:val="clear" w:color="auto" w:fill="auto"/>
            <w:noWrap/>
            <w:vAlign w:val="bottom"/>
            <w:hideMark/>
          </w:tcPr>
          <w:p w14:paraId="73979E32"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323" w:type="dxa"/>
            <w:tcBorders>
              <w:top w:val="nil"/>
              <w:left w:val="single" w:sz="8" w:space="0" w:color="auto"/>
              <w:bottom w:val="single" w:sz="8" w:space="0" w:color="auto"/>
              <w:right w:val="single" w:sz="8" w:space="0" w:color="auto"/>
            </w:tcBorders>
            <w:shd w:val="clear" w:color="auto" w:fill="auto"/>
            <w:noWrap/>
            <w:vAlign w:val="bottom"/>
            <w:hideMark/>
          </w:tcPr>
          <w:p w14:paraId="1A9CCC18"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H'</w:t>
            </w:r>
          </w:p>
        </w:tc>
        <w:tc>
          <w:tcPr>
            <w:tcW w:w="500" w:type="dxa"/>
            <w:tcBorders>
              <w:top w:val="nil"/>
              <w:left w:val="nil"/>
              <w:bottom w:val="single" w:sz="8" w:space="0" w:color="auto"/>
              <w:right w:val="single" w:sz="8" w:space="0" w:color="auto"/>
            </w:tcBorders>
            <w:shd w:val="clear" w:color="auto" w:fill="auto"/>
            <w:noWrap/>
            <w:vAlign w:val="bottom"/>
            <w:hideMark/>
          </w:tcPr>
          <w:p w14:paraId="0C4E65CD"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auto" w:fill="auto"/>
            <w:noWrap/>
            <w:vAlign w:val="bottom"/>
            <w:hideMark/>
          </w:tcPr>
          <w:p w14:paraId="36A41BFA"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000000" w:fill="FFFF00"/>
            <w:noWrap/>
            <w:vAlign w:val="bottom"/>
            <w:hideMark/>
          </w:tcPr>
          <w:p w14:paraId="50D209A1"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24C84E17"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336891B6"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4DAAC649"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EB3D81" w:rsidRPr="00EB3D81" w14:paraId="14CAE6E9" w14:textId="77777777" w:rsidTr="00EB3D81">
        <w:trPr>
          <w:trHeight w:val="240"/>
        </w:trPr>
        <w:tc>
          <w:tcPr>
            <w:tcW w:w="146" w:type="dxa"/>
            <w:tcBorders>
              <w:top w:val="nil"/>
              <w:left w:val="nil"/>
              <w:bottom w:val="nil"/>
              <w:right w:val="nil"/>
            </w:tcBorders>
            <w:shd w:val="clear" w:color="auto" w:fill="auto"/>
            <w:noWrap/>
            <w:vAlign w:val="bottom"/>
            <w:hideMark/>
          </w:tcPr>
          <w:p w14:paraId="479089F8" w14:textId="77777777" w:rsidR="00EB3D81" w:rsidRPr="00280457" w:rsidRDefault="00EB3D81" w:rsidP="00EB3D81">
            <w:pPr>
              <w:spacing w:after="0" w:line="240" w:lineRule="auto"/>
              <w:rPr>
                <w:rFonts w:ascii="Arial" w:eastAsia="Times New Roman" w:hAnsi="Arial"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0F09C258"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785" w:type="dxa"/>
            <w:tcBorders>
              <w:top w:val="nil"/>
              <w:left w:val="nil"/>
              <w:bottom w:val="nil"/>
              <w:right w:val="nil"/>
            </w:tcBorders>
            <w:shd w:val="clear" w:color="auto" w:fill="auto"/>
            <w:noWrap/>
            <w:vAlign w:val="bottom"/>
            <w:hideMark/>
          </w:tcPr>
          <w:p w14:paraId="047155E1"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323" w:type="dxa"/>
            <w:tcBorders>
              <w:top w:val="nil"/>
              <w:left w:val="single" w:sz="8" w:space="0" w:color="auto"/>
              <w:bottom w:val="single" w:sz="8" w:space="0" w:color="auto"/>
              <w:right w:val="single" w:sz="8" w:space="0" w:color="auto"/>
            </w:tcBorders>
            <w:shd w:val="clear" w:color="auto" w:fill="auto"/>
            <w:noWrap/>
            <w:vAlign w:val="bottom"/>
            <w:hideMark/>
          </w:tcPr>
          <w:p w14:paraId="0AF85D27"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J'</w:t>
            </w:r>
          </w:p>
        </w:tc>
        <w:tc>
          <w:tcPr>
            <w:tcW w:w="500" w:type="dxa"/>
            <w:tcBorders>
              <w:top w:val="nil"/>
              <w:left w:val="nil"/>
              <w:bottom w:val="single" w:sz="8" w:space="0" w:color="auto"/>
              <w:right w:val="single" w:sz="8" w:space="0" w:color="auto"/>
            </w:tcBorders>
            <w:shd w:val="clear" w:color="auto" w:fill="auto"/>
            <w:noWrap/>
            <w:vAlign w:val="bottom"/>
            <w:hideMark/>
          </w:tcPr>
          <w:p w14:paraId="751A4E6C"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auto" w:fill="auto"/>
            <w:noWrap/>
            <w:vAlign w:val="bottom"/>
            <w:hideMark/>
          </w:tcPr>
          <w:p w14:paraId="0D3F7A5A"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auto" w:fill="auto"/>
            <w:noWrap/>
            <w:vAlign w:val="bottom"/>
            <w:hideMark/>
          </w:tcPr>
          <w:p w14:paraId="57457E93"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000000" w:fill="FF9900"/>
            <w:noWrap/>
            <w:vAlign w:val="bottom"/>
            <w:hideMark/>
          </w:tcPr>
          <w:p w14:paraId="2015A9DE"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7A2262AA"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14301CBB"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r w:rsidR="00EB3D81" w:rsidRPr="00EB3D81" w14:paraId="0EFF6FEB" w14:textId="77777777" w:rsidTr="00EB3D81">
        <w:trPr>
          <w:trHeight w:val="240"/>
        </w:trPr>
        <w:tc>
          <w:tcPr>
            <w:tcW w:w="146" w:type="dxa"/>
            <w:tcBorders>
              <w:top w:val="nil"/>
              <w:left w:val="nil"/>
              <w:bottom w:val="nil"/>
              <w:right w:val="nil"/>
            </w:tcBorders>
            <w:shd w:val="clear" w:color="auto" w:fill="auto"/>
            <w:noWrap/>
            <w:vAlign w:val="bottom"/>
            <w:hideMark/>
          </w:tcPr>
          <w:p w14:paraId="5B21FC39" w14:textId="77777777" w:rsidR="00EB3D81" w:rsidRPr="00280457" w:rsidRDefault="00EB3D81" w:rsidP="00EB3D81">
            <w:pPr>
              <w:spacing w:after="0" w:line="240" w:lineRule="auto"/>
              <w:rPr>
                <w:rFonts w:ascii="Arial" w:eastAsia="Times New Roman" w:hAnsi="Arial"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41D5F830" w14:textId="77777777" w:rsidR="00EB3D81" w:rsidRPr="00EB3D81" w:rsidRDefault="00EB3D81" w:rsidP="00EB3D81">
            <w:pPr>
              <w:spacing w:after="0" w:line="240" w:lineRule="auto"/>
              <w:rPr>
                <w:rFonts w:asciiTheme="majorHAnsi" w:eastAsia="Times New Roman" w:hAnsiTheme="majorHAnsi" w:cs="Arial"/>
                <w:bCs/>
                <w:sz w:val="20"/>
                <w:szCs w:val="20"/>
                <w:lang w:eastAsia="fr-BE"/>
              </w:rPr>
            </w:pPr>
          </w:p>
        </w:tc>
        <w:tc>
          <w:tcPr>
            <w:tcW w:w="785" w:type="dxa"/>
            <w:tcBorders>
              <w:top w:val="nil"/>
              <w:left w:val="nil"/>
              <w:bottom w:val="nil"/>
              <w:right w:val="nil"/>
            </w:tcBorders>
            <w:shd w:val="clear" w:color="auto" w:fill="auto"/>
            <w:noWrap/>
            <w:vAlign w:val="bottom"/>
            <w:hideMark/>
          </w:tcPr>
          <w:p w14:paraId="489F2F57"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323" w:type="dxa"/>
            <w:tcBorders>
              <w:top w:val="nil"/>
              <w:left w:val="nil"/>
              <w:bottom w:val="nil"/>
              <w:right w:val="nil"/>
            </w:tcBorders>
            <w:shd w:val="clear" w:color="auto" w:fill="auto"/>
            <w:noWrap/>
            <w:vAlign w:val="bottom"/>
            <w:hideMark/>
          </w:tcPr>
          <w:p w14:paraId="1DE7F7A5"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67144304"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F5BD4A3"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0F91F12"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029D5AD"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FF7030C"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223CBBDA"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r>
      <w:tr w:rsidR="00EB3D81" w:rsidRPr="00EB3D81" w14:paraId="2A2446CD" w14:textId="77777777" w:rsidTr="00EB3D81">
        <w:trPr>
          <w:trHeight w:val="240"/>
        </w:trPr>
        <w:tc>
          <w:tcPr>
            <w:tcW w:w="146" w:type="dxa"/>
            <w:tcBorders>
              <w:top w:val="nil"/>
              <w:left w:val="nil"/>
              <w:bottom w:val="nil"/>
              <w:right w:val="nil"/>
            </w:tcBorders>
            <w:shd w:val="clear" w:color="auto" w:fill="auto"/>
            <w:noWrap/>
            <w:vAlign w:val="bottom"/>
            <w:hideMark/>
          </w:tcPr>
          <w:p w14:paraId="7875360D" w14:textId="77777777" w:rsidR="00EB3D81" w:rsidRPr="00280457" w:rsidRDefault="00EB3D81" w:rsidP="00EB3D81">
            <w:pPr>
              <w:spacing w:after="0" w:line="240" w:lineRule="auto"/>
              <w:rPr>
                <w:rFonts w:ascii="Arial" w:eastAsia="Times New Roman" w:hAnsi="Arial" w:cs="Arial"/>
                <w:b/>
                <w:bCs/>
                <w:sz w:val="20"/>
                <w:szCs w:val="20"/>
                <w:lang w:eastAsia="fr-BE"/>
              </w:rPr>
            </w:pPr>
          </w:p>
        </w:tc>
        <w:tc>
          <w:tcPr>
            <w:tcW w:w="2819" w:type="dxa"/>
            <w:tcBorders>
              <w:top w:val="nil"/>
              <w:left w:val="nil"/>
              <w:bottom w:val="nil"/>
              <w:right w:val="nil"/>
            </w:tcBorders>
            <w:shd w:val="clear" w:color="auto" w:fill="auto"/>
            <w:noWrap/>
            <w:vAlign w:val="bottom"/>
            <w:hideMark/>
          </w:tcPr>
          <w:p w14:paraId="43A78CF4" w14:textId="77777777" w:rsidR="00EB3D81" w:rsidRPr="00EB3D81" w:rsidRDefault="00EB3D81" w:rsidP="00EB3D81">
            <w:pPr>
              <w:spacing w:after="0" w:line="240" w:lineRule="auto"/>
              <w:rPr>
                <w:rFonts w:asciiTheme="majorHAnsi" w:eastAsia="Times New Roman" w:hAnsiTheme="majorHAnsi" w:cs="Arial"/>
                <w:bCs/>
                <w:sz w:val="20"/>
                <w:szCs w:val="20"/>
                <w:lang w:eastAsia="fr-BE"/>
              </w:rPr>
            </w:pPr>
          </w:p>
        </w:tc>
        <w:tc>
          <w:tcPr>
            <w:tcW w:w="785" w:type="dxa"/>
            <w:tcBorders>
              <w:top w:val="nil"/>
              <w:left w:val="nil"/>
              <w:bottom w:val="nil"/>
              <w:right w:val="nil"/>
            </w:tcBorders>
            <w:shd w:val="clear" w:color="auto" w:fill="auto"/>
            <w:noWrap/>
            <w:vAlign w:val="bottom"/>
            <w:hideMark/>
          </w:tcPr>
          <w:p w14:paraId="0DD74CC7" w14:textId="77777777" w:rsidR="00EB3D81" w:rsidRPr="00EB3D81" w:rsidRDefault="00EB3D81" w:rsidP="00EB3D81">
            <w:pPr>
              <w:spacing w:after="0" w:line="240" w:lineRule="auto"/>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IBGN</w:t>
            </w:r>
          </w:p>
        </w:tc>
        <w:tc>
          <w:tcPr>
            <w:tcW w:w="323" w:type="dxa"/>
            <w:tcBorders>
              <w:top w:val="nil"/>
              <w:left w:val="nil"/>
              <w:bottom w:val="nil"/>
              <w:right w:val="nil"/>
            </w:tcBorders>
            <w:shd w:val="clear" w:color="auto" w:fill="auto"/>
            <w:noWrap/>
            <w:vAlign w:val="bottom"/>
            <w:hideMark/>
          </w:tcPr>
          <w:p w14:paraId="17A9237F" w14:textId="77777777" w:rsidR="00EB3D81" w:rsidRPr="00EB3D81"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C37143"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000000" w:fill="00FF00"/>
            <w:noWrap/>
            <w:vAlign w:val="bottom"/>
            <w:hideMark/>
          </w:tcPr>
          <w:p w14:paraId="3ADD0509"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4C17011C"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9927D05"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73D2E73B"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7CFDA808" w14:textId="77777777" w:rsidR="00EB3D81" w:rsidRPr="00EB3D81" w:rsidRDefault="00EB3D81" w:rsidP="00EB3D81">
            <w:pPr>
              <w:spacing w:after="0" w:line="240" w:lineRule="auto"/>
              <w:jc w:val="center"/>
              <w:rPr>
                <w:rFonts w:asciiTheme="majorHAnsi" w:eastAsia="Times New Roman" w:hAnsiTheme="majorHAnsi" w:cs="Arial"/>
                <w:sz w:val="20"/>
                <w:szCs w:val="20"/>
                <w:lang w:eastAsia="fr-BE"/>
              </w:rPr>
            </w:pPr>
            <w:r w:rsidRPr="00EB3D81">
              <w:rPr>
                <w:rFonts w:asciiTheme="majorHAnsi" w:eastAsia="Times New Roman" w:hAnsiTheme="majorHAnsi" w:cs="Arial"/>
                <w:sz w:val="20"/>
                <w:szCs w:val="20"/>
                <w:lang w:eastAsia="fr-BE"/>
              </w:rPr>
              <w:t>NC</w:t>
            </w:r>
          </w:p>
        </w:tc>
      </w:tr>
    </w:tbl>
    <w:p w14:paraId="4CBCDEBE" w14:textId="77777777" w:rsidR="00EB3D81" w:rsidRDefault="00EB3D81" w:rsidP="00EB3D81"/>
    <w:p w14:paraId="6FEB8CAB" w14:textId="7E5DB438" w:rsidR="00EB3D81" w:rsidRPr="00B41E1F" w:rsidRDefault="00B41E1F" w:rsidP="00EB3D81">
      <w:pPr>
        <w:rPr>
          <w:rFonts w:asciiTheme="majorHAnsi" w:hAnsiTheme="majorHAnsi"/>
          <w:b/>
          <w:sz w:val="20"/>
          <w:szCs w:val="20"/>
        </w:rPr>
      </w:pPr>
      <w:r w:rsidRPr="00B41E1F">
        <w:rPr>
          <w:rFonts w:asciiTheme="majorHAnsi" w:hAnsiTheme="majorHAnsi"/>
          <w:b/>
          <w:sz w:val="20"/>
          <w:szCs w:val="20"/>
        </w:rPr>
        <w:t>Triffoy aval</w:t>
      </w:r>
    </w:p>
    <w:tbl>
      <w:tblPr>
        <w:tblW w:w="7072" w:type="dxa"/>
        <w:tblInd w:w="55" w:type="dxa"/>
        <w:tblCellMar>
          <w:left w:w="70" w:type="dxa"/>
          <w:right w:w="70" w:type="dxa"/>
        </w:tblCellMar>
        <w:tblLook w:val="04A0" w:firstRow="1" w:lastRow="0" w:firstColumn="1" w:lastColumn="0" w:noHBand="0" w:noVBand="1"/>
      </w:tblPr>
      <w:tblGrid>
        <w:gridCol w:w="146"/>
        <w:gridCol w:w="2819"/>
        <w:gridCol w:w="785"/>
        <w:gridCol w:w="322"/>
        <w:gridCol w:w="500"/>
        <w:gridCol w:w="500"/>
        <w:gridCol w:w="500"/>
        <w:gridCol w:w="500"/>
        <w:gridCol w:w="500"/>
        <w:gridCol w:w="500"/>
      </w:tblGrid>
      <w:tr w:rsidR="00EB3D81" w:rsidRPr="00B41E1F" w14:paraId="031898E7" w14:textId="77777777" w:rsidTr="00B41E1F">
        <w:trPr>
          <w:trHeight w:val="240"/>
        </w:trPr>
        <w:tc>
          <w:tcPr>
            <w:tcW w:w="4072" w:type="dxa"/>
            <w:gridSpan w:val="4"/>
            <w:tcBorders>
              <w:top w:val="nil"/>
              <w:left w:val="nil"/>
              <w:bottom w:val="nil"/>
              <w:right w:val="nil"/>
            </w:tcBorders>
            <w:shd w:val="clear" w:color="auto" w:fill="auto"/>
            <w:noWrap/>
            <w:vAlign w:val="bottom"/>
            <w:hideMark/>
          </w:tcPr>
          <w:p w14:paraId="3A806253"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r w:rsidRPr="00B41E1F">
              <w:rPr>
                <w:rFonts w:asciiTheme="majorHAnsi" w:eastAsia="Times New Roman" w:hAnsiTheme="majorHAnsi" w:cs="Arial"/>
                <w:bCs/>
                <w:sz w:val="20"/>
                <w:szCs w:val="20"/>
                <w:lang w:eastAsia="fr-BE"/>
              </w:rPr>
              <w:t>3. Évaluation de la diversité biologique</w:t>
            </w:r>
          </w:p>
        </w:tc>
        <w:tc>
          <w:tcPr>
            <w:tcW w:w="500" w:type="dxa"/>
            <w:tcBorders>
              <w:top w:val="nil"/>
              <w:left w:val="nil"/>
              <w:bottom w:val="nil"/>
              <w:right w:val="nil"/>
            </w:tcBorders>
            <w:shd w:val="clear" w:color="auto" w:fill="auto"/>
            <w:noWrap/>
            <w:vAlign w:val="bottom"/>
            <w:hideMark/>
          </w:tcPr>
          <w:p w14:paraId="6A48DAB3"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07FAE8FC"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FC8CADD"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151B466C"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269514F"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2D6126C2"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r>
      <w:tr w:rsidR="00EB3D81" w:rsidRPr="00B41E1F" w14:paraId="4702C96A" w14:textId="77777777" w:rsidTr="00B41E1F">
        <w:trPr>
          <w:trHeight w:val="240"/>
        </w:trPr>
        <w:tc>
          <w:tcPr>
            <w:tcW w:w="146" w:type="dxa"/>
            <w:tcBorders>
              <w:top w:val="nil"/>
              <w:left w:val="nil"/>
              <w:bottom w:val="nil"/>
              <w:right w:val="nil"/>
            </w:tcBorders>
            <w:shd w:val="clear" w:color="auto" w:fill="auto"/>
            <w:noWrap/>
            <w:vAlign w:val="bottom"/>
            <w:hideMark/>
          </w:tcPr>
          <w:p w14:paraId="61AE80C6"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2819" w:type="dxa"/>
            <w:tcBorders>
              <w:top w:val="nil"/>
              <w:left w:val="nil"/>
              <w:bottom w:val="nil"/>
              <w:right w:val="nil"/>
            </w:tcBorders>
            <w:shd w:val="clear" w:color="auto" w:fill="auto"/>
            <w:noWrap/>
            <w:vAlign w:val="bottom"/>
            <w:hideMark/>
          </w:tcPr>
          <w:p w14:paraId="7E8F283C"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785" w:type="dxa"/>
            <w:tcBorders>
              <w:top w:val="nil"/>
              <w:left w:val="nil"/>
              <w:bottom w:val="nil"/>
              <w:right w:val="nil"/>
            </w:tcBorders>
            <w:shd w:val="clear" w:color="auto" w:fill="auto"/>
            <w:noWrap/>
            <w:vAlign w:val="bottom"/>
            <w:hideMark/>
          </w:tcPr>
          <w:p w14:paraId="550783C0"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322" w:type="dxa"/>
            <w:tcBorders>
              <w:top w:val="nil"/>
              <w:left w:val="nil"/>
              <w:bottom w:val="nil"/>
              <w:right w:val="nil"/>
            </w:tcBorders>
            <w:shd w:val="clear" w:color="auto" w:fill="auto"/>
            <w:noWrap/>
            <w:vAlign w:val="bottom"/>
            <w:hideMark/>
          </w:tcPr>
          <w:p w14:paraId="1C5643A1"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6D3A07"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5D57DD68"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000000" w:fill="FFFF00"/>
            <w:noWrap/>
            <w:vAlign w:val="bottom"/>
            <w:hideMark/>
          </w:tcPr>
          <w:p w14:paraId="0ED5C7D6"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3A60032E"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066DC86"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5526A7DE"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NC</w:t>
            </w:r>
          </w:p>
        </w:tc>
      </w:tr>
      <w:tr w:rsidR="00EB3D81" w:rsidRPr="00B41E1F" w14:paraId="2C6F066A" w14:textId="77777777" w:rsidTr="00B41E1F">
        <w:trPr>
          <w:trHeight w:val="240"/>
        </w:trPr>
        <w:tc>
          <w:tcPr>
            <w:tcW w:w="4072" w:type="dxa"/>
            <w:gridSpan w:val="4"/>
            <w:tcBorders>
              <w:top w:val="nil"/>
              <w:left w:val="nil"/>
              <w:bottom w:val="nil"/>
              <w:right w:val="nil"/>
            </w:tcBorders>
            <w:shd w:val="clear" w:color="auto" w:fill="auto"/>
            <w:noWrap/>
            <w:vAlign w:val="bottom"/>
            <w:hideMark/>
          </w:tcPr>
          <w:p w14:paraId="4BAE0BEC"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r w:rsidRPr="00B41E1F">
              <w:rPr>
                <w:rFonts w:asciiTheme="majorHAnsi" w:eastAsia="Times New Roman" w:hAnsiTheme="majorHAnsi" w:cs="Arial"/>
                <w:bCs/>
                <w:sz w:val="20"/>
                <w:szCs w:val="20"/>
                <w:lang w:eastAsia="fr-BE"/>
              </w:rPr>
              <w:t>4. Évaluation de la diversité écologique</w:t>
            </w:r>
          </w:p>
        </w:tc>
        <w:tc>
          <w:tcPr>
            <w:tcW w:w="500" w:type="dxa"/>
            <w:tcBorders>
              <w:top w:val="nil"/>
              <w:left w:val="nil"/>
              <w:bottom w:val="nil"/>
              <w:right w:val="nil"/>
            </w:tcBorders>
            <w:shd w:val="clear" w:color="auto" w:fill="auto"/>
            <w:noWrap/>
            <w:vAlign w:val="bottom"/>
            <w:hideMark/>
          </w:tcPr>
          <w:p w14:paraId="6F0C4748"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45177A3C"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0B92AFC"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4AB2E18F"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4B8406E3"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23090770"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r>
      <w:tr w:rsidR="00EB3D81" w:rsidRPr="00B41E1F" w14:paraId="4F28AD53" w14:textId="77777777" w:rsidTr="00B41E1F">
        <w:trPr>
          <w:trHeight w:val="240"/>
        </w:trPr>
        <w:tc>
          <w:tcPr>
            <w:tcW w:w="146" w:type="dxa"/>
            <w:tcBorders>
              <w:top w:val="nil"/>
              <w:left w:val="nil"/>
              <w:bottom w:val="nil"/>
              <w:right w:val="nil"/>
            </w:tcBorders>
            <w:shd w:val="clear" w:color="auto" w:fill="auto"/>
            <w:noWrap/>
            <w:vAlign w:val="bottom"/>
            <w:hideMark/>
          </w:tcPr>
          <w:p w14:paraId="3A55E939"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2819" w:type="dxa"/>
            <w:tcBorders>
              <w:top w:val="nil"/>
              <w:left w:val="nil"/>
              <w:bottom w:val="nil"/>
              <w:right w:val="nil"/>
            </w:tcBorders>
            <w:shd w:val="clear" w:color="auto" w:fill="auto"/>
            <w:noWrap/>
            <w:vAlign w:val="bottom"/>
            <w:hideMark/>
          </w:tcPr>
          <w:p w14:paraId="0CE10BF2"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785" w:type="dxa"/>
            <w:tcBorders>
              <w:top w:val="nil"/>
              <w:left w:val="nil"/>
              <w:bottom w:val="nil"/>
              <w:right w:val="nil"/>
            </w:tcBorders>
            <w:shd w:val="clear" w:color="auto" w:fill="auto"/>
            <w:noWrap/>
            <w:vAlign w:val="bottom"/>
            <w:hideMark/>
          </w:tcPr>
          <w:p w14:paraId="30940D65"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322" w:type="dxa"/>
            <w:tcBorders>
              <w:top w:val="nil"/>
              <w:left w:val="nil"/>
              <w:bottom w:val="nil"/>
              <w:right w:val="nil"/>
            </w:tcBorders>
            <w:shd w:val="clear" w:color="auto" w:fill="auto"/>
            <w:noWrap/>
            <w:vAlign w:val="bottom"/>
            <w:hideMark/>
          </w:tcPr>
          <w:p w14:paraId="3AD2A44C"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F5D1D3"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A7F59CE"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000000" w:fill="FFFF00"/>
            <w:noWrap/>
            <w:vAlign w:val="bottom"/>
            <w:hideMark/>
          </w:tcPr>
          <w:p w14:paraId="22A4F89F"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DE2BBDD"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6E4DC76D"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38E89F01"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NC</w:t>
            </w:r>
          </w:p>
        </w:tc>
      </w:tr>
      <w:tr w:rsidR="00EB3D81" w:rsidRPr="00B41E1F" w14:paraId="1607E0AB" w14:textId="77777777" w:rsidTr="00B41E1F">
        <w:trPr>
          <w:trHeight w:val="240"/>
        </w:trPr>
        <w:tc>
          <w:tcPr>
            <w:tcW w:w="4572" w:type="dxa"/>
            <w:gridSpan w:val="5"/>
            <w:tcBorders>
              <w:top w:val="nil"/>
              <w:left w:val="nil"/>
              <w:bottom w:val="nil"/>
              <w:right w:val="nil"/>
            </w:tcBorders>
            <w:shd w:val="clear" w:color="auto" w:fill="auto"/>
            <w:noWrap/>
            <w:vAlign w:val="bottom"/>
            <w:hideMark/>
          </w:tcPr>
          <w:p w14:paraId="3CCFD12E"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r w:rsidRPr="00B41E1F">
              <w:rPr>
                <w:rFonts w:asciiTheme="majorHAnsi" w:eastAsia="Times New Roman" w:hAnsiTheme="majorHAnsi" w:cs="Arial"/>
                <w:bCs/>
                <w:sz w:val="20"/>
                <w:szCs w:val="20"/>
                <w:lang w:eastAsia="fr-BE"/>
              </w:rPr>
              <w:t>5. Description de la structure taxonomique</w:t>
            </w:r>
          </w:p>
        </w:tc>
        <w:tc>
          <w:tcPr>
            <w:tcW w:w="500" w:type="dxa"/>
            <w:tcBorders>
              <w:top w:val="nil"/>
              <w:left w:val="nil"/>
              <w:bottom w:val="nil"/>
              <w:right w:val="nil"/>
            </w:tcBorders>
            <w:shd w:val="clear" w:color="auto" w:fill="auto"/>
            <w:noWrap/>
            <w:vAlign w:val="bottom"/>
            <w:hideMark/>
          </w:tcPr>
          <w:p w14:paraId="0B98B778"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7CC31D54"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64491C32"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63CB8D98"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1303DB7C"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r>
      <w:tr w:rsidR="00EB3D81" w:rsidRPr="00B41E1F" w14:paraId="46E6CC80" w14:textId="77777777" w:rsidTr="00B41E1F">
        <w:trPr>
          <w:trHeight w:val="240"/>
        </w:trPr>
        <w:tc>
          <w:tcPr>
            <w:tcW w:w="146" w:type="dxa"/>
            <w:tcBorders>
              <w:top w:val="nil"/>
              <w:left w:val="nil"/>
              <w:bottom w:val="nil"/>
              <w:right w:val="nil"/>
            </w:tcBorders>
            <w:shd w:val="clear" w:color="auto" w:fill="auto"/>
            <w:noWrap/>
            <w:vAlign w:val="bottom"/>
            <w:hideMark/>
          </w:tcPr>
          <w:p w14:paraId="4742B193"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2819" w:type="dxa"/>
            <w:tcBorders>
              <w:top w:val="nil"/>
              <w:left w:val="nil"/>
              <w:bottom w:val="nil"/>
              <w:right w:val="nil"/>
            </w:tcBorders>
            <w:shd w:val="clear" w:color="auto" w:fill="auto"/>
            <w:noWrap/>
            <w:vAlign w:val="bottom"/>
            <w:hideMark/>
          </w:tcPr>
          <w:p w14:paraId="64A329BE" w14:textId="77777777" w:rsidR="00EB3D81" w:rsidRPr="00B41E1F" w:rsidRDefault="00EB3D81" w:rsidP="00EB3D81">
            <w:pPr>
              <w:spacing w:after="0" w:line="240" w:lineRule="auto"/>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liste globale (station)</w:t>
            </w:r>
          </w:p>
        </w:tc>
        <w:tc>
          <w:tcPr>
            <w:tcW w:w="785" w:type="dxa"/>
            <w:tcBorders>
              <w:top w:val="nil"/>
              <w:left w:val="nil"/>
              <w:bottom w:val="nil"/>
              <w:right w:val="nil"/>
            </w:tcBorders>
            <w:shd w:val="clear" w:color="auto" w:fill="auto"/>
            <w:noWrap/>
            <w:vAlign w:val="bottom"/>
            <w:hideMark/>
          </w:tcPr>
          <w:p w14:paraId="628559F4"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32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D8D01D"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Q</w:t>
            </w:r>
          </w:p>
        </w:tc>
        <w:tc>
          <w:tcPr>
            <w:tcW w:w="500" w:type="dxa"/>
            <w:tcBorders>
              <w:top w:val="single" w:sz="8" w:space="0" w:color="auto"/>
              <w:left w:val="nil"/>
              <w:bottom w:val="single" w:sz="8" w:space="0" w:color="auto"/>
              <w:right w:val="single" w:sz="8" w:space="0" w:color="auto"/>
            </w:tcBorders>
            <w:shd w:val="clear" w:color="000000" w:fill="3366FF"/>
            <w:noWrap/>
            <w:vAlign w:val="bottom"/>
            <w:hideMark/>
          </w:tcPr>
          <w:p w14:paraId="08B4C6A6"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A35872E"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28F9E05"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2AADE309"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6BEB931A"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47774D8C"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NC</w:t>
            </w:r>
          </w:p>
        </w:tc>
      </w:tr>
      <w:tr w:rsidR="00EB3D81" w:rsidRPr="00B41E1F" w14:paraId="7DE251E2" w14:textId="77777777" w:rsidTr="00B41E1F">
        <w:trPr>
          <w:trHeight w:val="240"/>
        </w:trPr>
        <w:tc>
          <w:tcPr>
            <w:tcW w:w="146" w:type="dxa"/>
            <w:tcBorders>
              <w:top w:val="nil"/>
              <w:left w:val="nil"/>
              <w:bottom w:val="nil"/>
              <w:right w:val="nil"/>
            </w:tcBorders>
            <w:shd w:val="clear" w:color="auto" w:fill="auto"/>
            <w:noWrap/>
            <w:vAlign w:val="bottom"/>
            <w:hideMark/>
          </w:tcPr>
          <w:p w14:paraId="1F401FC5"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2819" w:type="dxa"/>
            <w:tcBorders>
              <w:top w:val="nil"/>
              <w:left w:val="nil"/>
              <w:bottom w:val="nil"/>
              <w:right w:val="nil"/>
            </w:tcBorders>
            <w:shd w:val="clear" w:color="auto" w:fill="auto"/>
            <w:noWrap/>
            <w:vAlign w:val="bottom"/>
            <w:hideMark/>
          </w:tcPr>
          <w:p w14:paraId="7A0F972A"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785" w:type="dxa"/>
            <w:tcBorders>
              <w:top w:val="nil"/>
              <w:left w:val="nil"/>
              <w:bottom w:val="nil"/>
              <w:right w:val="nil"/>
            </w:tcBorders>
            <w:shd w:val="clear" w:color="auto" w:fill="auto"/>
            <w:noWrap/>
            <w:vAlign w:val="bottom"/>
            <w:hideMark/>
          </w:tcPr>
          <w:p w14:paraId="432714DA"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322" w:type="dxa"/>
            <w:tcBorders>
              <w:top w:val="nil"/>
              <w:left w:val="single" w:sz="8" w:space="0" w:color="auto"/>
              <w:bottom w:val="single" w:sz="8" w:space="0" w:color="auto"/>
              <w:right w:val="single" w:sz="8" w:space="0" w:color="auto"/>
            </w:tcBorders>
            <w:shd w:val="clear" w:color="auto" w:fill="auto"/>
            <w:noWrap/>
            <w:vAlign w:val="bottom"/>
            <w:hideMark/>
          </w:tcPr>
          <w:p w14:paraId="4D57CCEE"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S</w:t>
            </w:r>
          </w:p>
        </w:tc>
        <w:tc>
          <w:tcPr>
            <w:tcW w:w="500" w:type="dxa"/>
            <w:tcBorders>
              <w:top w:val="nil"/>
              <w:left w:val="nil"/>
              <w:bottom w:val="single" w:sz="8" w:space="0" w:color="auto"/>
              <w:right w:val="single" w:sz="8" w:space="0" w:color="auto"/>
            </w:tcBorders>
            <w:shd w:val="clear" w:color="auto" w:fill="auto"/>
            <w:noWrap/>
            <w:vAlign w:val="bottom"/>
            <w:hideMark/>
          </w:tcPr>
          <w:p w14:paraId="3C5DA938"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auto" w:fill="auto"/>
            <w:noWrap/>
            <w:vAlign w:val="bottom"/>
            <w:hideMark/>
          </w:tcPr>
          <w:p w14:paraId="70318C41"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000000" w:fill="FFFF00"/>
            <w:noWrap/>
            <w:vAlign w:val="bottom"/>
            <w:hideMark/>
          </w:tcPr>
          <w:p w14:paraId="37DE7B52"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6D2DCD3B"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1127457A"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2AA1024F"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NC</w:t>
            </w:r>
          </w:p>
        </w:tc>
      </w:tr>
      <w:tr w:rsidR="00EB3D81" w:rsidRPr="00B41E1F" w14:paraId="14470B2C" w14:textId="77777777" w:rsidTr="00B41E1F">
        <w:trPr>
          <w:trHeight w:val="240"/>
        </w:trPr>
        <w:tc>
          <w:tcPr>
            <w:tcW w:w="146" w:type="dxa"/>
            <w:tcBorders>
              <w:top w:val="nil"/>
              <w:left w:val="nil"/>
              <w:bottom w:val="nil"/>
              <w:right w:val="nil"/>
            </w:tcBorders>
            <w:shd w:val="clear" w:color="auto" w:fill="auto"/>
            <w:noWrap/>
            <w:vAlign w:val="bottom"/>
            <w:hideMark/>
          </w:tcPr>
          <w:p w14:paraId="6E6C4C5A"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2819" w:type="dxa"/>
            <w:tcBorders>
              <w:top w:val="nil"/>
              <w:left w:val="nil"/>
              <w:bottom w:val="nil"/>
              <w:right w:val="nil"/>
            </w:tcBorders>
            <w:shd w:val="clear" w:color="auto" w:fill="auto"/>
            <w:noWrap/>
            <w:vAlign w:val="bottom"/>
            <w:hideMark/>
          </w:tcPr>
          <w:p w14:paraId="4BB9FF46"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785" w:type="dxa"/>
            <w:tcBorders>
              <w:top w:val="nil"/>
              <w:left w:val="nil"/>
              <w:bottom w:val="nil"/>
              <w:right w:val="nil"/>
            </w:tcBorders>
            <w:shd w:val="clear" w:color="auto" w:fill="auto"/>
            <w:noWrap/>
            <w:vAlign w:val="bottom"/>
            <w:hideMark/>
          </w:tcPr>
          <w:p w14:paraId="3982ED88"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322" w:type="dxa"/>
            <w:tcBorders>
              <w:top w:val="nil"/>
              <w:left w:val="single" w:sz="8" w:space="0" w:color="auto"/>
              <w:bottom w:val="single" w:sz="8" w:space="0" w:color="auto"/>
              <w:right w:val="single" w:sz="8" w:space="0" w:color="auto"/>
            </w:tcBorders>
            <w:shd w:val="clear" w:color="auto" w:fill="auto"/>
            <w:noWrap/>
            <w:vAlign w:val="bottom"/>
            <w:hideMark/>
          </w:tcPr>
          <w:p w14:paraId="6EDF50B9"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H'</w:t>
            </w:r>
          </w:p>
        </w:tc>
        <w:tc>
          <w:tcPr>
            <w:tcW w:w="500" w:type="dxa"/>
            <w:tcBorders>
              <w:top w:val="nil"/>
              <w:left w:val="nil"/>
              <w:bottom w:val="single" w:sz="8" w:space="0" w:color="auto"/>
              <w:right w:val="single" w:sz="8" w:space="0" w:color="auto"/>
            </w:tcBorders>
            <w:shd w:val="clear" w:color="auto" w:fill="auto"/>
            <w:noWrap/>
            <w:vAlign w:val="bottom"/>
            <w:hideMark/>
          </w:tcPr>
          <w:p w14:paraId="0828ACA4"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auto" w:fill="auto"/>
            <w:noWrap/>
            <w:vAlign w:val="bottom"/>
            <w:hideMark/>
          </w:tcPr>
          <w:p w14:paraId="1B73C48E"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000000" w:fill="FFFF00"/>
            <w:noWrap/>
            <w:vAlign w:val="bottom"/>
            <w:hideMark/>
          </w:tcPr>
          <w:p w14:paraId="43483F2C"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45AC4EAE"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7E533EED"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5AA20282"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NC</w:t>
            </w:r>
          </w:p>
        </w:tc>
      </w:tr>
      <w:tr w:rsidR="00EB3D81" w:rsidRPr="00B41E1F" w14:paraId="24D09F04" w14:textId="77777777" w:rsidTr="00B41E1F">
        <w:trPr>
          <w:trHeight w:val="240"/>
        </w:trPr>
        <w:tc>
          <w:tcPr>
            <w:tcW w:w="146" w:type="dxa"/>
            <w:tcBorders>
              <w:top w:val="nil"/>
              <w:left w:val="nil"/>
              <w:bottom w:val="nil"/>
              <w:right w:val="nil"/>
            </w:tcBorders>
            <w:shd w:val="clear" w:color="auto" w:fill="auto"/>
            <w:noWrap/>
            <w:vAlign w:val="bottom"/>
            <w:hideMark/>
          </w:tcPr>
          <w:p w14:paraId="04845794"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2819" w:type="dxa"/>
            <w:tcBorders>
              <w:top w:val="nil"/>
              <w:left w:val="nil"/>
              <w:bottom w:val="nil"/>
              <w:right w:val="nil"/>
            </w:tcBorders>
            <w:shd w:val="clear" w:color="auto" w:fill="auto"/>
            <w:noWrap/>
            <w:vAlign w:val="bottom"/>
            <w:hideMark/>
          </w:tcPr>
          <w:p w14:paraId="64206BE8"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785" w:type="dxa"/>
            <w:tcBorders>
              <w:top w:val="nil"/>
              <w:left w:val="nil"/>
              <w:bottom w:val="nil"/>
              <w:right w:val="nil"/>
            </w:tcBorders>
            <w:shd w:val="clear" w:color="auto" w:fill="auto"/>
            <w:noWrap/>
            <w:vAlign w:val="bottom"/>
            <w:hideMark/>
          </w:tcPr>
          <w:p w14:paraId="4AD88463"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322" w:type="dxa"/>
            <w:tcBorders>
              <w:top w:val="nil"/>
              <w:left w:val="single" w:sz="8" w:space="0" w:color="auto"/>
              <w:bottom w:val="single" w:sz="8" w:space="0" w:color="auto"/>
              <w:right w:val="single" w:sz="8" w:space="0" w:color="auto"/>
            </w:tcBorders>
            <w:shd w:val="clear" w:color="auto" w:fill="auto"/>
            <w:noWrap/>
            <w:vAlign w:val="bottom"/>
            <w:hideMark/>
          </w:tcPr>
          <w:p w14:paraId="6F5BB363"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J'</w:t>
            </w:r>
          </w:p>
        </w:tc>
        <w:tc>
          <w:tcPr>
            <w:tcW w:w="500" w:type="dxa"/>
            <w:tcBorders>
              <w:top w:val="nil"/>
              <w:left w:val="nil"/>
              <w:bottom w:val="single" w:sz="8" w:space="0" w:color="auto"/>
              <w:right w:val="single" w:sz="8" w:space="0" w:color="auto"/>
            </w:tcBorders>
            <w:shd w:val="clear" w:color="auto" w:fill="auto"/>
            <w:noWrap/>
            <w:vAlign w:val="bottom"/>
            <w:hideMark/>
          </w:tcPr>
          <w:p w14:paraId="2BFDCC9C"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1</w:t>
            </w:r>
          </w:p>
        </w:tc>
        <w:tc>
          <w:tcPr>
            <w:tcW w:w="500" w:type="dxa"/>
            <w:tcBorders>
              <w:top w:val="nil"/>
              <w:left w:val="nil"/>
              <w:bottom w:val="single" w:sz="8" w:space="0" w:color="auto"/>
              <w:right w:val="single" w:sz="8" w:space="0" w:color="auto"/>
            </w:tcBorders>
            <w:shd w:val="clear" w:color="auto" w:fill="auto"/>
            <w:noWrap/>
            <w:vAlign w:val="bottom"/>
            <w:hideMark/>
          </w:tcPr>
          <w:p w14:paraId="429F4906"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2</w:t>
            </w:r>
          </w:p>
        </w:tc>
        <w:tc>
          <w:tcPr>
            <w:tcW w:w="500" w:type="dxa"/>
            <w:tcBorders>
              <w:top w:val="nil"/>
              <w:left w:val="nil"/>
              <w:bottom w:val="single" w:sz="8" w:space="0" w:color="auto"/>
              <w:right w:val="single" w:sz="8" w:space="0" w:color="auto"/>
            </w:tcBorders>
            <w:shd w:val="clear" w:color="000000" w:fill="FFFF00"/>
            <w:noWrap/>
            <w:vAlign w:val="bottom"/>
            <w:hideMark/>
          </w:tcPr>
          <w:p w14:paraId="73C1488A"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3</w:t>
            </w:r>
          </w:p>
        </w:tc>
        <w:tc>
          <w:tcPr>
            <w:tcW w:w="500" w:type="dxa"/>
            <w:tcBorders>
              <w:top w:val="nil"/>
              <w:left w:val="nil"/>
              <w:bottom w:val="single" w:sz="8" w:space="0" w:color="auto"/>
              <w:right w:val="single" w:sz="8" w:space="0" w:color="auto"/>
            </w:tcBorders>
            <w:shd w:val="clear" w:color="auto" w:fill="auto"/>
            <w:noWrap/>
            <w:vAlign w:val="bottom"/>
            <w:hideMark/>
          </w:tcPr>
          <w:p w14:paraId="5908BC69"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4</w:t>
            </w:r>
          </w:p>
        </w:tc>
        <w:tc>
          <w:tcPr>
            <w:tcW w:w="500" w:type="dxa"/>
            <w:tcBorders>
              <w:top w:val="nil"/>
              <w:left w:val="nil"/>
              <w:bottom w:val="single" w:sz="8" w:space="0" w:color="auto"/>
              <w:right w:val="single" w:sz="8" w:space="0" w:color="auto"/>
            </w:tcBorders>
            <w:shd w:val="clear" w:color="auto" w:fill="auto"/>
            <w:noWrap/>
            <w:vAlign w:val="bottom"/>
            <w:hideMark/>
          </w:tcPr>
          <w:p w14:paraId="3F30DFBC"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5</w:t>
            </w:r>
          </w:p>
        </w:tc>
        <w:tc>
          <w:tcPr>
            <w:tcW w:w="500" w:type="dxa"/>
            <w:tcBorders>
              <w:top w:val="nil"/>
              <w:left w:val="nil"/>
              <w:bottom w:val="single" w:sz="8" w:space="0" w:color="auto"/>
              <w:right w:val="single" w:sz="8" w:space="0" w:color="auto"/>
            </w:tcBorders>
            <w:shd w:val="clear" w:color="000000" w:fill="auto"/>
            <w:noWrap/>
            <w:vAlign w:val="bottom"/>
            <w:hideMark/>
          </w:tcPr>
          <w:p w14:paraId="51041619"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NC</w:t>
            </w:r>
          </w:p>
        </w:tc>
      </w:tr>
      <w:tr w:rsidR="00EB3D81" w:rsidRPr="00B41E1F" w14:paraId="54843E89" w14:textId="77777777" w:rsidTr="00B41E1F">
        <w:trPr>
          <w:trHeight w:val="240"/>
        </w:trPr>
        <w:tc>
          <w:tcPr>
            <w:tcW w:w="146" w:type="dxa"/>
            <w:tcBorders>
              <w:top w:val="nil"/>
              <w:left w:val="nil"/>
              <w:bottom w:val="nil"/>
              <w:right w:val="nil"/>
            </w:tcBorders>
            <w:shd w:val="clear" w:color="auto" w:fill="auto"/>
            <w:noWrap/>
            <w:vAlign w:val="bottom"/>
            <w:hideMark/>
          </w:tcPr>
          <w:p w14:paraId="17DF1DB3"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2819" w:type="dxa"/>
            <w:tcBorders>
              <w:top w:val="nil"/>
              <w:left w:val="nil"/>
              <w:bottom w:val="nil"/>
              <w:right w:val="nil"/>
            </w:tcBorders>
            <w:shd w:val="clear" w:color="auto" w:fill="auto"/>
            <w:noWrap/>
            <w:vAlign w:val="bottom"/>
            <w:hideMark/>
          </w:tcPr>
          <w:p w14:paraId="65831F29"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785" w:type="dxa"/>
            <w:tcBorders>
              <w:top w:val="nil"/>
              <w:left w:val="nil"/>
              <w:bottom w:val="nil"/>
              <w:right w:val="nil"/>
            </w:tcBorders>
            <w:shd w:val="clear" w:color="auto" w:fill="auto"/>
            <w:noWrap/>
            <w:vAlign w:val="bottom"/>
            <w:hideMark/>
          </w:tcPr>
          <w:p w14:paraId="724F5E81"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322" w:type="dxa"/>
            <w:tcBorders>
              <w:top w:val="nil"/>
              <w:left w:val="nil"/>
              <w:bottom w:val="nil"/>
              <w:right w:val="nil"/>
            </w:tcBorders>
            <w:shd w:val="clear" w:color="auto" w:fill="auto"/>
            <w:noWrap/>
            <w:vAlign w:val="bottom"/>
            <w:hideMark/>
          </w:tcPr>
          <w:p w14:paraId="69E9694E"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3A79CBA6"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6D8671E0"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9CB7EA8"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6EC6DC9A"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5E09FD86"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nil"/>
              <w:left w:val="nil"/>
              <w:bottom w:val="nil"/>
              <w:right w:val="nil"/>
            </w:tcBorders>
            <w:shd w:val="clear" w:color="auto" w:fill="auto"/>
            <w:noWrap/>
            <w:vAlign w:val="bottom"/>
            <w:hideMark/>
          </w:tcPr>
          <w:p w14:paraId="404FE801"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r>
      <w:tr w:rsidR="00EB3D81" w:rsidRPr="00B41E1F" w14:paraId="04C5324D" w14:textId="77777777" w:rsidTr="00B41E1F">
        <w:trPr>
          <w:trHeight w:val="240"/>
        </w:trPr>
        <w:tc>
          <w:tcPr>
            <w:tcW w:w="146" w:type="dxa"/>
            <w:tcBorders>
              <w:top w:val="nil"/>
              <w:left w:val="nil"/>
              <w:bottom w:val="nil"/>
              <w:right w:val="nil"/>
            </w:tcBorders>
            <w:shd w:val="clear" w:color="auto" w:fill="auto"/>
            <w:noWrap/>
            <w:vAlign w:val="bottom"/>
            <w:hideMark/>
          </w:tcPr>
          <w:p w14:paraId="705FF53E"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2819" w:type="dxa"/>
            <w:tcBorders>
              <w:top w:val="nil"/>
              <w:left w:val="nil"/>
              <w:bottom w:val="nil"/>
              <w:right w:val="nil"/>
            </w:tcBorders>
            <w:shd w:val="clear" w:color="auto" w:fill="auto"/>
            <w:noWrap/>
            <w:vAlign w:val="bottom"/>
            <w:hideMark/>
          </w:tcPr>
          <w:p w14:paraId="2C5045CF" w14:textId="77777777" w:rsidR="00EB3D81" w:rsidRPr="00B41E1F" w:rsidRDefault="00EB3D81" w:rsidP="00EB3D81">
            <w:pPr>
              <w:spacing w:after="0" w:line="240" w:lineRule="auto"/>
              <w:rPr>
                <w:rFonts w:asciiTheme="majorHAnsi" w:eastAsia="Times New Roman" w:hAnsiTheme="majorHAnsi" w:cs="Arial"/>
                <w:bCs/>
                <w:sz w:val="20"/>
                <w:szCs w:val="20"/>
                <w:lang w:eastAsia="fr-BE"/>
              </w:rPr>
            </w:pPr>
          </w:p>
        </w:tc>
        <w:tc>
          <w:tcPr>
            <w:tcW w:w="785" w:type="dxa"/>
            <w:tcBorders>
              <w:top w:val="nil"/>
              <w:left w:val="nil"/>
              <w:bottom w:val="nil"/>
              <w:right w:val="nil"/>
            </w:tcBorders>
            <w:shd w:val="clear" w:color="auto" w:fill="auto"/>
            <w:noWrap/>
            <w:vAlign w:val="bottom"/>
            <w:hideMark/>
          </w:tcPr>
          <w:p w14:paraId="1E92DA76" w14:textId="77777777" w:rsidR="00EB3D81" w:rsidRPr="00B41E1F" w:rsidRDefault="00EB3D81" w:rsidP="00EB3D81">
            <w:pPr>
              <w:spacing w:after="0" w:line="240" w:lineRule="auto"/>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IBGN</w:t>
            </w:r>
          </w:p>
        </w:tc>
        <w:tc>
          <w:tcPr>
            <w:tcW w:w="322" w:type="dxa"/>
            <w:tcBorders>
              <w:top w:val="nil"/>
              <w:left w:val="nil"/>
              <w:bottom w:val="nil"/>
              <w:right w:val="nil"/>
            </w:tcBorders>
            <w:shd w:val="clear" w:color="auto" w:fill="auto"/>
            <w:noWrap/>
            <w:vAlign w:val="bottom"/>
            <w:hideMark/>
          </w:tcPr>
          <w:p w14:paraId="02D3A68E" w14:textId="77777777" w:rsidR="00EB3D81" w:rsidRPr="00B41E1F" w:rsidRDefault="00EB3D81" w:rsidP="00EB3D81">
            <w:pPr>
              <w:spacing w:after="0" w:line="240" w:lineRule="auto"/>
              <w:rPr>
                <w:rFonts w:asciiTheme="majorHAnsi" w:eastAsia="Times New Roman" w:hAnsiTheme="majorHAnsi" w:cs="Arial"/>
                <w:sz w:val="20"/>
                <w:szCs w:val="20"/>
                <w:lang w:eastAsia="fr-BE"/>
              </w:rPr>
            </w:pP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A94638"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54F78166"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2</w:t>
            </w:r>
          </w:p>
        </w:tc>
        <w:tc>
          <w:tcPr>
            <w:tcW w:w="500" w:type="dxa"/>
            <w:tcBorders>
              <w:top w:val="single" w:sz="8" w:space="0" w:color="auto"/>
              <w:left w:val="nil"/>
              <w:bottom w:val="single" w:sz="8" w:space="0" w:color="auto"/>
              <w:right w:val="single" w:sz="8" w:space="0" w:color="auto"/>
            </w:tcBorders>
            <w:shd w:val="clear" w:color="000000" w:fill="FFFF00"/>
            <w:noWrap/>
            <w:vAlign w:val="bottom"/>
            <w:hideMark/>
          </w:tcPr>
          <w:p w14:paraId="362C1996"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3</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54DE5D7E"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4</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71B587FB"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5</w:t>
            </w:r>
          </w:p>
        </w:tc>
        <w:tc>
          <w:tcPr>
            <w:tcW w:w="500" w:type="dxa"/>
            <w:tcBorders>
              <w:top w:val="single" w:sz="8" w:space="0" w:color="auto"/>
              <w:left w:val="nil"/>
              <w:bottom w:val="single" w:sz="8" w:space="0" w:color="auto"/>
              <w:right w:val="single" w:sz="8" w:space="0" w:color="auto"/>
            </w:tcBorders>
            <w:shd w:val="clear" w:color="000000" w:fill="auto"/>
            <w:noWrap/>
            <w:vAlign w:val="bottom"/>
            <w:hideMark/>
          </w:tcPr>
          <w:p w14:paraId="5C2EA6E3" w14:textId="77777777" w:rsidR="00EB3D81" w:rsidRPr="00B41E1F" w:rsidRDefault="00EB3D81" w:rsidP="00EB3D81">
            <w:pPr>
              <w:spacing w:after="0" w:line="240" w:lineRule="auto"/>
              <w:jc w:val="center"/>
              <w:rPr>
                <w:rFonts w:asciiTheme="majorHAnsi" w:eastAsia="Times New Roman" w:hAnsiTheme="majorHAnsi" w:cs="Arial"/>
                <w:sz w:val="20"/>
                <w:szCs w:val="20"/>
                <w:lang w:eastAsia="fr-BE"/>
              </w:rPr>
            </w:pPr>
            <w:r w:rsidRPr="00B41E1F">
              <w:rPr>
                <w:rFonts w:asciiTheme="majorHAnsi" w:eastAsia="Times New Roman" w:hAnsiTheme="majorHAnsi" w:cs="Arial"/>
                <w:sz w:val="20"/>
                <w:szCs w:val="20"/>
                <w:lang w:eastAsia="fr-BE"/>
              </w:rPr>
              <w:t>NC</w:t>
            </w:r>
          </w:p>
        </w:tc>
      </w:tr>
    </w:tbl>
    <w:p w14:paraId="2502F2EA" w14:textId="77777777" w:rsidR="00EB3D81" w:rsidRDefault="00EB3D81" w:rsidP="00932745">
      <w:pPr>
        <w:jc w:val="both"/>
      </w:pPr>
    </w:p>
    <w:p w14:paraId="7D2DD1D9" w14:textId="55323488" w:rsidR="00EB3D81" w:rsidRDefault="00B41E1F" w:rsidP="00932745">
      <w:pPr>
        <w:jc w:val="both"/>
      </w:pPr>
      <w:r>
        <w:t>Dans le Triffoy, des problèmes sont visibles au niveau de la diversité</w:t>
      </w:r>
      <w:r w:rsidR="00A12639">
        <w:t xml:space="preserve"> des traits et de la structure taxonomique</w:t>
      </w:r>
      <w:r>
        <w:t>, surtout dans la station aval, ce qui confirme le diagnostic établi d’après le prélèvement de 2013.</w:t>
      </w:r>
    </w:p>
    <w:p w14:paraId="61D85FAD" w14:textId="77777777" w:rsidR="00EB3D81" w:rsidRDefault="00EB3D81" w:rsidP="00932745">
      <w:pPr>
        <w:jc w:val="both"/>
      </w:pPr>
    </w:p>
    <w:p w14:paraId="459282A9" w14:textId="77777777" w:rsidR="00B41E1F" w:rsidRDefault="00B41E1F" w:rsidP="00932745">
      <w:pPr>
        <w:jc w:val="both"/>
      </w:pPr>
    </w:p>
    <w:p w14:paraId="550B0AF6" w14:textId="6481598E" w:rsidR="00BC1ABF" w:rsidRDefault="00BC1ABF" w:rsidP="00932745">
      <w:pPr>
        <w:jc w:val="both"/>
      </w:pPr>
      <w:r>
        <w:t>2.2.2 Analyse factorielle des correspondances</w:t>
      </w:r>
    </w:p>
    <w:p w14:paraId="427FF0F2" w14:textId="4A80ADA5" w:rsidR="00932745" w:rsidRDefault="002353B3" w:rsidP="00932745">
      <w:pPr>
        <w:jc w:val="both"/>
      </w:pPr>
      <w:r>
        <w:t xml:space="preserve">L’analyse factorielle des correspondances (AFC) met en évidence des différences de caractéristiques biotiques (composition </w:t>
      </w:r>
      <w:r w:rsidR="00B41E1F">
        <w:t xml:space="preserve">taxonomique </w:t>
      </w:r>
      <w:r>
        <w:t xml:space="preserve">des peuplements de macroinvertébrés) et morphodynamiques entre les deux rivières (fig. 3.1.3 a et b). </w:t>
      </w:r>
    </w:p>
    <w:p w14:paraId="414B45E3" w14:textId="77777777" w:rsidR="002353B3" w:rsidRDefault="002353B3" w:rsidP="002353B3">
      <w:pPr>
        <w:jc w:val="center"/>
      </w:pPr>
      <w:r>
        <w:rPr>
          <w:noProof/>
          <w:lang w:eastAsia="fr-BE"/>
        </w:rPr>
        <w:lastRenderedPageBreak/>
        <w:drawing>
          <wp:inline distT="0" distB="0" distL="0" distR="0" wp14:anchorId="627A4D28" wp14:editId="0E680B2D">
            <wp:extent cx="4410024" cy="440370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especes.jpeg"/>
                    <pic:cNvPicPr/>
                  </pic:nvPicPr>
                  <pic:blipFill>
                    <a:blip r:embed="rId13">
                      <a:extLst>
                        <a:ext uri="{28A0092B-C50C-407E-A947-70E740481C1C}">
                          <a14:useLocalDpi xmlns:a14="http://schemas.microsoft.com/office/drawing/2010/main" val="0"/>
                        </a:ext>
                      </a:extLst>
                    </a:blip>
                    <a:stretch>
                      <a:fillRect/>
                    </a:stretch>
                  </pic:blipFill>
                  <pic:spPr>
                    <a:xfrm>
                      <a:off x="0" y="0"/>
                      <a:ext cx="4410225" cy="4403905"/>
                    </a:xfrm>
                    <a:prstGeom prst="rect">
                      <a:avLst/>
                    </a:prstGeom>
                  </pic:spPr>
                </pic:pic>
              </a:graphicData>
            </a:graphic>
          </wp:inline>
        </w:drawing>
      </w:r>
    </w:p>
    <w:p w14:paraId="7FC4E45C" w14:textId="77777777" w:rsidR="002353B3" w:rsidRPr="002353B3" w:rsidRDefault="002353B3" w:rsidP="00932745">
      <w:pPr>
        <w:jc w:val="both"/>
        <w:rPr>
          <w:sz w:val="20"/>
          <w:szCs w:val="20"/>
        </w:rPr>
      </w:pPr>
      <w:r w:rsidRPr="002353B3">
        <w:rPr>
          <w:sz w:val="20"/>
          <w:szCs w:val="20"/>
        </w:rPr>
        <w:t xml:space="preserve">Fig. 3.1.3 a. AFC sur les peuplements de macroinvertébrés du Hoyoux et du Triffoy : ordination des taxons dans le plan des deux premiers axes factoriels. </w:t>
      </w:r>
    </w:p>
    <w:p w14:paraId="3F79A7E4" w14:textId="77777777" w:rsidR="002353B3" w:rsidRDefault="002353B3" w:rsidP="002353B3">
      <w:pPr>
        <w:jc w:val="center"/>
      </w:pPr>
      <w:r>
        <w:rPr>
          <w:noProof/>
          <w:lang w:eastAsia="fr-BE"/>
        </w:rPr>
        <w:drawing>
          <wp:inline distT="0" distB="0" distL="0" distR="0" wp14:anchorId="4EA36702" wp14:editId="1A61DAD8">
            <wp:extent cx="3120355" cy="3115883"/>
            <wp:effectExtent l="0" t="0" r="4445"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stations.bmp"/>
                    <pic:cNvPicPr/>
                  </pic:nvPicPr>
                  <pic:blipFill>
                    <a:blip r:embed="rId14">
                      <a:extLst>
                        <a:ext uri="{28A0092B-C50C-407E-A947-70E740481C1C}">
                          <a14:useLocalDpi xmlns:a14="http://schemas.microsoft.com/office/drawing/2010/main" val="0"/>
                        </a:ext>
                      </a:extLst>
                    </a:blip>
                    <a:stretch>
                      <a:fillRect/>
                    </a:stretch>
                  </pic:blipFill>
                  <pic:spPr>
                    <a:xfrm>
                      <a:off x="0" y="0"/>
                      <a:ext cx="3120572" cy="3116100"/>
                    </a:xfrm>
                    <a:prstGeom prst="rect">
                      <a:avLst/>
                    </a:prstGeom>
                  </pic:spPr>
                </pic:pic>
              </a:graphicData>
            </a:graphic>
          </wp:inline>
        </w:drawing>
      </w:r>
    </w:p>
    <w:p w14:paraId="392AA314" w14:textId="77777777" w:rsidR="002353B3" w:rsidRPr="002353B3" w:rsidRDefault="002353B3" w:rsidP="002353B3">
      <w:pPr>
        <w:jc w:val="both"/>
        <w:rPr>
          <w:sz w:val="20"/>
          <w:szCs w:val="20"/>
        </w:rPr>
      </w:pPr>
      <w:r w:rsidRPr="002353B3">
        <w:rPr>
          <w:sz w:val="20"/>
          <w:szCs w:val="20"/>
        </w:rPr>
        <w:t xml:space="preserve">Fig. 3.1.3 </w:t>
      </w:r>
      <w:r w:rsidR="00867466">
        <w:rPr>
          <w:sz w:val="20"/>
          <w:szCs w:val="20"/>
        </w:rPr>
        <w:t>b</w:t>
      </w:r>
      <w:r w:rsidRPr="002353B3">
        <w:rPr>
          <w:sz w:val="20"/>
          <w:szCs w:val="20"/>
        </w:rPr>
        <w:t xml:space="preserve">. AFC sur les peuplements de macroinvertébrés du Hoyoux et du Triffoy : ordination des </w:t>
      </w:r>
      <w:r w:rsidR="00867466">
        <w:rPr>
          <w:sz w:val="20"/>
          <w:szCs w:val="20"/>
        </w:rPr>
        <w:t>stations</w:t>
      </w:r>
      <w:r w:rsidRPr="002353B3">
        <w:rPr>
          <w:sz w:val="20"/>
          <w:szCs w:val="20"/>
        </w:rPr>
        <w:t xml:space="preserve"> dans le plan des deux premiers axes factoriels. </w:t>
      </w:r>
      <w:r w:rsidR="00867466">
        <w:rPr>
          <w:sz w:val="20"/>
          <w:szCs w:val="20"/>
        </w:rPr>
        <w:t>Triffoy amont = T3 ; Triffoy aval = T6 ; Hoyoux amont = H5 ; Hoyoux aval = H1. Chaque point représente un couple vitesse substrat et les points d’une même station sont reliés entre eux.</w:t>
      </w:r>
    </w:p>
    <w:p w14:paraId="33BF1A85" w14:textId="4264154C" w:rsidR="002353B3" w:rsidRDefault="007E739B" w:rsidP="00932745">
      <w:pPr>
        <w:jc w:val="both"/>
      </w:pPr>
      <w:r>
        <w:lastRenderedPageBreak/>
        <w:t>Sans entrer dans le détail de la composition des peuplements, l’AFC révèle :</w:t>
      </w:r>
    </w:p>
    <w:p w14:paraId="1491D802" w14:textId="43CC6A53" w:rsidR="007E739B" w:rsidRDefault="007E739B" w:rsidP="007E739B">
      <w:pPr>
        <w:pStyle w:val="Paragraphedeliste"/>
        <w:numPr>
          <w:ilvl w:val="0"/>
          <w:numId w:val="7"/>
        </w:numPr>
        <w:jc w:val="both"/>
      </w:pPr>
      <w:r>
        <w:t>Une forte similitude des deux stations du Triffoy</w:t>
      </w:r>
    </w:p>
    <w:p w14:paraId="034D33E4" w14:textId="3870BE74" w:rsidR="007E739B" w:rsidRDefault="007E739B" w:rsidP="007E739B">
      <w:pPr>
        <w:pStyle w:val="Paragraphedeliste"/>
        <w:numPr>
          <w:ilvl w:val="0"/>
          <w:numId w:val="7"/>
        </w:numPr>
        <w:jc w:val="both"/>
      </w:pPr>
      <w:r>
        <w:t>Un gradient amont-aval dans le Hoyoux entraînant des différences entre les 2 stations</w:t>
      </w:r>
    </w:p>
    <w:p w14:paraId="59CD26BB" w14:textId="77777777" w:rsidR="007E739B" w:rsidRDefault="007E739B" w:rsidP="007E739B">
      <w:pPr>
        <w:pStyle w:val="Paragraphedeliste"/>
        <w:ind w:left="0"/>
        <w:jc w:val="both"/>
      </w:pPr>
    </w:p>
    <w:p w14:paraId="45D5DC49" w14:textId="5333F8A6" w:rsidR="007E739B" w:rsidRDefault="007E739B" w:rsidP="007E739B">
      <w:pPr>
        <w:pStyle w:val="Paragraphedeliste"/>
        <w:ind w:left="0"/>
        <w:jc w:val="both"/>
      </w:pPr>
      <w:r>
        <w:t xml:space="preserve">Des </w:t>
      </w:r>
      <w:r w:rsidR="00B41E1F">
        <w:t xml:space="preserve">AFC complémentaires </w:t>
      </w:r>
      <w:r>
        <w:t>réalisées sur les vitesses et les substrats dans ces 4 stations montre</w:t>
      </w:r>
      <w:r w:rsidR="00B41E1F">
        <w:t>nt</w:t>
      </w:r>
      <w:r>
        <w:t xml:space="preserve"> des différences de caractéristiques morpho-dynamiques. Les </w:t>
      </w:r>
      <w:r w:rsidR="00205945">
        <w:t>quatre</w:t>
      </w:r>
      <w:r>
        <w:t xml:space="preserve"> stations </w:t>
      </w:r>
      <w:r w:rsidR="00205945">
        <w:t xml:space="preserve">comportent en proportion variable </w:t>
      </w:r>
      <w:r>
        <w:t xml:space="preserve">des sédiments fins, </w:t>
      </w:r>
      <w:r w:rsidR="00205945">
        <w:t>des galets, des bryophytes, des algues filamenteuses et encroûtements calcaires d’importance variable</w:t>
      </w:r>
      <w:r>
        <w:t xml:space="preserve"> </w:t>
      </w:r>
      <w:r w:rsidR="00205945">
        <w:t>(</w:t>
      </w:r>
      <w:r>
        <w:t>tufs sur le fond travertins dans l</w:t>
      </w:r>
      <w:r w:rsidR="00205945">
        <w:t>es</w:t>
      </w:r>
      <w:r>
        <w:t xml:space="preserve"> station</w:t>
      </w:r>
      <w:r w:rsidR="00205945">
        <w:t>s</w:t>
      </w:r>
      <w:r>
        <w:t xml:space="preserve"> aval</w:t>
      </w:r>
      <w:r w:rsidR="00205945">
        <w:t>, H1 et T6). Le Hoyoux présente cependant une plus grande diversité de substrats, surtout en amont, alors que la station aval de ce cours d’eau se rapproche du Triffoy du fait de la présence de travertins et de sédiments fins. Ce qui différencie le plus les deux rivières est la vitesse de courant  : les vitesses les plus élevées (75-150 cm/s) ont été rencontrées dans le Hoyoux en amont et les plus fai</w:t>
      </w:r>
      <w:r w:rsidR="00E2385D">
        <w:t xml:space="preserve">bles (&lt; 5 cm/s) dans le Triffoy. </w:t>
      </w:r>
      <w:r w:rsidR="00205945">
        <w:t xml:space="preserve"> </w:t>
      </w:r>
    </w:p>
    <w:p w14:paraId="45693B81" w14:textId="541E1A30" w:rsidR="002353B3" w:rsidRDefault="003272C5" w:rsidP="00932745">
      <w:pPr>
        <w:jc w:val="both"/>
      </w:pPr>
      <w:r>
        <w:t>2.2.3 Analyse détaillée des traits biologiques et écologiques</w:t>
      </w:r>
    </w:p>
    <w:p w14:paraId="711C9FDF" w14:textId="6D158FA6" w:rsidR="002353B3" w:rsidRDefault="003272C5" w:rsidP="00932745">
      <w:pPr>
        <w:jc w:val="both"/>
      </w:pPr>
      <w:r>
        <w:t>Pour rappel, le systè</w:t>
      </w:r>
      <w:r w:rsidR="00347A97">
        <w:t>me-expert permet de mettre en évidence la réponse fonctionnelle des macroinvertébrés aux conditions environnementales au sens large et de situer les peuplements étudiés par rapport à des sites de référence de rivières de même typologie. En résumé, l’analyse des traits confirme les différences entre le Triffoy et le Hoyoux constatées plus haut, bien que beaucoup de traits bio-écologiques soient communs entre ces deux rivières. Les différences se marquent pour les traits suivants </w:t>
      </w:r>
      <w:r w:rsidR="009A2EB8">
        <w:t>(voir graphes et diagrammes en annexe)</w:t>
      </w:r>
      <w:r w:rsidR="00347A97">
        <w:t>:</w:t>
      </w:r>
    </w:p>
    <w:p w14:paraId="44E2A9B7" w14:textId="5DF3CD3D" w:rsidR="00347A97" w:rsidRDefault="009A2EB8" w:rsidP="00347A97">
      <w:pPr>
        <w:pStyle w:val="Paragraphedeliste"/>
        <w:numPr>
          <w:ilvl w:val="0"/>
          <w:numId w:val="7"/>
        </w:numPr>
        <w:jc w:val="both"/>
      </w:pPr>
      <w:r>
        <w:t>La durée du cycle vital, &gt; 1 an dans le Hoyoux et &lt; 1 an dans le Triffoy</w:t>
      </w:r>
    </w:p>
    <w:p w14:paraId="0F8E377F" w14:textId="32984662" w:rsidR="009A2EB8" w:rsidRDefault="009A2EB8" w:rsidP="00347A97">
      <w:pPr>
        <w:pStyle w:val="Paragraphedeliste"/>
        <w:numPr>
          <w:ilvl w:val="0"/>
          <w:numId w:val="7"/>
        </w:numPr>
        <w:jc w:val="both"/>
      </w:pPr>
      <w:r>
        <w:t>La vitesse du courant, avec un déplacement vers de faibles vitesses dans le Triffoy</w:t>
      </w:r>
    </w:p>
    <w:p w14:paraId="4E33C1A2" w14:textId="11C94816" w:rsidR="009A2EB8" w:rsidRDefault="009A2EB8" w:rsidP="00347A97">
      <w:pPr>
        <w:pStyle w:val="Paragraphedeliste"/>
        <w:numPr>
          <w:ilvl w:val="0"/>
          <w:numId w:val="7"/>
        </w:numPr>
        <w:jc w:val="both"/>
      </w:pPr>
      <w:r>
        <w:t>Le statut trophique : oligo-mésotrophe dans le Hoyoux et méso-eutrophe dans le Triffoy</w:t>
      </w:r>
    </w:p>
    <w:p w14:paraId="71DF3075" w14:textId="4CD060CC" w:rsidR="009A2EB8" w:rsidRDefault="009A2EB8" w:rsidP="00347A97">
      <w:pPr>
        <w:pStyle w:val="Paragraphedeliste"/>
        <w:numPr>
          <w:ilvl w:val="0"/>
          <w:numId w:val="7"/>
        </w:numPr>
        <w:jc w:val="both"/>
      </w:pPr>
      <w:r>
        <w:t>La préférence thermique pour les eaux froides plus marquées dans le Triffoy</w:t>
      </w:r>
    </w:p>
    <w:p w14:paraId="546F4C56" w14:textId="7FEF3ECA" w:rsidR="009A2EB8" w:rsidRDefault="009A2EB8" w:rsidP="003702D1">
      <w:pPr>
        <w:pStyle w:val="Paragraphedeliste"/>
        <w:numPr>
          <w:ilvl w:val="0"/>
          <w:numId w:val="7"/>
        </w:numPr>
        <w:jc w:val="both"/>
      </w:pPr>
      <w:r>
        <w:t>La polluosensibilité</w:t>
      </w:r>
      <w:r w:rsidR="003702D1">
        <w:t xml:space="preserve">, moyenne à faible </w:t>
      </w:r>
      <w:r>
        <w:t>dans le Hoyoux</w:t>
      </w:r>
      <w:r w:rsidR="003702D1">
        <w:t xml:space="preserve">, se déplace dans le Triffoy vers les plus faibles sensibilités </w:t>
      </w:r>
    </w:p>
    <w:p w14:paraId="02B2E564" w14:textId="77777777" w:rsidR="002353B3" w:rsidRDefault="002353B3" w:rsidP="00932745">
      <w:pPr>
        <w:jc w:val="both"/>
      </w:pPr>
    </w:p>
    <w:p w14:paraId="2416DE55" w14:textId="772AC80B" w:rsidR="00806C33" w:rsidRDefault="00806C33" w:rsidP="00806C33">
      <w:pPr>
        <w:pStyle w:val="Paragraphedeliste"/>
        <w:numPr>
          <w:ilvl w:val="0"/>
          <w:numId w:val="3"/>
        </w:numPr>
        <w:jc w:val="both"/>
        <w:rPr>
          <w:b/>
        </w:rPr>
      </w:pPr>
      <w:r w:rsidRPr="00F06DF4">
        <w:rPr>
          <w:b/>
        </w:rPr>
        <w:t>Conclusion</w:t>
      </w:r>
      <w:r>
        <w:rPr>
          <w:b/>
        </w:rPr>
        <w:t xml:space="preserve"> </w:t>
      </w:r>
    </w:p>
    <w:p w14:paraId="4C2A2581" w14:textId="02161DFA" w:rsidR="00984244" w:rsidRDefault="00806C33" w:rsidP="00FF3D5C">
      <w:pPr>
        <w:jc w:val="both"/>
      </w:pPr>
      <w:r>
        <w:t xml:space="preserve">L’analyse du peuplement de macroinvertébrés </w:t>
      </w:r>
      <w:r w:rsidR="003702D1">
        <w:t>du Triffoy et du Hoyoux</w:t>
      </w:r>
      <w:r>
        <w:t xml:space="preserve"> </w:t>
      </w:r>
      <w:r w:rsidR="00CD7F84">
        <w:t>suite aux deux campagnes de prélèvement confirme de façon globale le diagnostic basé sur les diatomées benthiques, qui indique une qualité physico-chimique bonne, voire très bonne</w:t>
      </w:r>
      <w:r w:rsidR="00A12639">
        <w:t>,</w:t>
      </w:r>
      <w:r w:rsidR="00CD7F84">
        <w:t xml:space="preserve"> </w:t>
      </w:r>
      <w:r w:rsidR="00984244">
        <w:t xml:space="preserve">dans les deux rivières. Cette conclusion est cohérente avec les résultats des analyses physico-chimiques du RCS du SPW, qui mettent notamment en évidence des concentrations faibles en </w:t>
      </w:r>
      <w:r w:rsidR="00032871">
        <w:t xml:space="preserve">phosphore inorganique </w:t>
      </w:r>
      <w:r w:rsidR="00984244">
        <w:t xml:space="preserve">(orthophosphates), se situant en </w:t>
      </w:r>
      <w:r w:rsidR="00C42573">
        <w:t>très bonne qualité d’après toutes les données dont nous disposons (RCS du SPW et analyses réalisées par</w:t>
      </w:r>
      <w:r w:rsidR="00B21154">
        <w:t>l’URBE</w:t>
      </w:r>
      <w:r w:rsidR="00C42573">
        <w:t xml:space="preserve"> en 2013</w:t>
      </w:r>
      <w:r w:rsidR="00984244">
        <w:t> ; voir D2.1</w:t>
      </w:r>
      <w:r w:rsidR="00C42573">
        <w:t xml:space="preserve">). </w:t>
      </w:r>
      <w:r w:rsidR="00984244">
        <w:t xml:space="preserve">En ce qui concerne l’azote inorganique, seuls les nitrates posent problème de temps à autre, ce qui est confirmé par les mesures en continu aux 4 stations de monitoring à l’aide des sondes multi-paramètres. </w:t>
      </w:r>
    </w:p>
    <w:p w14:paraId="72A6B13A" w14:textId="6CB82727" w:rsidR="004D0604" w:rsidRDefault="00984244" w:rsidP="00F06DF4">
      <w:pPr>
        <w:jc w:val="both"/>
      </w:pPr>
      <w:r>
        <w:t>En fonction des connaissances actuelles sur l’effet des nitrates sur les communautés aquatiques – connaissances fragmentaires du fait que les é</w:t>
      </w:r>
      <w:r w:rsidR="00B41746">
        <w:t xml:space="preserve">tudes se sont concentrées sur le phosphore, principal agent de l’eutrophisation dans les eaux continentales - </w:t>
      </w:r>
      <w:r>
        <w:t>rien ne permet de mettre en évidence un imp</w:t>
      </w:r>
      <w:r w:rsidR="00B41746">
        <w:t xml:space="preserve">act des nitrates sur les communautés des rivières étudiées. Par contre, un impact </w:t>
      </w:r>
      <w:r w:rsidR="00607A56">
        <w:t>lié à un débit réduit</w:t>
      </w:r>
      <w:r w:rsidR="00B41746">
        <w:t xml:space="preserve"> </w:t>
      </w:r>
      <w:r w:rsidR="00607A56">
        <w:t xml:space="preserve">et à de faibles vitesses de courant </w:t>
      </w:r>
      <w:r w:rsidR="00B41746">
        <w:t xml:space="preserve">semble bien se marquer dans le Triffoy, alors que les peuplements de macroinvertébrés du Hoyoux semblent peu perturbés. </w:t>
      </w:r>
      <w:r w:rsidR="0045449A">
        <w:t>Paradoxalement, le Triffoy présente un bonne qualité physico-chimique de ses eaux dont témoignent bien les analyse</w:t>
      </w:r>
      <w:r w:rsidR="00F35468">
        <w:t>s</w:t>
      </w:r>
      <w:r w:rsidR="0045449A">
        <w:t xml:space="preserve"> de l’eau </w:t>
      </w:r>
      <w:r w:rsidR="0045449A">
        <w:lastRenderedPageBreak/>
        <w:t>et les indices diatomiques, mais une perturbation apparaît au niveau des invertébrés benthiques, qui est très marquée dans la station la plus en aval. En première analyse, il semble que le fait que les IBGN soient faibles dans cette station résulte de la faible diversité taxonomique, biologique et écologique liée à un faible diversité des substrats du fond de la rivière due à la formation de tuf calcaire. De plus, la deuxième phase d’analyse d</w:t>
      </w:r>
      <w:r w:rsidR="00F70A04">
        <w:t>es peuplement</w:t>
      </w:r>
      <w:r w:rsidR="004338F5">
        <w:t>s</w:t>
      </w:r>
      <w:r w:rsidR="00F70A04">
        <w:t xml:space="preserve"> indique un impact lié à de faibles vitesses de courant, atypiques pour ce type de cours d’eau, ainsi que le montre la comparaison avec les stations du Hoyoux</w:t>
      </w:r>
      <w:r w:rsidR="00A12639">
        <w:t>.</w:t>
      </w:r>
      <w:r w:rsidR="00F70A04">
        <w:t xml:space="preserve"> Ces faibles vitesses permettent sans doute la formation de sédiments fins, qui sont relativement riches en matières organiques et dès lors colonisés par des taxons polluorésistants. </w:t>
      </w:r>
      <w:r w:rsidR="004338F5">
        <w:t xml:space="preserve">Cela explique aussi le glissement du Triffoy vers un état méso-eutrophe. </w:t>
      </w:r>
      <w:r w:rsidR="00BA7D73">
        <w:t>L’environnement</w:t>
      </w:r>
      <w:r w:rsidR="004338F5">
        <w:t xml:space="preserve"> du Hoyoux, ca</w:t>
      </w:r>
      <w:r w:rsidR="00A12639">
        <w:t>ractérisé</w:t>
      </w:r>
      <w:r w:rsidR="004338F5">
        <w:t xml:space="preserve"> par des taxons </w:t>
      </w:r>
      <w:r w:rsidR="00BA7D73">
        <w:t>à cycle de vie long, apparaît plus stable que celui du Triffoy.</w:t>
      </w:r>
    </w:p>
    <w:p w14:paraId="2EA388AE" w14:textId="66A4C27B" w:rsidR="00F70A04" w:rsidRDefault="00BA7D73" w:rsidP="00F06DF4">
      <w:pPr>
        <w:jc w:val="both"/>
      </w:pPr>
      <w:r>
        <w:t>En conclusion, dans le Hoyoux, malgré une qualité d’eau tout juste bonne – voire à la limite entre le bon état et l’état moyen, ainsi que l’indiquent les diatomées et l’altération nitrates – la communauté macrobenthique est stable et diversifiée, ce qui est à mettre en relation avec des conditions morpho-dynamiques non ou peu perturbées. Par contre, le Triffoy, malgré une qualité d’eau meilleure montrée par les valeurs des indices diatomiques bonnes à très bonnes, présente une perturbation sensible de ses conditions morpho-dynamiques, avec de faibles vitesses et des substrats peu diversifiés, ce qui affecte négativement le peuplement benthique au niveau de sa diversité</w:t>
      </w:r>
      <w:r w:rsidR="000B25AB">
        <w:t xml:space="preserve"> et favorise des taxons relativement polluo-tolérants</w:t>
      </w:r>
      <w:r>
        <w:t xml:space="preserve">. Cette situation évoque un impact significatif de prélèvements d’eau, qui </w:t>
      </w:r>
      <w:r w:rsidR="000B25AB">
        <w:t>impacte l’hydromorphologie du cours d’eau (voir fig. 3.1.1 et la review de Dewson et al., 2007). L’altération nitrates ne semble pas avoir d’impact spécifique au niveau des communautés aquatiques étudiées.</w:t>
      </w:r>
      <w:r w:rsidR="00A12639">
        <w:t xml:space="preserve"> </w:t>
      </w:r>
    </w:p>
    <w:p w14:paraId="1C755C36" w14:textId="77777777" w:rsidR="0045449A" w:rsidRDefault="0045449A" w:rsidP="00F06DF4">
      <w:pPr>
        <w:jc w:val="both"/>
        <w:rPr>
          <w:b/>
        </w:rPr>
      </w:pPr>
      <w:bookmarkStart w:id="3" w:name="_GoBack"/>
      <w:bookmarkEnd w:id="3"/>
    </w:p>
    <w:p w14:paraId="7FE9F221" w14:textId="77777777" w:rsidR="004D0604" w:rsidRPr="00776752" w:rsidRDefault="004D0604" w:rsidP="00F06DF4">
      <w:pPr>
        <w:jc w:val="both"/>
        <w:rPr>
          <w:b/>
        </w:rPr>
      </w:pPr>
      <w:r w:rsidRPr="00776752">
        <w:rPr>
          <w:b/>
        </w:rPr>
        <w:t xml:space="preserve">Références </w:t>
      </w:r>
    </w:p>
    <w:p w14:paraId="4CFAEA20" w14:textId="77777777" w:rsidR="00776752" w:rsidRPr="00B7562A" w:rsidRDefault="00776752" w:rsidP="00B21154">
      <w:pPr>
        <w:autoSpaceDE w:val="0"/>
        <w:autoSpaceDN w:val="0"/>
        <w:adjustRightInd w:val="0"/>
        <w:spacing w:before="120" w:after="120"/>
        <w:jc w:val="both"/>
        <w:rPr>
          <w:rFonts w:cs="Arial"/>
          <w:lang w:val="fr-FR"/>
        </w:rPr>
      </w:pPr>
      <w:r>
        <w:rPr>
          <w:rFonts w:cs="Arial"/>
        </w:rPr>
        <w:t>AFNOR (</w:t>
      </w:r>
      <w:r w:rsidRPr="00B21154">
        <w:rPr>
          <w:rFonts w:cs="Arial"/>
        </w:rPr>
        <w:t>2004</w:t>
      </w:r>
      <w:r>
        <w:rPr>
          <w:rFonts w:cs="Arial"/>
        </w:rPr>
        <w:t>)</w:t>
      </w:r>
      <w:r w:rsidRPr="00B21154">
        <w:rPr>
          <w:rFonts w:cs="Arial"/>
        </w:rPr>
        <w:t xml:space="preserve">. Norme européenne NF EN 14407. Qualité de l'eau. Guide pour l’identification et le dénombrement des échantillons de diatomées benthiques de rivières et leur interprétation. </w:t>
      </w:r>
      <w:r w:rsidRPr="00B7562A">
        <w:rPr>
          <w:rFonts w:cs="Arial"/>
          <w:lang w:val="fr-FR"/>
        </w:rPr>
        <w:t>11 p. Association française de Normalisation.</w:t>
      </w:r>
    </w:p>
    <w:p w14:paraId="50F4BD7E" w14:textId="77777777" w:rsidR="00776752" w:rsidRPr="00B21154" w:rsidRDefault="00776752" w:rsidP="00D222AA">
      <w:pPr>
        <w:pStyle w:val="Titre"/>
        <w:spacing w:before="160"/>
        <w:jc w:val="both"/>
        <w:rPr>
          <w:rFonts w:ascii="Calibri" w:hAnsi="Calibri"/>
          <w:b w:val="0"/>
          <w:bCs w:val="0"/>
          <w:sz w:val="22"/>
        </w:rPr>
      </w:pPr>
      <w:r>
        <w:rPr>
          <w:rFonts w:ascii="Calibri" w:hAnsi="Calibri"/>
          <w:b w:val="0"/>
          <w:bCs w:val="0"/>
          <w:sz w:val="22"/>
        </w:rPr>
        <w:t>AFNOR (</w:t>
      </w:r>
      <w:r w:rsidRPr="00B21154">
        <w:rPr>
          <w:rFonts w:ascii="Calibri" w:hAnsi="Calibri"/>
          <w:b w:val="0"/>
          <w:bCs w:val="0"/>
          <w:sz w:val="22"/>
        </w:rPr>
        <w:t>2007</w:t>
      </w:r>
      <w:r>
        <w:rPr>
          <w:rFonts w:ascii="Calibri" w:hAnsi="Calibri"/>
          <w:b w:val="0"/>
          <w:bCs w:val="0"/>
          <w:sz w:val="22"/>
        </w:rPr>
        <w:t>)</w:t>
      </w:r>
      <w:r w:rsidRPr="00B21154">
        <w:rPr>
          <w:rFonts w:ascii="Calibri" w:hAnsi="Calibri"/>
          <w:b w:val="0"/>
          <w:bCs w:val="0"/>
          <w:sz w:val="22"/>
        </w:rPr>
        <w:t>. Norme française NF T 90 354. Qualité de l'eau. Détermination de l'Indice Biologique Diatomées (IBD). 80 p. Association française de Normalisation.</w:t>
      </w:r>
    </w:p>
    <w:p w14:paraId="58166BE1" w14:textId="77777777" w:rsidR="00776752" w:rsidRPr="00B7562A" w:rsidRDefault="00776752" w:rsidP="004D0604">
      <w:pPr>
        <w:jc w:val="both"/>
        <w:rPr>
          <w:lang w:val="en-US"/>
        </w:rPr>
      </w:pPr>
      <w:r w:rsidRPr="00B7562A">
        <w:rPr>
          <w:lang w:val="en-US"/>
        </w:rPr>
        <w:t>Castella E., M. Bickerton, P.D. Armitage &amp; G.E. Petts (1995). The effects of water abstractions on invertebrate communities in U.K. streams. Hydrobiologia 308 : 167-182.</w:t>
      </w:r>
    </w:p>
    <w:p w14:paraId="6F358029" w14:textId="3735E6B7" w:rsidR="00776752" w:rsidRPr="00B7562A" w:rsidRDefault="00776752" w:rsidP="004D0604">
      <w:pPr>
        <w:jc w:val="both"/>
        <w:rPr>
          <w:lang w:val="en-US"/>
        </w:rPr>
      </w:pPr>
      <w:r w:rsidRPr="00B7562A">
        <w:rPr>
          <w:lang w:val="en-US"/>
        </w:rPr>
        <w:t xml:space="preserve">Dewson, Z.S., A.B.W. James </w:t>
      </w:r>
      <w:r w:rsidR="00B73729">
        <w:rPr>
          <w:lang w:val="en-US"/>
        </w:rPr>
        <w:t>et</w:t>
      </w:r>
      <w:r w:rsidRPr="00B7562A">
        <w:rPr>
          <w:lang w:val="en-US"/>
        </w:rPr>
        <w:t xml:space="preserve"> R.G. Death (2007). A review of othe consequences of decreased flow fot instream habitat and macroinvertebrates. Journal of the North American Benthological Society 26 : 401-415.</w:t>
      </w:r>
    </w:p>
    <w:p w14:paraId="4ADD3B05" w14:textId="2D390DC3" w:rsidR="009804E5" w:rsidRDefault="00B73729" w:rsidP="004D0604">
      <w:pPr>
        <w:jc w:val="both"/>
      </w:pPr>
      <w:r>
        <w:t>Dray</w:t>
      </w:r>
      <w:r w:rsidR="009804E5" w:rsidRPr="009804E5">
        <w:t xml:space="preserve"> S. </w:t>
      </w:r>
      <w:r>
        <w:t>et</w:t>
      </w:r>
      <w:r w:rsidR="009804E5" w:rsidRPr="009804E5">
        <w:t xml:space="preserve"> </w:t>
      </w:r>
      <w:r w:rsidRPr="009804E5">
        <w:t>A.B.</w:t>
      </w:r>
      <w:r>
        <w:t>Dufour</w:t>
      </w:r>
      <w:r w:rsidR="009804E5" w:rsidRPr="009804E5">
        <w:t xml:space="preserve"> (2007): The ade4 package: implementing the duality diagram for ecologists. Journal of Statistical Software. 22(4): 1-20.</w:t>
      </w:r>
    </w:p>
    <w:p w14:paraId="5881B775" w14:textId="6BD0E2A8" w:rsidR="00726060" w:rsidRPr="00726060" w:rsidRDefault="00726060" w:rsidP="00726060">
      <w:pPr>
        <w:jc w:val="both"/>
        <w:rPr>
          <w:lang w:val="en-US"/>
        </w:rPr>
      </w:pPr>
      <w:r>
        <w:rPr>
          <w:lang w:val="en-US"/>
        </w:rPr>
        <w:t>Ferreira, V et M.</w:t>
      </w:r>
      <w:r w:rsidR="009612C4">
        <w:rPr>
          <w:lang w:val="en-US"/>
        </w:rPr>
        <w:t>A.S.</w:t>
      </w:r>
      <w:r>
        <w:rPr>
          <w:lang w:val="en-US"/>
        </w:rPr>
        <w:t xml:space="preserve"> </w:t>
      </w:r>
      <w:r w:rsidR="009612C4">
        <w:rPr>
          <w:lang w:val="en-US"/>
        </w:rPr>
        <w:t>Graça (</w:t>
      </w:r>
      <w:r>
        <w:rPr>
          <w:lang w:val="en-US"/>
        </w:rPr>
        <w:t>2006</w:t>
      </w:r>
      <w:r w:rsidR="009612C4">
        <w:rPr>
          <w:lang w:val="en-US"/>
        </w:rPr>
        <w:t>)</w:t>
      </w:r>
      <w:r>
        <w:rPr>
          <w:lang w:val="en-US"/>
        </w:rPr>
        <w:t>. Whole-stream nitrate addition aff</w:t>
      </w:r>
      <w:r w:rsidRPr="00726060">
        <w:rPr>
          <w:lang w:val="en-US"/>
        </w:rPr>
        <w:t>ects litter decomposition</w:t>
      </w:r>
      <w:r>
        <w:rPr>
          <w:lang w:val="en-US"/>
        </w:rPr>
        <w:t xml:space="preserve"> </w:t>
      </w:r>
      <w:r w:rsidRPr="00726060">
        <w:rPr>
          <w:lang w:val="en-US"/>
        </w:rPr>
        <w:t>and associated fungi but not invertebrates</w:t>
      </w:r>
      <w:r>
        <w:rPr>
          <w:lang w:val="en-US"/>
        </w:rPr>
        <w:t xml:space="preserve">. Oecologia (2006) 149:718–729. </w:t>
      </w:r>
    </w:p>
    <w:p w14:paraId="49170FED" w14:textId="0FBCBEE6" w:rsidR="009612C4" w:rsidRDefault="009612C4" w:rsidP="009612C4">
      <w:pPr>
        <w:jc w:val="both"/>
        <w:rPr>
          <w:lang w:val="en-US"/>
        </w:rPr>
      </w:pPr>
      <w:r>
        <w:rPr>
          <w:lang w:val="en-US"/>
        </w:rPr>
        <w:t>Ferreira, V.,</w:t>
      </w:r>
      <w:r w:rsidRPr="009612C4">
        <w:rPr>
          <w:lang w:val="en-US"/>
        </w:rPr>
        <w:t xml:space="preserve"> B.</w:t>
      </w:r>
      <w:r>
        <w:rPr>
          <w:lang w:val="en-US"/>
        </w:rPr>
        <w:t xml:space="preserve"> </w:t>
      </w:r>
      <w:r w:rsidRPr="009612C4">
        <w:rPr>
          <w:lang w:val="en-US"/>
        </w:rPr>
        <w:t xml:space="preserve">Castagneyrol, </w:t>
      </w:r>
      <w:r>
        <w:rPr>
          <w:lang w:val="en-US"/>
        </w:rPr>
        <w:t>,</w:t>
      </w:r>
      <w:r w:rsidRPr="009612C4">
        <w:rPr>
          <w:lang w:val="en-US"/>
        </w:rPr>
        <w:t xml:space="preserve"> J.Koricheva, V.</w:t>
      </w:r>
      <w:r>
        <w:rPr>
          <w:lang w:val="en-US"/>
        </w:rPr>
        <w:t xml:space="preserve"> </w:t>
      </w:r>
      <w:r w:rsidRPr="009612C4">
        <w:rPr>
          <w:lang w:val="en-US"/>
        </w:rPr>
        <w:t>Gulis, E</w:t>
      </w:r>
      <w:r>
        <w:rPr>
          <w:lang w:val="en-US"/>
        </w:rPr>
        <w:t>.</w:t>
      </w:r>
      <w:r w:rsidRPr="009612C4">
        <w:rPr>
          <w:lang w:val="en-US"/>
        </w:rPr>
        <w:t xml:space="preserve"> Chauvet, M. A. S.</w:t>
      </w:r>
      <w:r>
        <w:rPr>
          <w:lang w:val="en-US"/>
        </w:rPr>
        <w:t xml:space="preserve"> </w:t>
      </w:r>
      <w:r w:rsidRPr="009612C4">
        <w:rPr>
          <w:lang w:val="en-US"/>
        </w:rPr>
        <w:t xml:space="preserve">Graça, </w:t>
      </w:r>
      <w:r>
        <w:rPr>
          <w:lang w:val="en-US"/>
        </w:rPr>
        <w:t xml:space="preserve">Graça (2014). </w:t>
      </w:r>
      <w:r w:rsidRPr="009612C4">
        <w:rPr>
          <w:lang w:val="en-US"/>
        </w:rPr>
        <w:t xml:space="preserve">A meta-analysis of the effects of nutrient enrichment on litter decomposition </w:t>
      </w:r>
      <w:r>
        <w:rPr>
          <w:lang w:val="en-US"/>
        </w:rPr>
        <w:t>in streams." Biological Reviews, in press.</w:t>
      </w:r>
    </w:p>
    <w:p w14:paraId="4C2213B9" w14:textId="4311958D" w:rsidR="00FA2AAA" w:rsidRPr="00FA2AAA" w:rsidRDefault="00FA2AAA" w:rsidP="00FA2AAA">
      <w:pPr>
        <w:jc w:val="both"/>
        <w:rPr>
          <w:lang w:val="en-US"/>
        </w:rPr>
      </w:pPr>
      <w:r w:rsidRPr="00FA2AAA">
        <w:rPr>
          <w:lang w:val="en-US"/>
        </w:rPr>
        <w:t xml:space="preserve">Gessner, M. O. </w:t>
      </w:r>
      <w:r>
        <w:rPr>
          <w:lang w:val="en-US"/>
        </w:rPr>
        <w:t xml:space="preserve">et E. Chauvet (2002). </w:t>
      </w:r>
      <w:r w:rsidRPr="00FA2AAA">
        <w:rPr>
          <w:lang w:val="en-US"/>
        </w:rPr>
        <w:t>A case for using litter breakdown to asse</w:t>
      </w:r>
      <w:r>
        <w:rPr>
          <w:lang w:val="en-US"/>
        </w:rPr>
        <w:t>ss functional stream integrity.</w:t>
      </w:r>
      <w:r w:rsidRPr="00FA2AAA">
        <w:rPr>
          <w:lang w:val="en-US"/>
        </w:rPr>
        <w:t xml:space="preserve"> Ecological Applications 12(2): 498-510.</w:t>
      </w:r>
    </w:p>
    <w:p w14:paraId="72829489" w14:textId="52EB074A" w:rsidR="00776752" w:rsidRPr="00B7562A" w:rsidRDefault="00B73729" w:rsidP="004D0604">
      <w:pPr>
        <w:jc w:val="both"/>
        <w:rPr>
          <w:lang w:val="en-US"/>
        </w:rPr>
      </w:pPr>
      <w:r>
        <w:rPr>
          <w:lang w:val="en-US"/>
        </w:rPr>
        <w:lastRenderedPageBreak/>
        <w:t>Illies J. et</w:t>
      </w:r>
      <w:r w:rsidR="00776752" w:rsidRPr="00B7562A">
        <w:rPr>
          <w:lang w:val="en-US"/>
        </w:rPr>
        <w:t xml:space="preserve"> </w:t>
      </w:r>
      <w:r w:rsidRPr="00B7562A">
        <w:rPr>
          <w:lang w:val="en-US"/>
        </w:rPr>
        <w:t xml:space="preserve">L. </w:t>
      </w:r>
      <w:r w:rsidR="00776752" w:rsidRPr="00B7562A">
        <w:rPr>
          <w:lang w:val="en-US"/>
        </w:rPr>
        <w:t xml:space="preserve">Botosaneanu (1963). </w:t>
      </w:r>
      <w:r w:rsidR="00776752" w:rsidRPr="00B21154">
        <w:t xml:space="preserve">Problèmes et méthodes de la classification et de la zonation écologique des eaux courantes, considérée surtout du point de vue faunistique. </w:t>
      </w:r>
      <w:r w:rsidR="00776752" w:rsidRPr="00B7562A">
        <w:rPr>
          <w:lang w:val="en-US"/>
        </w:rPr>
        <w:t>Mitt. int. Ver. Limnol. 12: 1–57.</w:t>
      </w:r>
    </w:p>
    <w:p w14:paraId="16893E7D" w14:textId="2FBA7DDD" w:rsidR="00776752" w:rsidRPr="00B21154" w:rsidRDefault="00C76B49" w:rsidP="00D222AA">
      <w:pPr>
        <w:pStyle w:val="Titre"/>
        <w:spacing w:before="160"/>
        <w:jc w:val="both"/>
        <w:rPr>
          <w:rFonts w:ascii="Calibri" w:hAnsi="Calibri"/>
          <w:b w:val="0"/>
          <w:bCs w:val="0"/>
          <w:sz w:val="22"/>
          <w:lang w:val="en-US"/>
        </w:rPr>
      </w:pPr>
      <w:hyperlink r:id="rId15" w:history="1">
        <w:r w:rsidR="00776752" w:rsidRPr="00B21154">
          <w:rPr>
            <w:rFonts w:ascii="Calibri" w:hAnsi="Calibri"/>
            <w:b w:val="0"/>
            <w:bCs w:val="0"/>
            <w:sz w:val="22"/>
            <w:lang w:val="en-US"/>
          </w:rPr>
          <w:t>Kelly</w:t>
        </w:r>
      </w:hyperlink>
      <w:r w:rsidR="00776752" w:rsidRPr="00B21154">
        <w:rPr>
          <w:rFonts w:ascii="Calibri" w:hAnsi="Calibri"/>
          <w:b w:val="0"/>
          <w:bCs w:val="0"/>
          <w:sz w:val="22"/>
          <w:lang w:val="en-US"/>
        </w:rPr>
        <w:t xml:space="preserve"> M. G. </w:t>
      </w:r>
      <w:r w:rsidR="00B73729">
        <w:rPr>
          <w:rFonts w:ascii="Calibri" w:hAnsi="Calibri"/>
          <w:b w:val="0"/>
          <w:bCs w:val="0"/>
          <w:sz w:val="22"/>
          <w:lang w:val="en-US"/>
        </w:rPr>
        <w:t>et</w:t>
      </w:r>
      <w:r w:rsidR="00776752" w:rsidRPr="00B21154">
        <w:rPr>
          <w:rFonts w:ascii="Calibri" w:hAnsi="Calibri"/>
          <w:b w:val="0"/>
          <w:bCs w:val="0"/>
          <w:sz w:val="22"/>
          <w:lang w:val="en-US"/>
        </w:rPr>
        <w:t xml:space="preserve"> </w:t>
      </w:r>
      <w:hyperlink r:id="rId16" w:history="1">
        <w:r w:rsidR="00776752" w:rsidRPr="00B21154">
          <w:rPr>
            <w:rFonts w:ascii="Calibri" w:hAnsi="Calibri"/>
            <w:b w:val="0"/>
            <w:bCs w:val="0"/>
            <w:sz w:val="22"/>
            <w:lang w:val="en-US"/>
          </w:rPr>
          <w:t>B. A. Whitton</w:t>
        </w:r>
      </w:hyperlink>
      <w:r w:rsidR="00776752">
        <w:rPr>
          <w:rFonts w:ascii="Calibri" w:hAnsi="Calibri"/>
          <w:b w:val="0"/>
          <w:bCs w:val="0"/>
          <w:sz w:val="22"/>
          <w:lang w:val="en-US"/>
        </w:rPr>
        <w:t xml:space="preserve"> (</w:t>
      </w:r>
      <w:r w:rsidR="00776752" w:rsidRPr="00B21154">
        <w:rPr>
          <w:rFonts w:ascii="Calibri" w:hAnsi="Calibri"/>
          <w:b w:val="0"/>
          <w:bCs w:val="0"/>
          <w:sz w:val="22"/>
          <w:lang w:val="en-US"/>
        </w:rPr>
        <w:t>1995</w:t>
      </w:r>
      <w:r w:rsidR="00776752">
        <w:rPr>
          <w:rFonts w:ascii="Calibri" w:hAnsi="Calibri"/>
          <w:b w:val="0"/>
          <w:bCs w:val="0"/>
          <w:sz w:val="22"/>
          <w:lang w:val="en-US"/>
        </w:rPr>
        <w:t>)</w:t>
      </w:r>
      <w:r w:rsidR="00776752" w:rsidRPr="00B21154">
        <w:rPr>
          <w:rFonts w:ascii="Calibri" w:hAnsi="Calibri"/>
          <w:b w:val="0"/>
          <w:bCs w:val="0"/>
          <w:sz w:val="22"/>
          <w:lang w:val="en-US"/>
        </w:rPr>
        <w:t xml:space="preserve">. The Trophic Diatom Index: a new index for monitoring eutrophication in rivers. </w:t>
      </w:r>
      <w:hyperlink r:id="rId17" w:history="1">
        <w:r w:rsidR="00776752" w:rsidRPr="00B21154">
          <w:rPr>
            <w:rFonts w:ascii="Calibri" w:hAnsi="Calibri"/>
            <w:b w:val="0"/>
            <w:bCs w:val="0"/>
            <w:sz w:val="22"/>
            <w:lang w:val="en-US"/>
          </w:rPr>
          <w:t>Journal of Applied Phycology</w:t>
        </w:r>
      </w:hyperlink>
      <w:r w:rsidR="00776752" w:rsidRPr="00B21154">
        <w:rPr>
          <w:rFonts w:ascii="Calibri" w:hAnsi="Calibri"/>
          <w:b w:val="0"/>
          <w:bCs w:val="0"/>
          <w:sz w:val="22"/>
          <w:lang w:val="en-US"/>
        </w:rPr>
        <w:t>, Volume 7, </w:t>
      </w:r>
      <w:hyperlink r:id="rId18" w:history="1">
        <w:r w:rsidR="00776752" w:rsidRPr="00B21154">
          <w:rPr>
            <w:rFonts w:ascii="Calibri" w:hAnsi="Calibri"/>
            <w:b w:val="0"/>
            <w:bCs w:val="0"/>
            <w:sz w:val="22"/>
            <w:lang w:val="en-US"/>
          </w:rPr>
          <w:t>Issue 4</w:t>
        </w:r>
      </w:hyperlink>
      <w:r w:rsidR="00776752" w:rsidRPr="00B21154">
        <w:rPr>
          <w:rFonts w:ascii="Calibri" w:hAnsi="Calibri"/>
          <w:b w:val="0"/>
          <w:bCs w:val="0"/>
          <w:sz w:val="22"/>
          <w:lang w:val="en-US"/>
        </w:rPr>
        <w:t> : 433-444.</w:t>
      </w:r>
    </w:p>
    <w:p w14:paraId="2A2EF87C" w14:textId="4926C348" w:rsidR="00776752" w:rsidRPr="00B21154" w:rsidRDefault="00776752" w:rsidP="00D222AA">
      <w:pPr>
        <w:autoSpaceDE w:val="0"/>
        <w:autoSpaceDN w:val="0"/>
        <w:adjustRightInd w:val="0"/>
        <w:spacing w:before="120" w:after="120"/>
        <w:jc w:val="both"/>
        <w:rPr>
          <w:rFonts w:cs="Arial"/>
          <w:lang w:val="en-US"/>
        </w:rPr>
      </w:pPr>
      <w:r w:rsidRPr="00B21154">
        <w:rPr>
          <w:rFonts w:cs="Arial"/>
          <w:lang w:val="en-US"/>
        </w:rPr>
        <w:t>K</w:t>
      </w:r>
      <w:r>
        <w:rPr>
          <w:rFonts w:cs="Arial"/>
          <w:lang w:val="en-US"/>
        </w:rPr>
        <w:t xml:space="preserve">rammer, K. </w:t>
      </w:r>
      <w:r w:rsidR="00B73729">
        <w:rPr>
          <w:rFonts w:cs="Arial"/>
          <w:lang w:val="en-US"/>
        </w:rPr>
        <w:t>et</w:t>
      </w:r>
      <w:r>
        <w:rPr>
          <w:rFonts w:cs="Arial"/>
          <w:lang w:val="en-US"/>
        </w:rPr>
        <w:t xml:space="preserve"> H. Lange-Bertalot (</w:t>
      </w:r>
      <w:r w:rsidRPr="00B21154">
        <w:rPr>
          <w:rFonts w:cs="Arial"/>
          <w:lang w:val="en-US"/>
        </w:rPr>
        <w:t>1986</w:t>
      </w:r>
      <w:r>
        <w:rPr>
          <w:rFonts w:cs="Arial"/>
          <w:lang w:val="en-US"/>
        </w:rPr>
        <w:t>)</w:t>
      </w:r>
      <w:r w:rsidRPr="00B21154">
        <w:rPr>
          <w:rFonts w:cs="Arial"/>
          <w:lang w:val="en-US"/>
        </w:rPr>
        <w:t>. Süsswasserflora von Mitteleuropa 2/1. Bacillariophyceae 1. Teil : Naviculaceae. Gustav Fischer Verlag, Stuttgart. 876 pp.</w:t>
      </w:r>
    </w:p>
    <w:p w14:paraId="66FF73ED" w14:textId="76BE6070" w:rsidR="00776752" w:rsidRPr="00B21154" w:rsidRDefault="00776752" w:rsidP="00D222AA">
      <w:pPr>
        <w:autoSpaceDE w:val="0"/>
        <w:autoSpaceDN w:val="0"/>
        <w:adjustRightInd w:val="0"/>
        <w:spacing w:before="120" w:after="120"/>
        <w:jc w:val="both"/>
        <w:rPr>
          <w:rFonts w:cs="Arial"/>
          <w:lang w:val="en-GB"/>
        </w:rPr>
      </w:pPr>
      <w:r w:rsidRPr="00B21154">
        <w:rPr>
          <w:rFonts w:cs="Arial"/>
          <w:lang w:val="en-US"/>
        </w:rPr>
        <w:t>K</w:t>
      </w:r>
      <w:r>
        <w:rPr>
          <w:rFonts w:cs="Arial"/>
          <w:lang w:val="en-US"/>
        </w:rPr>
        <w:t xml:space="preserve">rammer, K. </w:t>
      </w:r>
      <w:r w:rsidR="00B73729">
        <w:rPr>
          <w:rFonts w:cs="Arial"/>
          <w:lang w:val="en-US"/>
        </w:rPr>
        <w:t>et</w:t>
      </w:r>
      <w:r>
        <w:rPr>
          <w:rFonts w:cs="Arial"/>
          <w:lang w:val="en-US"/>
        </w:rPr>
        <w:t xml:space="preserve"> H. Lange-Bertalot (</w:t>
      </w:r>
      <w:r w:rsidRPr="00B21154">
        <w:rPr>
          <w:rFonts w:cs="Arial"/>
          <w:lang w:val="en-US"/>
        </w:rPr>
        <w:t>1988</w:t>
      </w:r>
      <w:r>
        <w:rPr>
          <w:rFonts w:cs="Arial"/>
          <w:lang w:val="en-US"/>
        </w:rPr>
        <w:t>)</w:t>
      </w:r>
      <w:r w:rsidRPr="00B21154">
        <w:rPr>
          <w:rFonts w:cs="Arial"/>
          <w:lang w:val="en-US"/>
        </w:rPr>
        <w:t xml:space="preserve">. Süsswasserflora von Mitteleuropa 2/2. Bacillariophyceae 2. Teil : Epithemiaceae, Bacillariaceae, Surirellaceae. </w:t>
      </w:r>
      <w:r w:rsidRPr="00B21154">
        <w:rPr>
          <w:rFonts w:cs="Arial"/>
          <w:lang w:val="en-GB"/>
        </w:rPr>
        <w:t xml:space="preserve">Gustav Fischer Verlag, </w:t>
      </w:r>
      <w:smartTag w:uri="urn:schemas-microsoft-com:office:smarttags" w:element="City">
        <w:smartTag w:uri="urn:schemas-microsoft-com:office:smarttags" w:element="place">
          <w:r w:rsidRPr="00B21154">
            <w:rPr>
              <w:rFonts w:cs="Arial"/>
              <w:lang w:val="en-GB"/>
            </w:rPr>
            <w:t>Stuttgart</w:t>
          </w:r>
        </w:smartTag>
      </w:smartTag>
      <w:r w:rsidRPr="00B21154">
        <w:rPr>
          <w:rFonts w:cs="Arial"/>
          <w:lang w:val="en-GB"/>
        </w:rPr>
        <w:t>. 596 pp.</w:t>
      </w:r>
    </w:p>
    <w:p w14:paraId="710F44DA" w14:textId="0972D8BF" w:rsidR="00776752" w:rsidRPr="00B21154" w:rsidRDefault="00776752" w:rsidP="00D222AA">
      <w:pPr>
        <w:autoSpaceDE w:val="0"/>
        <w:autoSpaceDN w:val="0"/>
        <w:adjustRightInd w:val="0"/>
        <w:spacing w:before="120" w:after="120"/>
        <w:jc w:val="both"/>
        <w:rPr>
          <w:rFonts w:cs="Arial"/>
          <w:lang w:val="en-GB"/>
        </w:rPr>
      </w:pPr>
      <w:r w:rsidRPr="00B21154">
        <w:rPr>
          <w:rFonts w:cs="Arial"/>
          <w:lang w:val="en-US"/>
        </w:rPr>
        <w:t>K</w:t>
      </w:r>
      <w:r>
        <w:rPr>
          <w:rFonts w:cs="Arial"/>
          <w:lang w:val="en-US"/>
        </w:rPr>
        <w:t>rammer, K.</w:t>
      </w:r>
      <w:r w:rsidR="00B73729">
        <w:rPr>
          <w:rFonts w:cs="Arial"/>
          <w:lang w:val="en-US"/>
        </w:rPr>
        <w:t xml:space="preserve"> et</w:t>
      </w:r>
      <w:r>
        <w:rPr>
          <w:rFonts w:cs="Arial"/>
          <w:lang w:val="en-US"/>
        </w:rPr>
        <w:t xml:space="preserve"> H. Lange-Bertalot (</w:t>
      </w:r>
      <w:r w:rsidRPr="00B21154">
        <w:rPr>
          <w:rFonts w:cs="Arial"/>
          <w:lang w:val="en-US"/>
        </w:rPr>
        <w:t>1991a</w:t>
      </w:r>
      <w:r>
        <w:rPr>
          <w:rFonts w:cs="Arial"/>
          <w:lang w:val="en-US"/>
        </w:rPr>
        <w:t>)</w:t>
      </w:r>
      <w:r w:rsidRPr="00B21154">
        <w:rPr>
          <w:rFonts w:cs="Arial"/>
          <w:lang w:val="en-US"/>
        </w:rPr>
        <w:t xml:space="preserve">. </w:t>
      </w:r>
      <w:r w:rsidRPr="00B21154">
        <w:rPr>
          <w:rFonts w:cs="Arial"/>
        </w:rPr>
        <w:t xml:space="preserve">Süsswasserflora von Mitteleuropa 2/3. Bacillariophyceae 3. Teil : Centrales, Fragilariaceae, Eunotiaceae. </w:t>
      </w:r>
      <w:r w:rsidRPr="00B21154">
        <w:rPr>
          <w:rFonts w:cs="Arial"/>
          <w:lang w:val="en-GB"/>
        </w:rPr>
        <w:t xml:space="preserve">Gustav Fischer Verlag, </w:t>
      </w:r>
      <w:smartTag w:uri="urn:schemas-microsoft-com:office:smarttags" w:element="City">
        <w:smartTag w:uri="urn:schemas-microsoft-com:office:smarttags" w:element="place">
          <w:r w:rsidRPr="00B21154">
            <w:rPr>
              <w:rFonts w:cs="Arial"/>
              <w:lang w:val="en-GB"/>
            </w:rPr>
            <w:t>Stuttgart</w:t>
          </w:r>
        </w:smartTag>
      </w:smartTag>
      <w:r w:rsidRPr="00B21154">
        <w:rPr>
          <w:rFonts w:cs="Arial"/>
          <w:lang w:val="en-GB"/>
        </w:rPr>
        <w:t>. 600 pp.</w:t>
      </w:r>
    </w:p>
    <w:p w14:paraId="71D165C4" w14:textId="330746CA" w:rsidR="00776752" w:rsidRPr="00B21154" w:rsidRDefault="00776752" w:rsidP="00D222AA">
      <w:pPr>
        <w:autoSpaceDE w:val="0"/>
        <w:autoSpaceDN w:val="0"/>
        <w:adjustRightInd w:val="0"/>
        <w:spacing w:before="120" w:after="120"/>
        <w:jc w:val="both"/>
        <w:rPr>
          <w:rFonts w:cs="Arial"/>
          <w:lang w:val="en-US"/>
        </w:rPr>
      </w:pPr>
      <w:r w:rsidRPr="00B21154">
        <w:rPr>
          <w:rFonts w:cs="Arial"/>
          <w:lang w:val="en-GB"/>
        </w:rPr>
        <w:t>K</w:t>
      </w:r>
      <w:r>
        <w:rPr>
          <w:rFonts w:cs="Arial"/>
          <w:lang w:val="en-GB"/>
        </w:rPr>
        <w:t xml:space="preserve">rammer, K. </w:t>
      </w:r>
      <w:r w:rsidR="00B73729">
        <w:rPr>
          <w:rFonts w:cs="Arial"/>
          <w:lang w:val="en-GB"/>
        </w:rPr>
        <w:t>et</w:t>
      </w:r>
      <w:r>
        <w:rPr>
          <w:rFonts w:cs="Arial"/>
          <w:lang w:val="en-GB"/>
        </w:rPr>
        <w:t xml:space="preserve"> H. Lange-Bertalot (</w:t>
      </w:r>
      <w:r w:rsidRPr="00B21154">
        <w:rPr>
          <w:rFonts w:cs="Arial"/>
          <w:lang w:val="en-GB"/>
        </w:rPr>
        <w:t>1991b</w:t>
      </w:r>
      <w:r>
        <w:rPr>
          <w:rFonts w:cs="Arial"/>
          <w:lang w:val="en-GB"/>
        </w:rPr>
        <w:t>)</w:t>
      </w:r>
      <w:r w:rsidRPr="00B21154">
        <w:rPr>
          <w:rFonts w:cs="Arial"/>
          <w:lang w:val="en-GB"/>
        </w:rPr>
        <w:t xml:space="preserve">. Süsswasserflora von Mitteleuropa 2/4. Bacillariophyceae 4. Teil : Achnanthaceae und kritische Ergänzungen zu </w:t>
      </w:r>
      <w:r w:rsidRPr="00B21154">
        <w:rPr>
          <w:rFonts w:cs="Arial"/>
          <w:i/>
          <w:iCs/>
          <w:lang w:val="en-GB"/>
        </w:rPr>
        <w:t xml:space="preserve">Navicula </w:t>
      </w:r>
      <w:r w:rsidRPr="00B21154">
        <w:rPr>
          <w:rFonts w:cs="Arial"/>
          <w:lang w:val="en-GB"/>
        </w:rPr>
        <w:t xml:space="preserve">(Lineolatae) und </w:t>
      </w:r>
      <w:r w:rsidRPr="00B21154">
        <w:rPr>
          <w:rFonts w:cs="Arial"/>
          <w:i/>
          <w:iCs/>
          <w:lang w:val="en-GB"/>
        </w:rPr>
        <w:t>Gomphonema</w:t>
      </w:r>
      <w:r w:rsidRPr="00B21154">
        <w:rPr>
          <w:rFonts w:cs="Arial"/>
          <w:lang w:val="en-GB"/>
        </w:rPr>
        <w:t xml:space="preserve">. </w:t>
      </w:r>
      <w:r w:rsidRPr="00B21154">
        <w:rPr>
          <w:rFonts w:cs="Arial"/>
          <w:lang w:val="en-US"/>
        </w:rPr>
        <w:t>Gustav Fischer Verlag, Stuttgart. 437 pp.</w:t>
      </w:r>
    </w:p>
    <w:p w14:paraId="7143207B" w14:textId="5D8F6377" w:rsidR="00CB37BC" w:rsidRDefault="00CB37BC" w:rsidP="00D222AA">
      <w:pPr>
        <w:autoSpaceDE w:val="0"/>
        <w:autoSpaceDN w:val="0"/>
        <w:adjustRightInd w:val="0"/>
        <w:spacing w:before="120" w:after="120"/>
        <w:jc w:val="both"/>
        <w:rPr>
          <w:rFonts w:cs="Arial"/>
          <w:lang w:val="en-US"/>
        </w:rPr>
      </w:pPr>
      <w:r>
        <w:rPr>
          <w:rFonts w:cs="Arial"/>
          <w:lang w:val="en-US"/>
        </w:rPr>
        <w:t>Lecerf, A., Ph. Usseglio-Polatera, J.-Y. Charcosset, D. Lambrigot, B. Bracht et E. Chauvet. (2006). Assessment of functional integrity of eutrophic streams using litter breakdown and bethic macrinvertebrates. Arch. Hydrobiol. 165 (1), 105-126.</w:t>
      </w:r>
    </w:p>
    <w:p w14:paraId="0939F2BD" w14:textId="374210AF" w:rsidR="00776752" w:rsidRPr="00B21154" w:rsidRDefault="00776752" w:rsidP="00D222AA">
      <w:pPr>
        <w:autoSpaceDE w:val="0"/>
        <w:autoSpaceDN w:val="0"/>
        <w:adjustRightInd w:val="0"/>
        <w:spacing w:before="120" w:after="120"/>
        <w:jc w:val="both"/>
        <w:rPr>
          <w:rFonts w:cs="Arial"/>
          <w:lang w:val="fr-FR"/>
        </w:rPr>
      </w:pPr>
      <w:r w:rsidRPr="00B21154">
        <w:rPr>
          <w:rFonts w:cs="Arial"/>
          <w:lang w:val="en-US"/>
        </w:rPr>
        <w:t>Lecoi</w:t>
      </w:r>
      <w:r w:rsidR="00B73729">
        <w:rPr>
          <w:rFonts w:cs="Arial"/>
          <w:lang w:val="en-US"/>
        </w:rPr>
        <w:t>nte A., M. Coste</w:t>
      </w:r>
      <w:r>
        <w:rPr>
          <w:rFonts w:cs="Arial"/>
          <w:lang w:val="en-US"/>
        </w:rPr>
        <w:t xml:space="preserve"> </w:t>
      </w:r>
      <w:r w:rsidR="00B73729">
        <w:rPr>
          <w:rFonts w:cs="Arial"/>
          <w:lang w:val="en-US"/>
        </w:rPr>
        <w:t>et</w:t>
      </w:r>
      <w:r>
        <w:rPr>
          <w:rFonts w:cs="Arial"/>
          <w:lang w:val="en-US"/>
        </w:rPr>
        <w:t xml:space="preserve"> J. Prygiel (1993)</w:t>
      </w:r>
      <w:r w:rsidRPr="00B21154">
        <w:rPr>
          <w:rFonts w:cs="Arial"/>
          <w:lang w:val="en-US"/>
        </w:rPr>
        <w:t xml:space="preserve"> </w:t>
      </w:r>
      <w:r w:rsidRPr="00B21154">
        <w:rPr>
          <w:rFonts w:cs="Arial"/>
          <w:lang w:val="en-GB"/>
        </w:rPr>
        <w:t xml:space="preserve">« OMNIDIA » software for taxonomy, calculation of diatom indices and inventories management. </w:t>
      </w:r>
      <w:r w:rsidRPr="00B21154">
        <w:rPr>
          <w:rFonts w:cs="Arial"/>
          <w:lang w:val="fr-FR"/>
        </w:rPr>
        <w:t>Hydrobiologia 269/270 : 509-513.</w:t>
      </w:r>
    </w:p>
    <w:p w14:paraId="0F21EABF" w14:textId="68042225" w:rsidR="00776752" w:rsidRPr="00B21154" w:rsidRDefault="00776752" w:rsidP="00D222AA">
      <w:pPr>
        <w:autoSpaceDE w:val="0"/>
        <w:autoSpaceDN w:val="0"/>
        <w:adjustRightInd w:val="0"/>
        <w:spacing w:before="120" w:after="120"/>
        <w:jc w:val="both"/>
        <w:rPr>
          <w:rFonts w:cs="Arial"/>
        </w:rPr>
      </w:pPr>
      <w:r>
        <w:rPr>
          <w:rFonts w:cs="Arial"/>
        </w:rPr>
        <w:t xml:space="preserve">Prygiel J. </w:t>
      </w:r>
      <w:r w:rsidR="00B73729">
        <w:rPr>
          <w:rFonts w:cs="Arial"/>
        </w:rPr>
        <w:t>et</w:t>
      </w:r>
      <w:r>
        <w:rPr>
          <w:rFonts w:cs="Arial"/>
        </w:rPr>
        <w:t xml:space="preserve"> M. Coste (</w:t>
      </w:r>
      <w:r w:rsidRPr="00B21154">
        <w:rPr>
          <w:rFonts w:cs="Arial"/>
        </w:rPr>
        <w:t>2000</w:t>
      </w:r>
      <w:r>
        <w:rPr>
          <w:rFonts w:cs="Arial"/>
        </w:rPr>
        <w:t>)</w:t>
      </w:r>
      <w:r w:rsidRPr="00B21154">
        <w:rPr>
          <w:rFonts w:cs="Arial"/>
        </w:rPr>
        <w:t>. Guide méthodologique pour la mise en oeuvre de l'Indice Biologique Diatomées NF T 90 354. Agences de l'eau – Cemagref. 134 p. + 89 pl.</w:t>
      </w:r>
    </w:p>
    <w:p w14:paraId="233749B3" w14:textId="587AF043" w:rsidR="00776752" w:rsidRDefault="00776752" w:rsidP="004D0604">
      <w:pPr>
        <w:jc w:val="both"/>
      </w:pPr>
      <w:r>
        <w:t xml:space="preserve">Usseglio-Polatera, P. </w:t>
      </w:r>
      <w:r w:rsidR="00B73729">
        <w:t>and</w:t>
      </w:r>
      <w:r>
        <w:t xml:space="preserve"> J.-N. Beisel (2002). Système expert d’analyse et d’aide à l’interprétation de données recueillies avec le protocole IBGN. Etude Inter-bassins, Agences de l’Eau, France, 79 p. + annexes.</w:t>
      </w:r>
    </w:p>
    <w:p w14:paraId="1B13273B" w14:textId="27E9C3BC" w:rsidR="00BD6830" w:rsidRPr="00B7562A" w:rsidRDefault="00BD6830" w:rsidP="00BD6830">
      <w:pPr>
        <w:jc w:val="both"/>
        <w:rPr>
          <w:lang w:val="en-US"/>
        </w:rPr>
      </w:pPr>
      <w:r>
        <w:t xml:space="preserve">Usseglio-Polatera, P. </w:t>
      </w:r>
      <w:r w:rsidR="00B73729">
        <w:t xml:space="preserve">et </w:t>
      </w:r>
      <w:r>
        <w:t xml:space="preserve">J.-N. Beisel (2002). </w:t>
      </w:r>
      <w:r w:rsidRPr="00B7562A">
        <w:rPr>
          <w:lang w:val="en-US"/>
        </w:rPr>
        <w:t>Longitudinal changes in macroinvertebrate assemblages in the Meuse River : anthropogenic effects versus natural change. River Research and Applications 18 : 197-211.</w:t>
      </w:r>
    </w:p>
    <w:p w14:paraId="48D4B5AF" w14:textId="277D458A" w:rsidR="00776752" w:rsidRDefault="00776752" w:rsidP="004D0604">
      <w:pPr>
        <w:jc w:val="both"/>
      </w:pPr>
      <w:r w:rsidRPr="00B7562A">
        <w:rPr>
          <w:lang w:val="en-US"/>
        </w:rPr>
        <w:t>Usseglio-Polatera, P.</w:t>
      </w:r>
      <w:r w:rsidR="00BD6830" w:rsidRPr="00B7562A">
        <w:rPr>
          <w:lang w:val="en-US"/>
        </w:rPr>
        <w:t xml:space="preserve">, M. Bournaud, P. Richoux </w:t>
      </w:r>
      <w:r w:rsidR="00B73729">
        <w:rPr>
          <w:lang w:val="en-US"/>
        </w:rPr>
        <w:t>et</w:t>
      </w:r>
      <w:r w:rsidR="00BD6830" w:rsidRPr="00B7562A">
        <w:rPr>
          <w:lang w:val="en-US"/>
        </w:rPr>
        <w:t xml:space="preserve"> H. Tachet (2000). Biological and ecological traits of benthic freshwater macroinvertebrates : relationship and definition of groups with similar traits. </w:t>
      </w:r>
      <w:r w:rsidR="00BD6830">
        <w:t>Freshwater Biology 43 : 175-205.</w:t>
      </w:r>
    </w:p>
    <w:p w14:paraId="1D83919A" w14:textId="0851585F" w:rsidR="00FA2AAA" w:rsidRDefault="00FA2AAA" w:rsidP="004D0604">
      <w:pPr>
        <w:jc w:val="both"/>
      </w:pPr>
      <w:r w:rsidRPr="00FA2AAA">
        <w:t>Woodward, G., M. O. Gessner, P. S. Giller, V. Gulis, S. Hladyz, A. Lecerf, B. Malmqvist, B. G. McKie, S. D. Tiegs, H. Cariss, M. Dobson, A. Elosegi, V. Ferreira, M. A. S. Graça, T. Fleituch, J. O. Lacoursière, M. Nistorescu, J. Pozo, G. Risnoveanu, M. Schindler, A. Vadineanu, L. B. M.</w:t>
      </w:r>
      <w:r>
        <w:t xml:space="preserve"> Vought and E. Chauvet (2012). </w:t>
      </w:r>
      <w:r w:rsidRPr="00FA2AAA">
        <w:t>Continental-scale effects of nutrient pollution on stream ecosystem functioning." Science 336(6087): 1438-1440.</w:t>
      </w:r>
    </w:p>
    <w:p w14:paraId="234ADDB5" w14:textId="77777777" w:rsidR="00AE1D26" w:rsidRDefault="00AE1D26">
      <w:r>
        <w:br w:type="page"/>
      </w:r>
    </w:p>
    <w:p w14:paraId="0A282826" w14:textId="77777777" w:rsidR="00AE1D26" w:rsidRDefault="00AE1D26" w:rsidP="004D0604">
      <w:pPr>
        <w:jc w:val="both"/>
      </w:pPr>
      <w:r>
        <w:lastRenderedPageBreak/>
        <w:t>Annexe 1. Résultats des relevés de diatomées dans les stations du Hoyoux, du Triffoy et du Ruisseau de Pailhe, fournis par le bureau d’études Bi-Eau</w:t>
      </w:r>
      <w:r w:rsidR="00C353D2">
        <w:t>. Campagne du 19 juillet 2013.</w:t>
      </w:r>
    </w:p>
    <w:p w14:paraId="4198E08B" w14:textId="77777777" w:rsidR="00AE1D26" w:rsidRDefault="00C511F2" w:rsidP="004D0604">
      <w:pPr>
        <w:jc w:val="both"/>
      </w:pPr>
      <w:r w:rsidRPr="0043798B">
        <w:rPr>
          <w:noProof/>
          <w:lang w:eastAsia="fr-BE"/>
        </w:rPr>
        <w:drawing>
          <wp:inline distT="0" distB="0" distL="0" distR="0" wp14:anchorId="1E376A17" wp14:editId="4EEDB3D2">
            <wp:extent cx="5753100" cy="80486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048625"/>
                    </a:xfrm>
                    <a:prstGeom prst="rect">
                      <a:avLst/>
                    </a:prstGeom>
                    <a:noFill/>
                    <a:ln>
                      <a:noFill/>
                    </a:ln>
                  </pic:spPr>
                </pic:pic>
              </a:graphicData>
            </a:graphic>
          </wp:inline>
        </w:drawing>
      </w:r>
    </w:p>
    <w:p w14:paraId="20EB0AD1" w14:textId="77777777" w:rsidR="0070344C" w:rsidRDefault="0070344C" w:rsidP="004D0604">
      <w:pPr>
        <w:jc w:val="both"/>
      </w:pPr>
    </w:p>
    <w:p w14:paraId="740AB0FD" w14:textId="77777777" w:rsidR="0070344C" w:rsidRDefault="00BE7DA5" w:rsidP="004D0604">
      <w:pPr>
        <w:jc w:val="both"/>
      </w:pPr>
      <w:r>
        <w:lastRenderedPageBreak/>
        <w:t>Diatomées – Hoyoux 19/07/13 (suite)</w:t>
      </w:r>
    </w:p>
    <w:p w14:paraId="5934DB89" w14:textId="77777777" w:rsidR="00BE7DA5" w:rsidRDefault="00C511F2" w:rsidP="004D0604">
      <w:pPr>
        <w:jc w:val="both"/>
      </w:pPr>
      <w:r w:rsidRPr="0043798B">
        <w:rPr>
          <w:noProof/>
          <w:lang w:eastAsia="fr-BE"/>
        </w:rPr>
        <w:drawing>
          <wp:inline distT="0" distB="0" distL="0" distR="0" wp14:anchorId="1018535D" wp14:editId="1042C29F">
            <wp:extent cx="5753100" cy="7172325"/>
            <wp:effectExtent l="0" t="0" r="0" b="9525"/>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172325"/>
                    </a:xfrm>
                    <a:prstGeom prst="rect">
                      <a:avLst/>
                    </a:prstGeom>
                    <a:noFill/>
                    <a:ln>
                      <a:noFill/>
                    </a:ln>
                  </pic:spPr>
                </pic:pic>
              </a:graphicData>
            </a:graphic>
          </wp:inline>
        </w:drawing>
      </w:r>
    </w:p>
    <w:p w14:paraId="5BD6F9E6" w14:textId="77777777" w:rsidR="0070344C" w:rsidRDefault="0070344C" w:rsidP="004D0604">
      <w:pPr>
        <w:jc w:val="both"/>
      </w:pPr>
    </w:p>
    <w:p w14:paraId="613DD24E" w14:textId="77777777" w:rsidR="00BE7DA5" w:rsidRDefault="00BE7DA5" w:rsidP="004D0604">
      <w:pPr>
        <w:jc w:val="both"/>
      </w:pPr>
    </w:p>
    <w:p w14:paraId="1BB9EDCE" w14:textId="77777777" w:rsidR="00BE7DA5" w:rsidRDefault="00BE7DA5" w:rsidP="004D0604">
      <w:pPr>
        <w:jc w:val="both"/>
      </w:pPr>
    </w:p>
    <w:p w14:paraId="46E4A7CA" w14:textId="77777777" w:rsidR="00BE7DA5" w:rsidRDefault="00BE7DA5" w:rsidP="004D0604">
      <w:pPr>
        <w:jc w:val="both"/>
      </w:pPr>
    </w:p>
    <w:p w14:paraId="4D05D3D0" w14:textId="77777777" w:rsidR="00BE7DA5" w:rsidRDefault="00BE7DA5" w:rsidP="004D0604">
      <w:pPr>
        <w:jc w:val="both"/>
      </w:pPr>
      <w:r>
        <w:lastRenderedPageBreak/>
        <w:t>Diatomées – Hoyoux 19/07/13 (suite)</w:t>
      </w:r>
    </w:p>
    <w:p w14:paraId="739BADD3" w14:textId="77777777" w:rsidR="00BE7DA5" w:rsidRDefault="00C511F2" w:rsidP="004D0604">
      <w:pPr>
        <w:jc w:val="both"/>
      </w:pPr>
      <w:r w:rsidRPr="0043798B">
        <w:rPr>
          <w:noProof/>
          <w:lang w:eastAsia="fr-BE"/>
        </w:rPr>
        <w:drawing>
          <wp:inline distT="0" distB="0" distL="0" distR="0" wp14:anchorId="6C310B33" wp14:editId="3087A1A2">
            <wp:extent cx="5753100" cy="4276725"/>
            <wp:effectExtent l="0" t="0" r="0" b="9525"/>
            <wp:docPr id="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p>
    <w:p w14:paraId="36685AA2" w14:textId="77777777" w:rsidR="00BE7DA5" w:rsidRDefault="00BE7DA5" w:rsidP="004D0604">
      <w:pPr>
        <w:jc w:val="both"/>
      </w:pPr>
    </w:p>
    <w:p w14:paraId="5C69D0BE" w14:textId="77777777" w:rsidR="00BE7DA5" w:rsidRDefault="00BE7DA5">
      <w:r>
        <w:br w:type="page"/>
      </w:r>
    </w:p>
    <w:p w14:paraId="6279E555" w14:textId="77777777" w:rsidR="00BE7DA5" w:rsidRDefault="00C511F2" w:rsidP="004D0604">
      <w:pPr>
        <w:jc w:val="both"/>
      </w:pPr>
      <w:r w:rsidRPr="0043798B">
        <w:rPr>
          <w:noProof/>
          <w:lang w:eastAsia="fr-BE"/>
        </w:rPr>
        <w:lastRenderedPageBreak/>
        <w:drawing>
          <wp:inline distT="0" distB="0" distL="0" distR="0" wp14:anchorId="5E50924D" wp14:editId="540974A1">
            <wp:extent cx="5753100" cy="8039100"/>
            <wp:effectExtent l="0" t="0" r="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039100"/>
                    </a:xfrm>
                    <a:prstGeom prst="rect">
                      <a:avLst/>
                    </a:prstGeom>
                    <a:noFill/>
                    <a:ln>
                      <a:noFill/>
                    </a:ln>
                  </pic:spPr>
                </pic:pic>
              </a:graphicData>
            </a:graphic>
          </wp:inline>
        </w:drawing>
      </w:r>
    </w:p>
    <w:p w14:paraId="795FE5B0" w14:textId="77777777" w:rsidR="00BE7DA5" w:rsidRDefault="00BE7DA5" w:rsidP="004D0604">
      <w:pPr>
        <w:jc w:val="both"/>
      </w:pPr>
    </w:p>
    <w:p w14:paraId="6EFB7BC8" w14:textId="77777777" w:rsidR="00BE7DA5" w:rsidRDefault="00BE7DA5" w:rsidP="004D0604">
      <w:pPr>
        <w:jc w:val="both"/>
      </w:pPr>
    </w:p>
    <w:p w14:paraId="40C8A8C2" w14:textId="77777777" w:rsidR="00940887" w:rsidRDefault="00940887" w:rsidP="00940887">
      <w:pPr>
        <w:jc w:val="both"/>
      </w:pPr>
      <w:r>
        <w:lastRenderedPageBreak/>
        <w:t>Diatomées – Triffoy 19/07/13 (suite)</w:t>
      </w:r>
    </w:p>
    <w:p w14:paraId="6CFEF31D" w14:textId="77777777" w:rsidR="00BE7DA5" w:rsidRDefault="00C511F2" w:rsidP="004D0604">
      <w:pPr>
        <w:jc w:val="both"/>
      </w:pPr>
      <w:r w:rsidRPr="0043798B">
        <w:rPr>
          <w:noProof/>
          <w:lang w:eastAsia="fr-BE"/>
        </w:rPr>
        <w:drawing>
          <wp:inline distT="0" distB="0" distL="0" distR="0" wp14:anchorId="09CC2A78" wp14:editId="7885F93C">
            <wp:extent cx="5753100" cy="5153025"/>
            <wp:effectExtent l="0" t="0" r="0" b="9525"/>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5153025"/>
                    </a:xfrm>
                    <a:prstGeom prst="rect">
                      <a:avLst/>
                    </a:prstGeom>
                    <a:noFill/>
                    <a:ln>
                      <a:noFill/>
                    </a:ln>
                  </pic:spPr>
                </pic:pic>
              </a:graphicData>
            </a:graphic>
          </wp:inline>
        </w:drawing>
      </w:r>
    </w:p>
    <w:p w14:paraId="0BC19B2C" w14:textId="77777777" w:rsidR="00BE7DA5" w:rsidRDefault="00BE7DA5" w:rsidP="004D0604">
      <w:pPr>
        <w:jc w:val="both"/>
      </w:pPr>
    </w:p>
    <w:p w14:paraId="1D6A8F60" w14:textId="77777777" w:rsidR="00940887" w:rsidRDefault="00940887">
      <w:r>
        <w:br w:type="page"/>
      </w:r>
    </w:p>
    <w:p w14:paraId="1C0B05AF" w14:textId="77777777" w:rsidR="00BE7DA5" w:rsidRDefault="00C511F2" w:rsidP="004D0604">
      <w:pPr>
        <w:jc w:val="both"/>
      </w:pPr>
      <w:r w:rsidRPr="0043798B">
        <w:rPr>
          <w:noProof/>
          <w:lang w:eastAsia="fr-BE"/>
        </w:rPr>
        <w:lastRenderedPageBreak/>
        <w:drawing>
          <wp:inline distT="0" distB="0" distL="0" distR="0" wp14:anchorId="46B7631D" wp14:editId="0462342B">
            <wp:extent cx="5143500" cy="8820150"/>
            <wp:effectExtent l="0" t="0" r="0"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8820150"/>
                    </a:xfrm>
                    <a:prstGeom prst="rect">
                      <a:avLst/>
                    </a:prstGeom>
                    <a:noFill/>
                    <a:ln>
                      <a:noFill/>
                    </a:ln>
                  </pic:spPr>
                </pic:pic>
              </a:graphicData>
            </a:graphic>
          </wp:inline>
        </w:drawing>
      </w:r>
    </w:p>
    <w:p w14:paraId="6DE5B9B4" w14:textId="77777777" w:rsidR="00940887" w:rsidRDefault="00940887" w:rsidP="00940887">
      <w:pPr>
        <w:jc w:val="both"/>
      </w:pPr>
      <w:r>
        <w:lastRenderedPageBreak/>
        <w:t>Diatomées – Triffoy 19/07/13 (suite)</w:t>
      </w:r>
    </w:p>
    <w:p w14:paraId="211211E6" w14:textId="77777777" w:rsidR="00BE7DA5" w:rsidRDefault="00C511F2" w:rsidP="004D0604">
      <w:pPr>
        <w:jc w:val="both"/>
      </w:pPr>
      <w:r w:rsidRPr="0043798B">
        <w:rPr>
          <w:noProof/>
          <w:lang w:eastAsia="fr-BE"/>
        </w:rPr>
        <w:drawing>
          <wp:inline distT="0" distB="0" distL="0" distR="0" wp14:anchorId="467806ED" wp14:editId="05AE7982">
            <wp:extent cx="5762625" cy="3952875"/>
            <wp:effectExtent l="0" t="0" r="9525" b="9525"/>
            <wp:docPr id="1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952875"/>
                    </a:xfrm>
                    <a:prstGeom prst="rect">
                      <a:avLst/>
                    </a:prstGeom>
                    <a:noFill/>
                    <a:ln>
                      <a:noFill/>
                    </a:ln>
                  </pic:spPr>
                </pic:pic>
              </a:graphicData>
            </a:graphic>
          </wp:inline>
        </w:drawing>
      </w:r>
    </w:p>
    <w:p w14:paraId="4D45606C" w14:textId="77777777" w:rsidR="0087693B" w:rsidRDefault="0087693B">
      <w:r>
        <w:br w:type="page"/>
      </w:r>
    </w:p>
    <w:p w14:paraId="7990EE17" w14:textId="77777777" w:rsidR="00BE7DA5" w:rsidRDefault="0087693B" w:rsidP="004D0604">
      <w:pPr>
        <w:jc w:val="both"/>
      </w:pPr>
      <w:r>
        <w:lastRenderedPageBreak/>
        <w:t>Annexe 2 Tableau faunistique provenant de l’analyse des échantillons du Triffoy, station aval et illustration de quelques traits bio/écologiques de la station</w:t>
      </w:r>
      <w:r w:rsidR="00AC76BD">
        <w:t>, comparé à des relevés de référence</w:t>
      </w:r>
      <w:r>
        <w:t> : la station est représentée par un t</w:t>
      </w:r>
      <w:r w:rsidR="00AC76BD">
        <w:t>riangle jaune projeté dans le plan des 2 premiers axes d’une analyse factorielle des correspondances</w:t>
      </w:r>
      <w:r>
        <w:t>.</w:t>
      </w:r>
    </w:p>
    <w:p w14:paraId="480AE6E9" w14:textId="77777777" w:rsidR="00BE7DA5" w:rsidRDefault="00C511F2" w:rsidP="004D0604">
      <w:pPr>
        <w:jc w:val="both"/>
      </w:pPr>
      <w:r w:rsidRPr="0043798B">
        <w:rPr>
          <w:noProof/>
          <w:lang w:eastAsia="fr-BE"/>
        </w:rPr>
        <w:drawing>
          <wp:inline distT="0" distB="0" distL="0" distR="0" wp14:anchorId="117827AD" wp14:editId="4996DB35">
            <wp:extent cx="5762625" cy="3257550"/>
            <wp:effectExtent l="0" t="0" r="9525" b="0"/>
            <wp:docPr id="1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a:ln>
                      <a:noFill/>
                    </a:ln>
                  </pic:spPr>
                </pic:pic>
              </a:graphicData>
            </a:graphic>
          </wp:inline>
        </w:drawing>
      </w:r>
    </w:p>
    <w:p w14:paraId="65494A8A" w14:textId="77777777" w:rsidR="00BE7DA5" w:rsidRDefault="00C511F2" w:rsidP="00AC76BD">
      <w:pPr>
        <w:pBdr>
          <w:top w:val="single" w:sz="8" w:space="0" w:color="auto"/>
          <w:left w:val="single" w:sz="8" w:space="0" w:color="auto"/>
          <w:bottom w:val="single" w:sz="8" w:space="0" w:color="auto"/>
          <w:right w:val="single" w:sz="8" w:space="0" w:color="auto"/>
        </w:pBdr>
        <w:jc w:val="both"/>
      </w:pPr>
      <w:r w:rsidRPr="0043798B">
        <w:rPr>
          <w:noProof/>
          <w:bdr w:val="single" w:sz="4" w:space="0" w:color="auto"/>
          <w:lang w:eastAsia="fr-BE"/>
        </w:rPr>
        <w:drawing>
          <wp:inline distT="0" distB="0" distL="0" distR="0" wp14:anchorId="3B646568" wp14:editId="159328DE">
            <wp:extent cx="5267325" cy="4238625"/>
            <wp:effectExtent l="0" t="0" r="9525" b="9525"/>
            <wp:docPr id="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cstate="print">
                      <a:extLst>
                        <a:ext uri="{28A0092B-C50C-407E-A947-70E740481C1C}">
                          <a14:useLocalDpi xmlns:a14="http://schemas.microsoft.com/office/drawing/2010/main" val="0"/>
                        </a:ext>
                      </a:extLst>
                    </a:blip>
                    <a:srcRect l="4631" t="18575" r="28233" b="13834"/>
                    <a:stretch>
                      <a:fillRect/>
                    </a:stretch>
                  </pic:blipFill>
                  <pic:spPr bwMode="auto">
                    <a:xfrm>
                      <a:off x="0" y="0"/>
                      <a:ext cx="5267325" cy="4238625"/>
                    </a:xfrm>
                    <a:prstGeom prst="rect">
                      <a:avLst/>
                    </a:prstGeom>
                    <a:noFill/>
                    <a:ln>
                      <a:noFill/>
                    </a:ln>
                  </pic:spPr>
                </pic:pic>
              </a:graphicData>
            </a:graphic>
          </wp:inline>
        </w:drawing>
      </w:r>
    </w:p>
    <w:p w14:paraId="47BD7E6D" w14:textId="77777777" w:rsidR="0087693B" w:rsidRDefault="0087693B" w:rsidP="004D0604">
      <w:pPr>
        <w:jc w:val="both"/>
      </w:pPr>
    </w:p>
    <w:p w14:paraId="4BA803D3" w14:textId="77777777" w:rsidR="00AC76BD" w:rsidRDefault="00C511F2" w:rsidP="004D0604">
      <w:pPr>
        <w:jc w:val="both"/>
      </w:pPr>
      <w:r w:rsidRPr="0043798B">
        <w:rPr>
          <w:noProof/>
          <w:lang w:eastAsia="fr-BE"/>
        </w:rPr>
        <w:lastRenderedPageBreak/>
        <w:drawing>
          <wp:inline distT="0" distB="0" distL="0" distR="0" wp14:anchorId="49937735" wp14:editId="39510CB0">
            <wp:extent cx="5467350" cy="4371975"/>
            <wp:effectExtent l="0" t="0" r="0" b="952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l="2975" t="17773" r="26587" b="11752"/>
                    <a:stretch>
                      <a:fillRect/>
                    </a:stretch>
                  </pic:blipFill>
                  <pic:spPr bwMode="auto">
                    <a:xfrm>
                      <a:off x="0" y="0"/>
                      <a:ext cx="5467350" cy="4371975"/>
                    </a:xfrm>
                    <a:prstGeom prst="rect">
                      <a:avLst/>
                    </a:prstGeom>
                    <a:noFill/>
                    <a:ln>
                      <a:noFill/>
                    </a:ln>
                  </pic:spPr>
                </pic:pic>
              </a:graphicData>
            </a:graphic>
          </wp:inline>
        </w:drawing>
      </w:r>
    </w:p>
    <w:p w14:paraId="07A78288" w14:textId="77777777" w:rsidR="00AC76BD" w:rsidRDefault="00AC76BD" w:rsidP="004D0604">
      <w:pPr>
        <w:jc w:val="both"/>
      </w:pPr>
    </w:p>
    <w:p w14:paraId="40475CD2" w14:textId="77777777" w:rsidR="00AC76BD" w:rsidRDefault="00C511F2" w:rsidP="004D0604">
      <w:pPr>
        <w:jc w:val="both"/>
      </w:pPr>
      <w:r w:rsidRPr="0043798B">
        <w:rPr>
          <w:noProof/>
          <w:lang w:eastAsia="fr-BE"/>
        </w:rPr>
        <w:drawing>
          <wp:inline distT="0" distB="0" distL="0" distR="0" wp14:anchorId="75608D02" wp14:editId="140E7419">
            <wp:extent cx="5467350" cy="409575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l="2975" t="17979" r="22949" b="12579"/>
                    <a:stretch>
                      <a:fillRect/>
                    </a:stretch>
                  </pic:blipFill>
                  <pic:spPr bwMode="auto">
                    <a:xfrm>
                      <a:off x="0" y="0"/>
                      <a:ext cx="5467350" cy="4095750"/>
                    </a:xfrm>
                    <a:prstGeom prst="rect">
                      <a:avLst/>
                    </a:prstGeom>
                    <a:noFill/>
                    <a:ln>
                      <a:noFill/>
                    </a:ln>
                  </pic:spPr>
                </pic:pic>
              </a:graphicData>
            </a:graphic>
          </wp:inline>
        </w:drawing>
      </w:r>
    </w:p>
    <w:p w14:paraId="0CC0ADB9" w14:textId="77777777" w:rsidR="00637861" w:rsidRDefault="00C511F2" w:rsidP="004D0604">
      <w:pPr>
        <w:jc w:val="both"/>
      </w:pPr>
      <w:r w:rsidRPr="0043798B">
        <w:rPr>
          <w:noProof/>
          <w:lang w:eastAsia="fr-BE"/>
        </w:rPr>
        <w:lastRenderedPageBreak/>
        <w:drawing>
          <wp:inline distT="0" distB="0" distL="0" distR="0" wp14:anchorId="0988ABFE" wp14:editId="5B3AD8A2">
            <wp:extent cx="5267325" cy="4086225"/>
            <wp:effectExtent l="0" t="0" r="9525" b="9525"/>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l="2315" t="17773" r="35020" b="21466"/>
                    <a:stretch>
                      <a:fillRect/>
                    </a:stretch>
                  </pic:blipFill>
                  <pic:spPr bwMode="auto">
                    <a:xfrm>
                      <a:off x="0" y="0"/>
                      <a:ext cx="5267325" cy="4086225"/>
                    </a:xfrm>
                    <a:prstGeom prst="rect">
                      <a:avLst/>
                    </a:prstGeom>
                    <a:noFill/>
                    <a:ln>
                      <a:noFill/>
                    </a:ln>
                  </pic:spPr>
                </pic:pic>
              </a:graphicData>
            </a:graphic>
          </wp:inline>
        </w:drawing>
      </w:r>
    </w:p>
    <w:p w14:paraId="56D545FB" w14:textId="77777777" w:rsidR="00637861" w:rsidRDefault="00C511F2" w:rsidP="004D0604">
      <w:pPr>
        <w:jc w:val="both"/>
      </w:pPr>
      <w:r w:rsidRPr="0043798B">
        <w:rPr>
          <w:noProof/>
          <w:lang w:eastAsia="fr-BE"/>
        </w:rPr>
        <w:drawing>
          <wp:inline distT="0" distB="0" distL="0" distR="0" wp14:anchorId="7B95A2E1" wp14:editId="36967E63">
            <wp:extent cx="5267325" cy="4095750"/>
            <wp:effectExtent l="0" t="0" r="952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l="2148" t="17361" r="35185" b="21672"/>
                    <a:stretch>
                      <a:fillRect/>
                    </a:stretch>
                  </pic:blipFill>
                  <pic:spPr bwMode="auto">
                    <a:xfrm>
                      <a:off x="0" y="0"/>
                      <a:ext cx="5267325" cy="4095750"/>
                    </a:xfrm>
                    <a:prstGeom prst="rect">
                      <a:avLst/>
                    </a:prstGeom>
                    <a:noFill/>
                    <a:ln>
                      <a:noFill/>
                    </a:ln>
                  </pic:spPr>
                </pic:pic>
              </a:graphicData>
            </a:graphic>
          </wp:inline>
        </w:drawing>
      </w:r>
    </w:p>
    <w:p w14:paraId="4EEA9BBA" w14:textId="77777777" w:rsidR="00637861" w:rsidRDefault="00637861" w:rsidP="004D0604">
      <w:pPr>
        <w:jc w:val="both"/>
      </w:pPr>
    </w:p>
    <w:p w14:paraId="19651DD7" w14:textId="77777777" w:rsidR="00637861" w:rsidRDefault="00637861" w:rsidP="004D0604">
      <w:pPr>
        <w:jc w:val="both"/>
      </w:pPr>
    </w:p>
    <w:p w14:paraId="573690D4" w14:textId="77777777" w:rsidR="00637861" w:rsidRDefault="00C511F2" w:rsidP="004D0604">
      <w:pPr>
        <w:jc w:val="both"/>
      </w:pPr>
      <w:r w:rsidRPr="0043798B">
        <w:rPr>
          <w:noProof/>
          <w:lang w:eastAsia="fr-BE"/>
        </w:rPr>
        <w:lastRenderedPageBreak/>
        <w:drawing>
          <wp:inline distT="0" distB="0" distL="0" distR="0" wp14:anchorId="467B5E20" wp14:editId="05D6DA61">
            <wp:extent cx="5429250" cy="4171950"/>
            <wp:effectExtent l="0" t="0" r="0" b="0"/>
            <wp:docPr id="1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2" cstate="print">
                      <a:extLst>
                        <a:ext uri="{28A0092B-C50C-407E-A947-70E740481C1C}">
                          <a14:useLocalDpi xmlns:a14="http://schemas.microsoft.com/office/drawing/2010/main" val="0"/>
                        </a:ext>
                      </a:extLst>
                    </a:blip>
                    <a:srcRect l="2811" t="18019" r="35336" b="22420"/>
                    <a:stretch>
                      <a:fillRect/>
                    </a:stretch>
                  </pic:blipFill>
                  <pic:spPr bwMode="auto">
                    <a:xfrm>
                      <a:off x="0" y="0"/>
                      <a:ext cx="5429250" cy="4171950"/>
                    </a:xfrm>
                    <a:prstGeom prst="rect">
                      <a:avLst/>
                    </a:prstGeom>
                    <a:noFill/>
                    <a:ln>
                      <a:noFill/>
                    </a:ln>
                  </pic:spPr>
                </pic:pic>
              </a:graphicData>
            </a:graphic>
          </wp:inline>
        </w:drawing>
      </w:r>
    </w:p>
    <w:p w14:paraId="635EF90B" w14:textId="77777777" w:rsidR="00637861" w:rsidRDefault="00C511F2" w:rsidP="004D0604">
      <w:pPr>
        <w:jc w:val="both"/>
      </w:pPr>
      <w:r w:rsidRPr="0043798B">
        <w:rPr>
          <w:noProof/>
          <w:lang w:eastAsia="fr-BE"/>
        </w:rPr>
        <w:drawing>
          <wp:inline distT="0" distB="0" distL="0" distR="0" wp14:anchorId="1E846C2B" wp14:editId="5936788C">
            <wp:extent cx="5353050" cy="4114800"/>
            <wp:effectExtent l="0" t="0" r="0" b="0"/>
            <wp:docPr id="2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3" cstate="print">
                      <a:extLst>
                        <a:ext uri="{28A0092B-C50C-407E-A947-70E740481C1C}">
                          <a14:useLocalDpi xmlns:a14="http://schemas.microsoft.com/office/drawing/2010/main" val="0"/>
                        </a:ext>
                      </a:extLst>
                    </a:blip>
                    <a:srcRect l="1984" t="17603" r="35336" b="22122"/>
                    <a:stretch>
                      <a:fillRect/>
                    </a:stretch>
                  </pic:blipFill>
                  <pic:spPr bwMode="auto">
                    <a:xfrm>
                      <a:off x="0" y="0"/>
                      <a:ext cx="5353050" cy="4114800"/>
                    </a:xfrm>
                    <a:prstGeom prst="rect">
                      <a:avLst/>
                    </a:prstGeom>
                    <a:noFill/>
                    <a:ln>
                      <a:noFill/>
                    </a:ln>
                  </pic:spPr>
                </pic:pic>
              </a:graphicData>
            </a:graphic>
          </wp:inline>
        </w:drawing>
      </w:r>
    </w:p>
    <w:p w14:paraId="4D8507A4" w14:textId="77777777" w:rsidR="00637861" w:rsidRDefault="00637861" w:rsidP="004D0604">
      <w:pPr>
        <w:jc w:val="both"/>
      </w:pPr>
    </w:p>
    <w:p w14:paraId="038306F5" w14:textId="77777777" w:rsidR="00637861" w:rsidRDefault="00C511F2" w:rsidP="004D0604">
      <w:pPr>
        <w:jc w:val="both"/>
      </w:pPr>
      <w:r w:rsidRPr="0043798B">
        <w:rPr>
          <w:noProof/>
          <w:lang w:eastAsia="fr-BE"/>
        </w:rPr>
        <w:lastRenderedPageBreak/>
        <w:drawing>
          <wp:inline distT="0" distB="0" distL="0" distR="0" wp14:anchorId="19BB8547" wp14:editId="49F4B648">
            <wp:extent cx="5400675" cy="4152900"/>
            <wp:effectExtent l="0" t="0" r="9525" b="0"/>
            <wp:docPr id="2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4" cstate="print">
                      <a:extLst>
                        <a:ext uri="{28A0092B-C50C-407E-A947-70E740481C1C}">
                          <a14:useLocalDpi xmlns:a14="http://schemas.microsoft.com/office/drawing/2010/main" val="0"/>
                        </a:ext>
                      </a:extLst>
                    </a:blip>
                    <a:srcRect l="2315" t="18431" r="26706" b="13216"/>
                    <a:stretch>
                      <a:fillRect/>
                    </a:stretch>
                  </pic:blipFill>
                  <pic:spPr bwMode="auto">
                    <a:xfrm>
                      <a:off x="0" y="0"/>
                      <a:ext cx="5400675" cy="4152900"/>
                    </a:xfrm>
                    <a:prstGeom prst="rect">
                      <a:avLst/>
                    </a:prstGeom>
                    <a:noFill/>
                    <a:ln>
                      <a:noFill/>
                    </a:ln>
                  </pic:spPr>
                </pic:pic>
              </a:graphicData>
            </a:graphic>
          </wp:inline>
        </w:drawing>
      </w:r>
    </w:p>
    <w:p w14:paraId="54AE9974" w14:textId="77777777" w:rsidR="00637861" w:rsidRDefault="00C511F2" w:rsidP="004D0604">
      <w:pPr>
        <w:jc w:val="both"/>
      </w:pPr>
      <w:r w:rsidRPr="0043798B">
        <w:rPr>
          <w:noProof/>
          <w:lang w:eastAsia="fr-BE"/>
        </w:rPr>
        <w:drawing>
          <wp:inline distT="0" distB="0" distL="0" distR="0" wp14:anchorId="4C01B88E" wp14:editId="7911F59A">
            <wp:extent cx="5343525" cy="4124325"/>
            <wp:effectExtent l="0" t="0" r="9525" b="9525"/>
            <wp:docPr id="2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5" cstate="print">
                      <a:extLst>
                        <a:ext uri="{28A0092B-C50C-407E-A947-70E740481C1C}">
                          <a14:useLocalDpi xmlns:a14="http://schemas.microsoft.com/office/drawing/2010/main" val="0"/>
                        </a:ext>
                      </a:extLst>
                    </a:blip>
                    <a:srcRect l="3035" t="18494" r="26736" b="13617"/>
                    <a:stretch>
                      <a:fillRect/>
                    </a:stretch>
                  </pic:blipFill>
                  <pic:spPr bwMode="auto">
                    <a:xfrm>
                      <a:off x="0" y="0"/>
                      <a:ext cx="5343525" cy="4124325"/>
                    </a:xfrm>
                    <a:prstGeom prst="rect">
                      <a:avLst/>
                    </a:prstGeom>
                    <a:noFill/>
                    <a:ln>
                      <a:noFill/>
                    </a:ln>
                  </pic:spPr>
                </pic:pic>
              </a:graphicData>
            </a:graphic>
          </wp:inline>
        </w:drawing>
      </w:r>
    </w:p>
    <w:p w14:paraId="0C02B779" w14:textId="5F454D6F" w:rsidR="004338F5" w:rsidRDefault="004338F5">
      <w:pPr>
        <w:spacing w:after="0" w:line="240" w:lineRule="auto"/>
      </w:pPr>
      <w:r>
        <w:br w:type="page"/>
      </w:r>
    </w:p>
    <w:p w14:paraId="5658F558" w14:textId="2BC95B18" w:rsidR="004338F5" w:rsidRDefault="004338F5" w:rsidP="004D0604">
      <w:pPr>
        <w:jc w:val="both"/>
      </w:pPr>
      <w:r>
        <w:lastRenderedPageBreak/>
        <w:t>Annexe 3 : Analyse des traits biologiques du Hoyoux et du Triffoy (campagne d’avril 2014) : Principaux traits différenciant les deux cours d’eau.</w:t>
      </w:r>
    </w:p>
    <w:p w14:paraId="09239EB5" w14:textId="66B879FD" w:rsidR="004338F5" w:rsidRDefault="004338F5" w:rsidP="004D0604">
      <w:pPr>
        <w:jc w:val="both"/>
      </w:pPr>
      <w:r>
        <w:rPr>
          <w:rFonts w:ascii="Arial" w:eastAsia="Times New Roman" w:hAnsi="Arial" w:cs="Arial"/>
          <w:noProof/>
          <w:sz w:val="20"/>
          <w:szCs w:val="20"/>
          <w:lang w:eastAsia="fr-BE"/>
        </w:rPr>
        <w:drawing>
          <wp:anchor distT="0" distB="0" distL="114300" distR="114300" simplePos="0" relativeHeight="251659264" behindDoc="0" locked="0" layoutInCell="1" allowOverlap="1" wp14:anchorId="64C19A60" wp14:editId="6FB8FB66">
            <wp:simplePos x="0" y="0"/>
            <wp:positionH relativeFrom="column">
              <wp:posOffset>628650</wp:posOffset>
            </wp:positionH>
            <wp:positionV relativeFrom="paragraph">
              <wp:posOffset>53975</wp:posOffset>
            </wp:positionV>
            <wp:extent cx="5128260" cy="2369185"/>
            <wp:effectExtent l="0" t="0" r="15240" b="12065"/>
            <wp:wrapNone/>
            <wp:docPr id="52227" name="Graphique 52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4941D6AD" w14:textId="67D769BD" w:rsidR="00D34E4D" w:rsidRDefault="00D34E4D" w:rsidP="004D0604">
      <w:pPr>
        <w:jc w:val="both"/>
      </w:pPr>
    </w:p>
    <w:p w14:paraId="51FA3BAA" w14:textId="77777777" w:rsidR="004338F5" w:rsidRDefault="004338F5" w:rsidP="004D0604">
      <w:pPr>
        <w:jc w:val="both"/>
      </w:pPr>
    </w:p>
    <w:p w14:paraId="5DC4A7D8" w14:textId="77777777" w:rsidR="004338F5" w:rsidRDefault="004338F5" w:rsidP="004D0604">
      <w:pPr>
        <w:jc w:val="both"/>
      </w:pPr>
    </w:p>
    <w:p w14:paraId="5C67E75A" w14:textId="77777777" w:rsidR="004338F5" w:rsidRDefault="004338F5" w:rsidP="004D0604">
      <w:pPr>
        <w:jc w:val="both"/>
      </w:pPr>
    </w:p>
    <w:p w14:paraId="19235864" w14:textId="77777777" w:rsidR="004338F5" w:rsidRDefault="004338F5" w:rsidP="004D0604">
      <w:pPr>
        <w:jc w:val="both"/>
      </w:pPr>
    </w:p>
    <w:p w14:paraId="7C02AEFE" w14:textId="77777777" w:rsidR="004338F5" w:rsidRDefault="004338F5" w:rsidP="004D0604">
      <w:pPr>
        <w:jc w:val="both"/>
      </w:pPr>
    </w:p>
    <w:p w14:paraId="0E004F19" w14:textId="77777777" w:rsidR="004338F5" w:rsidRDefault="004338F5" w:rsidP="004D0604">
      <w:pPr>
        <w:jc w:val="both"/>
      </w:pPr>
    </w:p>
    <w:p w14:paraId="3CE71945" w14:textId="77777777" w:rsidR="004338F5" w:rsidRDefault="004338F5" w:rsidP="004D0604">
      <w:pPr>
        <w:jc w:val="both"/>
      </w:pPr>
    </w:p>
    <w:p w14:paraId="08C145D6" w14:textId="7CFBCFD8" w:rsidR="004338F5" w:rsidRDefault="00C90A56" w:rsidP="004D0604">
      <w:pPr>
        <w:jc w:val="both"/>
      </w:pPr>
      <w:r>
        <w:rPr>
          <w:rFonts w:ascii="Arial" w:eastAsia="Times New Roman" w:hAnsi="Arial" w:cs="Arial"/>
          <w:noProof/>
          <w:sz w:val="20"/>
          <w:szCs w:val="20"/>
          <w:lang w:eastAsia="fr-BE"/>
        </w:rPr>
        <w:drawing>
          <wp:anchor distT="0" distB="0" distL="114300" distR="114300" simplePos="0" relativeHeight="251661312" behindDoc="0" locked="0" layoutInCell="1" allowOverlap="1" wp14:anchorId="00EA8821" wp14:editId="4BFEAACB">
            <wp:simplePos x="0" y="0"/>
            <wp:positionH relativeFrom="column">
              <wp:posOffset>638810</wp:posOffset>
            </wp:positionH>
            <wp:positionV relativeFrom="paragraph">
              <wp:posOffset>22225</wp:posOffset>
            </wp:positionV>
            <wp:extent cx="5113655" cy="2498725"/>
            <wp:effectExtent l="0" t="0" r="10795" b="15875"/>
            <wp:wrapNone/>
            <wp:docPr id="70659" name="Graphique 706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79A0C714" w14:textId="18FAB184" w:rsidR="004338F5" w:rsidRDefault="004338F5" w:rsidP="004D0604">
      <w:pPr>
        <w:jc w:val="both"/>
      </w:pPr>
    </w:p>
    <w:p w14:paraId="28024E24" w14:textId="57E16566" w:rsidR="004338F5" w:rsidRDefault="004338F5" w:rsidP="004D0604">
      <w:pPr>
        <w:jc w:val="both"/>
      </w:pPr>
    </w:p>
    <w:p w14:paraId="7B7C88ED" w14:textId="77777777" w:rsidR="004338F5" w:rsidRDefault="004338F5" w:rsidP="004D0604">
      <w:pPr>
        <w:jc w:val="both"/>
      </w:pPr>
    </w:p>
    <w:p w14:paraId="739DE1BB" w14:textId="77777777" w:rsidR="004338F5" w:rsidRDefault="004338F5" w:rsidP="004D0604">
      <w:pPr>
        <w:jc w:val="both"/>
      </w:pPr>
    </w:p>
    <w:p w14:paraId="0AE9CA08" w14:textId="77777777" w:rsidR="004338F5" w:rsidRDefault="004338F5" w:rsidP="004D0604">
      <w:pPr>
        <w:jc w:val="both"/>
      </w:pPr>
    </w:p>
    <w:p w14:paraId="45F85B90" w14:textId="77777777" w:rsidR="004338F5" w:rsidRDefault="004338F5" w:rsidP="004D0604">
      <w:pPr>
        <w:jc w:val="both"/>
      </w:pPr>
    </w:p>
    <w:p w14:paraId="63DD882A" w14:textId="77777777" w:rsidR="004338F5" w:rsidRDefault="004338F5" w:rsidP="004D0604">
      <w:pPr>
        <w:jc w:val="both"/>
      </w:pPr>
    </w:p>
    <w:p w14:paraId="44BD9FD4" w14:textId="77777777" w:rsidR="004338F5" w:rsidRDefault="004338F5" w:rsidP="004D0604">
      <w:pPr>
        <w:jc w:val="both"/>
      </w:pPr>
    </w:p>
    <w:p w14:paraId="39A9696C" w14:textId="60223BEC" w:rsidR="004338F5" w:rsidRDefault="00C90A56" w:rsidP="004D0604">
      <w:pPr>
        <w:jc w:val="both"/>
      </w:pPr>
      <w:r>
        <w:rPr>
          <w:rFonts w:ascii="Arial" w:eastAsia="Times New Roman" w:hAnsi="Arial" w:cs="Arial"/>
          <w:noProof/>
          <w:sz w:val="20"/>
          <w:szCs w:val="20"/>
          <w:lang w:eastAsia="fr-BE"/>
        </w:rPr>
        <w:drawing>
          <wp:anchor distT="0" distB="0" distL="114300" distR="114300" simplePos="0" relativeHeight="251663360" behindDoc="0" locked="0" layoutInCell="1" allowOverlap="1" wp14:anchorId="518F4208" wp14:editId="40A17116">
            <wp:simplePos x="0" y="0"/>
            <wp:positionH relativeFrom="column">
              <wp:posOffset>643255</wp:posOffset>
            </wp:positionH>
            <wp:positionV relativeFrom="paragraph">
              <wp:posOffset>290195</wp:posOffset>
            </wp:positionV>
            <wp:extent cx="5165090" cy="2647950"/>
            <wp:effectExtent l="0" t="0" r="16510" b="0"/>
            <wp:wrapNone/>
            <wp:docPr id="60419" name="Graphique 604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333E332B" w14:textId="39AA94FB" w:rsidR="004338F5" w:rsidRDefault="004338F5" w:rsidP="004D0604">
      <w:pPr>
        <w:jc w:val="both"/>
      </w:pPr>
    </w:p>
    <w:p w14:paraId="743DD7C7" w14:textId="77777777" w:rsidR="004338F5" w:rsidRDefault="004338F5" w:rsidP="004D0604">
      <w:pPr>
        <w:jc w:val="both"/>
      </w:pPr>
    </w:p>
    <w:p w14:paraId="038BE15C" w14:textId="77777777" w:rsidR="004338F5" w:rsidRDefault="004338F5" w:rsidP="004D0604">
      <w:pPr>
        <w:jc w:val="both"/>
      </w:pPr>
    </w:p>
    <w:p w14:paraId="285147D6" w14:textId="77777777" w:rsidR="004338F5" w:rsidRDefault="004338F5" w:rsidP="004D0604">
      <w:pPr>
        <w:jc w:val="both"/>
      </w:pPr>
    </w:p>
    <w:p w14:paraId="513DA62C" w14:textId="77777777" w:rsidR="004338F5" w:rsidRDefault="004338F5" w:rsidP="004D0604">
      <w:pPr>
        <w:jc w:val="both"/>
      </w:pPr>
    </w:p>
    <w:p w14:paraId="451CC020" w14:textId="77777777" w:rsidR="004338F5" w:rsidRDefault="004338F5" w:rsidP="004D0604">
      <w:pPr>
        <w:jc w:val="both"/>
      </w:pPr>
    </w:p>
    <w:p w14:paraId="7B0352CE" w14:textId="77777777" w:rsidR="004338F5" w:rsidRDefault="004338F5" w:rsidP="004D0604">
      <w:pPr>
        <w:jc w:val="both"/>
      </w:pPr>
    </w:p>
    <w:p w14:paraId="498C981B" w14:textId="77777777" w:rsidR="004338F5" w:rsidRDefault="004338F5" w:rsidP="004D0604">
      <w:pPr>
        <w:jc w:val="both"/>
      </w:pPr>
    </w:p>
    <w:p w14:paraId="31B4139C" w14:textId="77777777" w:rsidR="004338F5" w:rsidRDefault="004338F5" w:rsidP="004D0604">
      <w:pPr>
        <w:jc w:val="both"/>
      </w:pPr>
    </w:p>
    <w:p w14:paraId="64610C4E" w14:textId="77777777" w:rsidR="004338F5" w:rsidRDefault="004338F5" w:rsidP="004D0604">
      <w:pPr>
        <w:jc w:val="both"/>
      </w:pPr>
    </w:p>
    <w:p w14:paraId="7A21F4DC" w14:textId="76A5EB77" w:rsidR="004338F5" w:rsidRDefault="00C90A56" w:rsidP="004D0604">
      <w:pPr>
        <w:jc w:val="both"/>
      </w:pPr>
      <w:r>
        <w:rPr>
          <w:rFonts w:ascii="Arial" w:eastAsia="Times New Roman" w:hAnsi="Arial" w:cs="Arial"/>
          <w:noProof/>
          <w:sz w:val="20"/>
          <w:szCs w:val="20"/>
          <w:lang w:eastAsia="fr-BE"/>
        </w:rPr>
        <w:lastRenderedPageBreak/>
        <w:drawing>
          <wp:anchor distT="0" distB="0" distL="114300" distR="114300" simplePos="0" relativeHeight="251665408" behindDoc="0" locked="0" layoutInCell="1" allowOverlap="1" wp14:anchorId="56471F14" wp14:editId="46577A1C">
            <wp:simplePos x="0" y="0"/>
            <wp:positionH relativeFrom="column">
              <wp:posOffset>-4446</wp:posOffset>
            </wp:positionH>
            <wp:positionV relativeFrom="paragraph">
              <wp:posOffset>-4445</wp:posOffset>
            </wp:positionV>
            <wp:extent cx="5187315" cy="2781300"/>
            <wp:effectExtent l="0" t="0" r="13335" b="0"/>
            <wp:wrapNone/>
            <wp:docPr id="68611" name="Graphique 686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03BB84AD" w14:textId="77777777" w:rsidR="004338F5" w:rsidRDefault="004338F5" w:rsidP="004D0604">
      <w:pPr>
        <w:jc w:val="both"/>
      </w:pPr>
    </w:p>
    <w:p w14:paraId="4BDD91ED" w14:textId="77777777" w:rsidR="004338F5" w:rsidRDefault="004338F5" w:rsidP="004D0604">
      <w:pPr>
        <w:jc w:val="both"/>
      </w:pPr>
    </w:p>
    <w:p w14:paraId="0E3409F7" w14:textId="77777777" w:rsidR="004338F5" w:rsidRDefault="004338F5" w:rsidP="004D0604">
      <w:pPr>
        <w:jc w:val="both"/>
      </w:pPr>
    </w:p>
    <w:p w14:paraId="7D6F0C8A" w14:textId="77777777" w:rsidR="004338F5" w:rsidRDefault="004338F5" w:rsidP="004D0604">
      <w:pPr>
        <w:jc w:val="both"/>
      </w:pPr>
    </w:p>
    <w:p w14:paraId="4AB1F9FA" w14:textId="77777777" w:rsidR="00C90A56" w:rsidRDefault="00C90A56" w:rsidP="004D0604">
      <w:pPr>
        <w:jc w:val="both"/>
      </w:pPr>
    </w:p>
    <w:p w14:paraId="13AD3D07" w14:textId="77777777" w:rsidR="00C90A56" w:rsidRDefault="00C90A56" w:rsidP="004D0604">
      <w:pPr>
        <w:jc w:val="both"/>
      </w:pPr>
    </w:p>
    <w:p w14:paraId="780AF933" w14:textId="77777777" w:rsidR="00C90A56" w:rsidRDefault="00C90A56" w:rsidP="004D0604">
      <w:pPr>
        <w:jc w:val="both"/>
      </w:pPr>
    </w:p>
    <w:p w14:paraId="58071A8D" w14:textId="77777777" w:rsidR="00C90A56" w:rsidRDefault="00C90A56" w:rsidP="004D0604">
      <w:pPr>
        <w:jc w:val="both"/>
      </w:pPr>
    </w:p>
    <w:p w14:paraId="23928B56" w14:textId="77777777" w:rsidR="00C90A56" w:rsidRDefault="00C90A56" w:rsidP="004D0604">
      <w:pPr>
        <w:jc w:val="both"/>
      </w:pPr>
    </w:p>
    <w:p w14:paraId="47F81C3D" w14:textId="2B369159" w:rsidR="00C90A56" w:rsidRDefault="00A715F8" w:rsidP="004D0604">
      <w:pPr>
        <w:jc w:val="both"/>
      </w:pPr>
      <w:r>
        <w:rPr>
          <w:rFonts w:ascii="Arial" w:eastAsia="Times New Roman" w:hAnsi="Arial" w:cs="Arial"/>
          <w:noProof/>
          <w:sz w:val="20"/>
          <w:szCs w:val="20"/>
          <w:lang w:eastAsia="fr-BE"/>
        </w:rPr>
        <w:drawing>
          <wp:anchor distT="0" distB="0" distL="114300" distR="114300" simplePos="0" relativeHeight="251667456" behindDoc="0" locked="0" layoutInCell="1" allowOverlap="1" wp14:anchorId="7A4199D5" wp14:editId="7611C32A">
            <wp:simplePos x="0" y="0"/>
            <wp:positionH relativeFrom="column">
              <wp:posOffset>66675</wp:posOffset>
            </wp:positionH>
            <wp:positionV relativeFrom="paragraph">
              <wp:posOffset>189230</wp:posOffset>
            </wp:positionV>
            <wp:extent cx="5120640" cy="2909570"/>
            <wp:effectExtent l="0" t="0" r="3810" b="5080"/>
            <wp:wrapNone/>
            <wp:docPr id="66563" name="Graphique 665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2AF555B7" w14:textId="77777777" w:rsidR="00A715F8" w:rsidRDefault="00A715F8" w:rsidP="004D0604">
      <w:pPr>
        <w:jc w:val="both"/>
      </w:pPr>
    </w:p>
    <w:p w14:paraId="20E629A5" w14:textId="77777777" w:rsidR="00A715F8" w:rsidRDefault="00A715F8" w:rsidP="004D0604">
      <w:pPr>
        <w:jc w:val="both"/>
      </w:pPr>
    </w:p>
    <w:p w14:paraId="38D86274" w14:textId="77777777" w:rsidR="00A715F8" w:rsidRDefault="00A715F8" w:rsidP="004D0604">
      <w:pPr>
        <w:jc w:val="both"/>
      </w:pPr>
    </w:p>
    <w:p w14:paraId="6045C8DE" w14:textId="77777777" w:rsidR="00A715F8" w:rsidRDefault="00A715F8" w:rsidP="004D0604">
      <w:pPr>
        <w:jc w:val="both"/>
      </w:pPr>
    </w:p>
    <w:p w14:paraId="7037C67C" w14:textId="77777777" w:rsidR="00A715F8" w:rsidRDefault="00A715F8" w:rsidP="004D0604">
      <w:pPr>
        <w:jc w:val="both"/>
      </w:pPr>
    </w:p>
    <w:p w14:paraId="26C67B15" w14:textId="77777777" w:rsidR="00A715F8" w:rsidRDefault="00A715F8" w:rsidP="004D0604">
      <w:pPr>
        <w:jc w:val="both"/>
      </w:pPr>
    </w:p>
    <w:p w14:paraId="14601A44" w14:textId="19108E7A" w:rsidR="00C90A56" w:rsidRDefault="00C90A56" w:rsidP="004D0604">
      <w:pPr>
        <w:jc w:val="both"/>
      </w:pPr>
    </w:p>
    <w:p w14:paraId="45DC6ED5" w14:textId="77777777" w:rsidR="00C90A56" w:rsidRDefault="00C90A56" w:rsidP="004D0604">
      <w:pPr>
        <w:jc w:val="both"/>
      </w:pPr>
    </w:p>
    <w:p w14:paraId="3494A9D6" w14:textId="77777777" w:rsidR="00C90A56" w:rsidRDefault="00C90A56" w:rsidP="004D0604">
      <w:pPr>
        <w:jc w:val="both"/>
      </w:pPr>
    </w:p>
    <w:p w14:paraId="46444305" w14:textId="77777777" w:rsidR="00C90A56" w:rsidRDefault="00C90A56" w:rsidP="004D0604">
      <w:pPr>
        <w:jc w:val="both"/>
      </w:pPr>
    </w:p>
    <w:p w14:paraId="43CBED35" w14:textId="77777777" w:rsidR="00C90A56" w:rsidRDefault="00C90A56" w:rsidP="004D0604">
      <w:pPr>
        <w:jc w:val="both"/>
      </w:pPr>
    </w:p>
    <w:p w14:paraId="0157F4A8" w14:textId="065B78BB" w:rsidR="00C90A56" w:rsidRDefault="00C90A56" w:rsidP="004D0604">
      <w:pPr>
        <w:jc w:val="both"/>
      </w:pPr>
    </w:p>
    <w:p w14:paraId="0E7B4EE3" w14:textId="77777777" w:rsidR="00A715F8" w:rsidRDefault="00A715F8" w:rsidP="004D0604">
      <w:pPr>
        <w:jc w:val="both"/>
      </w:pPr>
    </w:p>
    <w:p w14:paraId="46EE9E60" w14:textId="77777777" w:rsidR="00A715F8" w:rsidRDefault="00A715F8" w:rsidP="004D0604">
      <w:pPr>
        <w:jc w:val="both"/>
      </w:pPr>
    </w:p>
    <w:p w14:paraId="4B3EAFAD" w14:textId="77777777" w:rsidR="00A715F8" w:rsidRDefault="00A715F8" w:rsidP="004D0604">
      <w:pPr>
        <w:jc w:val="both"/>
      </w:pPr>
    </w:p>
    <w:p w14:paraId="3EE661C8" w14:textId="77777777" w:rsidR="00A715F8" w:rsidRDefault="00A715F8" w:rsidP="004D0604">
      <w:pPr>
        <w:jc w:val="both"/>
      </w:pPr>
    </w:p>
    <w:p w14:paraId="2741F8A5" w14:textId="77777777" w:rsidR="00A715F8" w:rsidRDefault="00A715F8" w:rsidP="004D0604">
      <w:pPr>
        <w:jc w:val="both"/>
      </w:pPr>
    </w:p>
    <w:p w14:paraId="28EC9441" w14:textId="77777777" w:rsidR="00A715F8" w:rsidRDefault="00A715F8" w:rsidP="004D0604">
      <w:pPr>
        <w:jc w:val="both"/>
      </w:pPr>
    </w:p>
    <w:p w14:paraId="170051F0" w14:textId="77777777" w:rsidR="00A715F8" w:rsidRDefault="00A715F8" w:rsidP="004D0604">
      <w:pPr>
        <w:jc w:val="both"/>
      </w:pPr>
    </w:p>
    <w:p w14:paraId="0254333E" w14:textId="77777777" w:rsidR="00A715F8" w:rsidRDefault="00A715F8" w:rsidP="004D0604">
      <w:pPr>
        <w:jc w:val="both"/>
      </w:pPr>
    </w:p>
    <w:p w14:paraId="7DD57506" w14:textId="5370087E" w:rsidR="00D34E4D" w:rsidRDefault="004338F5" w:rsidP="004D0604">
      <w:pPr>
        <w:jc w:val="both"/>
      </w:pPr>
      <w:r>
        <w:lastRenderedPageBreak/>
        <w:t>Annexe 4</w:t>
      </w:r>
      <w:r w:rsidR="00D34E4D">
        <w:t xml:space="preserve">. Fiches </w:t>
      </w:r>
      <w:r w:rsidR="003978C3">
        <w:t>de la qualité biologique du Hoyoux et du Triffoy, extraites de la base de données Aquabio du SPW.</w:t>
      </w:r>
    </w:p>
    <w:p w14:paraId="00F760A5" w14:textId="77777777" w:rsidR="003978C3" w:rsidRDefault="00C511F2" w:rsidP="004D0604">
      <w:pPr>
        <w:jc w:val="both"/>
      </w:pPr>
      <w:r w:rsidRPr="0043798B">
        <w:rPr>
          <w:noProof/>
          <w:lang w:eastAsia="fr-BE"/>
        </w:rPr>
        <w:drawing>
          <wp:inline distT="0" distB="0" distL="0" distR="0" wp14:anchorId="410802DE" wp14:editId="6B62C41B">
            <wp:extent cx="5400675" cy="7934325"/>
            <wp:effectExtent l="0" t="0" r="9525" b="9525"/>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1">
                      <a:extLst>
                        <a:ext uri="{28A0092B-C50C-407E-A947-70E740481C1C}">
                          <a14:useLocalDpi xmlns:a14="http://schemas.microsoft.com/office/drawing/2010/main" val="0"/>
                        </a:ext>
                      </a:extLst>
                    </a:blip>
                    <a:srcRect l="28604" t="9300" r="25266" b="6174"/>
                    <a:stretch>
                      <a:fillRect/>
                    </a:stretch>
                  </pic:blipFill>
                  <pic:spPr bwMode="auto">
                    <a:xfrm>
                      <a:off x="0" y="0"/>
                      <a:ext cx="5400675" cy="7934325"/>
                    </a:xfrm>
                    <a:prstGeom prst="rect">
                      <a:avLst/>
                    </a:prstGeom>
                    <a:noFill/>
                    <a:ln>
                      <a:noFill/>
                    </a:ln>
                  </pic:spPr>
                </pic:pic>
              </a:graphicData>
            </a:graphic>
          </wp:inline>
        </w:drawing>
      </w:r>
    </w:p>
    <w:p w14:paraId="2D4337FD" w14:textId="77777777" w:rsidR="003978C3" w:rsidRDefault="003978C3" w:rsidP="004D0604">
      <w:pPr>
        <w:jc w:val="both"/>
      </w:pPr>
    </w:p>
    <w:p w14:paraId="3FA6953B" w14:textId="7ADD675E" w:rsidR="00625F96" w:rsidRDefault="00C2597E" w:rsidP="004D0604">
      <w:pPr>
        <w:jc w:val="both"/>
      </w:pPr>
      <w:r>
        <w:rPr>
          <w:noProof/>
          <w:lang w:eastAsia="fr-BE"/>
        </w:rPr>
        <w:lastRenderedPageBreak/>
        <w:drawing>
          <wp:inline distT="0" distB="0" distL="0" distR="0" wp14:anchorId="1AD38A0C" wp14:editId="4696176A">
            <wp:extent cx="5829300" cy="819889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808" t="10776" r="31927" b="6015"/>
                    <a:stretch/>
                  </pic:blipFill>
                  <pic:spPr bwMode="auto">
                    <a:xfrm>
                      <a:off x="0" y="0"/>
                      <a:ext cx="5831582" cy="8202104"/>
                    </a:xfrm>
                    <a:prstGeom prst="rect">
                      <a:avLst/>
                    </a:prstGeom>
                    <a:ln>
                      <a:noFill/>
                    </a:ln>
                    <a:extLst>
                      <a:ext uri="{53640926-AAD7-44D8-BBD7-CCE9431645EC}">
                        <a14:shadowObscured xmlns:a14="http://schemas.microsoft.com/office/drawing/2010/main"/>
                      </a:ext>
                    </a:extLst>
                  </pic:spPr>
                </pic:pic>
              </a:graphicData>
            </a:graphic>
          </wp:inline>
        </w:drawing>
      </w:r>
    </w:p>
    <w:p w14:paraId="74B7CAED" w14:textId="77777777" w:rsidR="00625F96" w:rsidRDefault="00625F96" w:rsidP="004D0604">
      <w:pPr>
        <w:jc w:val="both"/>
      </w:pPr>
    </w:p>
    <w:sectPr w:rsidR="00625F96" w:rsidSect="003E6F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6F3E9" w14:textId="77777777" w:rsidR="0011471A" w:rsidRDefault="0011471A" w:rsidP="007F1A36">
      <w:pPr>
        <w:spacing w:after="0" w:line="240" w:lineRule="auto"/>
      </w:pPr>
      <w:r>
        <w:separator/>
      </w:r>
    </w:p>
  </w:endnote>
  <w:endnote w:type="continuationSeparator" w:id="0">
    <w:p w14:paraId="7C1CD488" w14:textId="77777777" w:rsidR="0011471A" w:rsidRDefault="0011471A" w:rsidP="007F1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8F4D8" w14:textId="77777777" w:rsidR="0011471A" w:rsidRDefault="0011471A" w:rsidP="007F1A36">
      <w:pPr>
        <w:spacing w:after="0" w:line="240" w:lineRule="auto"/>
      </w:pPr>
      <w:r>
        <w:separator/>
      </w:r>
    </w:p>
  </w:footnote>
  <w:footnote w:type="continuationSeparator" w:id="0">
    <w:p w14:paraId="33F99CA6" w14:textId="77777777" w:rsidR="0011471A" w:rsidRDefault="0011471A" w:rsidP="007F1A36">
      <w:pPr>
        <w:spacing w:after="0" w:line="240" w:lineRule="auto"/>
      </w:pPr>
      <w:r>
        <w:continuationSeparator/>
      </w:r>
    </w:p>
  </w:footnote>
  <w:footnote w:id="1">
    <w:p w14:paraId="4416E74D" w14:textId="77777777" w:rsidR="0011471A" w:rsidRDefault="0011471A" w:rsidP="007A198C">
      <w:pPr>
        <w:pStyle w:val="Notedebasdepage"/>
      </w:pPr>
      <w:r>
        <w:rPr>
          <w:rStyle w:val="Appelnotedebasdep"/>
        </w:rPr>
        <w:footnoteRef/>
      </w:r>
      <w:r>
        <w:t xml:space="preserve"> La localisation de la station l’expose en effet à des rejets domestiques en provenance du village des Avins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520EF"/>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7EF3F05"/>
    <w:multiLevelType w:val="hybridMultilevel"/>
    <w:tmpl w:val="3FD0816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45D83865"/>
    <w:multiLevelType w:val="multilevel"/>
    <w:tmpl w:val="0E22958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53F531C2"/>
    <w:multiLevelType w:val="hybridMultilevel"/>
    <w:tmpl w:val="938AC150"/>
    <w:lvl w:ilvl="0" w:tplc="F58E0A7C">
      <w:start w:val="2"/>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693031CB"/>
    <w:multiLevelType w:val="hybridMultilevel"/>
    <w:tmpl w:val="3FD0816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72934263"/>
    <w:multiLevelType w:val="multilevel"/>
    <w:tmpl w:val="0E22958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7E6115FE"/>
    <w:multiLevelType w:val="hybridMultilevel"/>
    <w:tmpl w:val="3FD0816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A93"/>
    <w:rsid w:val="00002EE9"/>
    <w:rsid w:val="00032871"/>
    <w:rsid w:val="00062EE5"/>
    <w:rsid w:val="00086E21"/>
    <w:rsid w:val="000B153B"/>
    <w:rsid w:val="000B25AB"/>
    <w:rsid w:val="0011471A"/>
    <w:rsid w:val="00161E2C"/>
    <w:rsid w:val="00205945"/>
    <w:rsid w:val="002353B3"/>
    <w:rsid w:val="002525F8"/>
    <w:rsid w:val="00255C47"/>
    <w:rsid w:val="002A4A12"/>
    <w:rsid w:val="002E18E0"/>
    <w:rsid w:val="00302A93"/>
    <w:rsid w:val="00316DC6"/>
    <w:rsid w:val="003258BC"/>
    <w:rsid w:val="003272C5"/>
    <w:rsid w:val="00335CF3"/>
    <w:rsid w:val="00347A97"/>
    <w:rsid w:val="003702D1"/>
    <w:rsid w:val="00380D55"/>
    <w:rsid w:val="003978C3"/>
    <w:rsid w:val="003B102D"/>
    <w:rsid w:val="003E6FCA"/>
    <w:rsid w:val="004338F5"/>
    <w:rsid w:val="0043798B"/>
    <w:rsid w:val="0045449A"/>
    <w:rsid w:val="00456B17"/>
    <w:rsid w:val="00463270"/>
    <w:rsid w:val="0047055B"/>
    <w:rsid w:val="004832C7"/>
    <w:rsid w:val="004939F5"/>
    <w:rsid w:val="00497375"/>
    <w:rsid w:val="004C1BF7"/>
    <w:rsid w:val="004C3803"/>
    <w:rsid w:val="004C5069"/>
    <w:rsid w:val="004D0604"/>
    <w:rsid w:val="004E380B"/>
    <w:rsid w:val="005357F2"/>
    <w:rsid w:val="0059588A"/>
    <w:rsid w:val="005B0610"/>
    <w:rsid w:val="005B2163"/>
    <w:rsid w:val="005D2B43"/>
    <w:rsid w:val="006006E4"/>
    <w:rsid w:val="00607A56"/>
    <w:rsid w:val="00625F96"/>
    <w:rsid w:val="0063277E"/>
    <w:rsid w:val="00637861"/>
    <w:rsid w:val="006523FB"/>
    <w:rsid w:val="00660982"/>
    <w:rsid w:val="00670723"/>
    <w:rsid w:val="00677314"/>
    <w:rsid w:val="006C2688"/>
    <w:rsid w:val="0070344C"/>
    <w:rsid w:val="00726060"/>
    <w:rsid w:val="0074390A"/>
    <w:rsid w:val="00756C28"/>
    <w:rsid w:val="00776752"/>
    <w:rsid w:val="007A198C"/>
    <w:rsid w:val="007A7E79"/>
    <w:rsid w:val="007C6CF7"/>
    <w:rsid w:val="007E1F4A"/>
    <w:rsid w:val="007E739B"/>
    <w:rsid w:val="007F1A36"/>
    <w:rsid w:val="00806C33"/>
    <w:rsid w:val="00820FF0"/>
    <w:rsid w:val="008217C9"/>
    <w:rsid w:val="00856690"/>
    <w:rsid w:val="008608A5"/>
    <w:rsid w:val="00867466"/>
    <w:rsid w:val="0087693B"/>
    <w:rsid w:val="00896E00"/>
    <w:rsid w:val="008A391C"/>
    <w:rsid w:val="008F2486"/>
    <w:rsid w:val="008F452A"/>
    <w:rsid w:val="008F6F9C"/>
    <w:rsid w:val="00906AD7"/>
    <w:rsid w:val="00915C02"/>
    <w:rsid w:val="00932745"/>
    <w:rsid w:val="00940870"/>
    <w:rsid w:val="00940887"/>
    <w:rsid w:val="00950F45"/>
    <w:rsid w:val="009612C4"/>
    <w:rsid w:val="009804E5"/>
    <w:rsid w:val="00984244"/>
    <w:rsid w:val="00991CE5"/>
    <w:rsid w:val="009A2EB8"/>
    <w:rsid w:val="009D2955"/>
    <w:rsid w:val="00A02126"/>
    <w:rsid w:val="00A12639"/>
    <w:rsid w:val="00A715F8"/>
    <w:rsid w:val="00AA645C"/>
    <w:rsid w:val="00AC76BD"/>
    <w:rsid w:val="00AD583E"/>
    <w:rsid w:val="00AE1D26"/>
    <w:rsid w:val="00AF4D1F"/>
    <w:rsid w:val="00B21154"/>
    <w:rsid w:val="00B243AC"/>
    <w:rsid w:val="00B31EEF"/>
    <w:rsid w:val="00B354B5"/>
    <w:rsid w:val="00B41746"/>
    <w:rsid w:val="00B41E1F"/>
    <w:rsid w:val="00B73729"/>
    <w:rsid w:val="00B7562A"/>
    <w:rsid w:val="00BA09CE"/>
    <w:rsid w:val="00BA7D73"/>
    <w:rsid w:val="00BC1ABF"/>
    <w:rsid w:val="00BD24AD"/>
    <w:rsid w:val="00BD6830"/>
    <w:rsid w:val="00BD77F5"/>
    <w:rsid w:val="00BE6A62"/>
    <w:rsid w:val="00BE7DA5"/>
    <w:rsid w:val="00C2597E"/>
    <w:rsid w:val="00C27ABA"/>
    <w:rsid w:val="00C353D2"/>
    <w:rsid w:val="00C42573"/>
    <w:rsid w:val="00C511F2"/>
    <w:rsid w:val="00C76B49"/>
    <w:rsid w:val="00C82A98"/>
    <w:rsid w:val="00C90A56"/>
    <w:rsid w:val="00CB37BC"/>
    <w:rsid w:val="00CD7F84"/>
    <w:rsid w:val="00CF7322"/>
    <w:rsid w:val="00D120AA"/>
    <w:rsid w:val="00D222AA"/>
    <w:rsid w:val="00D34E4D"/>
    <w:rsid w:val="00D4643C"/>
    <w:rsid w:val="00DE480C"/>
    <w:rsid w:val="00DE4C56"/>
    <w:rsid w:val="00E069F9"/>
    <w:rsid w:val="00E15A55"/>
    <w:rsid w:val="00E2385D"/>
    <w:rsid w:val="00E53E0F"/>
    <w:rsid w:val="00E72994"/>
    <w:rsid w:val="00E779E0"/>
    <w:rsid w:val="00EB3D81"/>
    <w:rsid w:val="00ED171B"/>
    <w:rsid w:val="00ED7793"/>
    <w:rsid w:val="00EF7FE7"/>
    <w:rsid w:val="00F06DF4"/>
    <w:rsid w:val="00F35468"/>
    <w:rsid w:val="00F651F5"/>
    <w:rsid w:val="00F70A04"/>
    <w:rsid w:val="00FA2AAA"/>
    <w:rsid w:val="00FA6334"/>
    <w:rsid w:val="00FC5916"/>
    <w:rsid w:val="00FC79DA"/>
    <w:rsid w:val="00FF3D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26703FD"/>
  <w15:chartTrackingRefBased/>
  <w15:docId w15:val="{FD96065E-12D7-47C7-A502-72FD0828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FCA"/>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ableText">
    <w:name w:val="TableText"/>
    <w:basedOn w:val="Normal"/>
    <w:autoRedefine/>
    <w:rsid w:val="00302A93"/>
    <w:pPr>
      <w:spacing w:after="0" w:line="240" w:lineRule="auto"/>
      <w:ind w:right="-52"/>
      <w:jc w:val="both"/>
    </w:pPr>
    <w:rPr>
      <w:rFonts w:ascii="Verdana" w:eastAsia="Times New Roman" w:hAnsi="Verdana"/>
      <w:color w:val="000000"/>
      <w:sz w:val="18"/>
      <w:szCs w:val="18"/>
      <w:lang w:val="fr-FR" w:eastAsia="fr-FR"/>
    </w:rPr>
  </w:style>
  <w:style w:type="character" w:styleId="Marquedecommentaire">
    <w:name w:val="annotation reference"/>
    <w:basedOn w:val="Policepardfaut"/>
    <w:uiPriority w:val="99"/>
    <w:semiHidden/>
    <w:unhideWhenUsed/>
    <w:rsid w:val="00950F45"/>
    <w:rPr>
      <w:sz w:val="16"/>
      <w:szCs w:val="16"/>
    </w:rPr>
  </w:style>
  <w:style w:type="paragraph" w:styleId="Commentaire">
    <w:name w:val="annotation text"/>
    <w:basedOn w:val="Normal"/>
    <w:link w:val="CommentaireCar"/>
    <w:uiPriority w:val="99"/>
    <w:semiHidden/>
    <w:unhideWhenUsed/>
    <w:rsid w:val="00950F45"/>
    <w:pPr>
      <w:spacing w:line="240" w:lineRule="auto"/>
    </w:pPr>
    <w:rPr>
      <w:sz w:val="20"/>
      <w:szCs w:val="20"/>
    </w:rPr>
  </w:style>
  <w:style w:type="character" w:customStyle="1" w:styleId="CommentaireCar">
    <w:name w:val="Commentaire Car"/>
    <w:basedOn w:val="Policepardfaut"/>
    <w:link w:val="Commentaire"/>
    <w:uiPriority w:val="99"/>
    <w:semiHidden/>
    <w:rsid w:val="00950F45"/>
    <w:rPr>
      <w:sz w:val="20"/>
      <w:szCs w:val="20"/>
    </w:rPr>
  </w:style>
  <w:style w:type="paragraph" w:styleId="Objetducommentaire">
    <w:name w:val="annotation subject"/>
    <w:basedOn w:val="Commentaire"/>
    <w:next w:val="Commentaire"/>
    <w:link w:val="ObjetducommentaireCar"/>
    <w:uiPriority w:val="99"/>
    <w:semiHidden/>
    <w:unhideWhenUsed/>
    <w:rsid w:val="00950F45"/>
    <w:rPr>
      <w:b/>
      <w:bCs/>
    </w:rPr>
  </w:style>
  <w:style w:type="character" w:customStyle="1" w:styleId="ObjetducommentaireCar">
    <w:name w:val="Objet du commentaire Car"/>
    <w:basedOn w:val="CommentaireCar"/>
    <w:link w:val="Objetducommentaire"/>
    <w:uiPriority w:val="99"/>
    <w:semiHidden/>
    <w:rsid w:val="00950F45"/>
    <w:rPr>
      <w:b/>
      <w:bCs/>
      <w:sz w:val="20"/>
      <w:szCs w:val="20"/>
    </w:rPr>
  </w:style>
  <w:style w:type="paragraph" w:styleId="Textedebulles">
    <w:name w:val="Balloon Text"/>
    <w:basedOn w:val="Normal"/>
    <w:link w:val="TextedebullesCar"/>
    <w:uiPriority w:val="99"/>
    <w:semiHidden/>
    <w:unhideWhenUsed/>
    <w:rsid w:val="00950F4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0F45"/>
    <w:rPr>
      <w:rFonts w:ascii="Segoe UI" w:hAnsi="Segoe UI" w:cs="Segoe UI"/>
      <w:sz w:val="18"/>
      <w:szCs w:val="18"/>
    </w:rPr>
  </w:style>
  <w:style w:type="paragraph" w:customStyle="1" w:styleId="texteBi-Eau">
    <w:name w:val="texte Bi-Eau"/>
    <w:rsid w:val="00456B17"/>
    <w:pPr>
      <w:spacing w:before="120" w:after="180" w:line="280" w:lineRule="exact"/>
      <w:ind w:firstLine="567"/>
      <w:jc w:val="both"/>
    </w:pPr>
    <w:rPr>
      <w:rFonts w:ascii="Arial" w:eastAsia="Times New Roman" w:hAnsi="Arial"/>
      <w:spacing w:val="2"/>
      <w:sz w:val="22"/>
      <w:lang w:val="fr-FR" w:eastAsia="fr-FR"/>
    </w:rPr>
  </w:style>
  <w:style w:type="paragraph" w:styleId="Paragraphedeliste">
    <w:name w:val="List Paragraph"/>
    <w:basedOn w:val="Normal"/>
    <w:uiPriority w:val="34"/>
    <w:qFormat/>
    <w:rsid w:val="00DE4C56"/>
    <w:pPr>
      <w:ind w:left="720"/>
      <w:contextualSpacing/>
    </w:pPr>
  </w:style>
  <w:style w:type="paragraph" w:styleId="Notedebasdepage">
    <w:name w:val="footnote text"/>
    <w:basedOn w:val="Normal"/>
    <w:link w:val="NotedebasdepageCar"/>
    <w:uiPriority w:val="99"/>
    <w:semiHidden/>
    <w:unhideWhenUsed/>
    <w:rsid w:val="007F1A3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F1A36"/>
    <w:rPr>
      <w:sz w:val="20"/>
      <w:szCs w:val="20"/>
    </w:rPr>
  </w:style>
  <w:style w:type="character" w:styleId="Appelnotedebasdep">
    <w:name w:val="footnote reference"/>
    <w:basedOn w:val="Policepardfaut"/>
    <w:uiPriority w:val="99"/>
    <w:semiHidden/>
    <w:unhideWhenUsed/>
    <w:rsid w:val="007F1A36"/>
    <w:rPr>
      <w:vertAlign w:val="superscript"/>
    </w:rPr>
  </w:style>
  <w:style w:type="paragraph" w:styleId="Titre">
    <w:name w:val="Title"/>
    <w:basedOn w:val="Normal"/>
    <w:link w:val="TitreCar"/>
    <w:qFormat/>
    <w:rsid w:val="00D222AA"/>
    <w:pPr>
      <w:spacing w:after="0" w:line="240" w:lineRule="auto"/>
      <w:jc w:val="center"/>
    </w:pPr>
    <w:rPr>
      <w:rFonts w:ascii="Arial" w:eastAsia="Times New Roman" w:hAnsi="Arial" w:cs="Arial"/>
      <w:b/>
      <w:bCs/>
      <w:sz w:val="24"/>
      <w:szCs w:val="24"/>
      <w:lang w:val="fr-FR" w:eastAsia="fr-FR"/>
    </w:rPr>
  </w:style>
  <w:style w:type="character" w:customStyle="1" w:styleId="TitreCar">
    <w:name w:val="Titre Car"/>
    <w:basedOn w:val="Policepardfaut"/>
    <w:link w:val="Titre"/>
    <w:rsid w:val="00D222AA"/>
    <w:rPr>
      <w:rFonts w:ascii="Arial" w:eastAsia="Times New Roman" w:hAnsi="Arial" w:cs="Arial"/>
      <w:b/>
      <w:bCs/>
      <w:sz w:val="24"/>
      <w:szCs w:val="24"/>
      <w:lang w:val="fr-FR" w:eastAsia="fr-FR"/>
    </w:rPr>
  </w:style>
  <w:style w:type="paragraph" w:styleId="Rvision">
    <w:name w:val="Revision"/>
    <w:hidden/>
    <w:uiPriority w:val="99"/>
    <w:semiHidden/>
    <w:rsid w:val="002353B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490900">
      <w:bodyDiv w:val="1"/>
      <w:marLeft w:val="0"/>
      <w:marRight w:val="0"/>
      <w:marTop w:val="0"/>
      <w:marBottom w:val="0"/>
      <w:divBdr>
        <w:top w:val="none" w:sz="0" w:space="0" w:color="auto"/>
        <w:left w:val="none" w:sz="0" w:space="0" w:color="auto"/>
        <w:bottom w:val="none" w:sz="0" w:space="0" w:color="auto"/>
        <w:right w:val="none" w:sz="0" w:space="0" w:color="auto"/>
      </w:divBdr>
    </w:div>
    <w:div w:id="1368019569">
      <w:bodyDiv w:val="1"/>
      <w:marLeft w:val="0"/>
      <w:marRight w:val="0"/>
      <w:marTop w:val="0"/>
      <w:marBottom w:val="0"/>
      <w:divBdr>
        <w:top w:val="none" w:sz="0" w:space="0" w:color="auto"/>
        <w:left w:val="none" w:sz="0" w:space="0" w:color="auto"/>
        <w:bottom w:val="none" w:sz="0" w:space="0" w:color="auto"/>
        <w:right w:val="none" w:sz="0" w:space="0" w:color="auto"/>
      </w:divBdr>
    </w:div>
    <w:div w:id="1455976284">
      <w:bodyDiv w:val="1"/>
      <w:marLeft w:val="0"/>
      <w:marRight w:val="0"/>
      <w:marTop w:val="0"/>
      <w:marBottom w:val="0"/>
      <w:divBdr>
        <w:top w:val="none" w:sz="0" w:space="0" w:color="auto"/>
        <w:left w:val="none" w:sz="0" w:space="0" w:color="auto"/>
        <w:bottom w:val="none" w:sz="0" w:space="0" w:color="auto"/>
        <w:right w:val="none" w:sz="0" w:space="0" w:color="auto"/>
      </w:divBdr>
    </w:div>
    <w:div w:id="175762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link.springer.com/journal/10811/7/4/page/1" TargetMode="External"/><Relationship Id="rId26" Type="http://schemas.openxmlformats.org/officeDocument/2006/relationships/image" Target="media/image15.emf"/><Relationship Id="rId39" Type="http://schemas.openxmlformats.org/officeDocument/2006/relationships/chart" Target="charts/chart4.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nk.springer.com/search?facet-author=%22B.+A.+Whitton%22" TargetMode="External"/><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chart" Target="charts/chart2.xml"/><Relationship Id="rId40"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yperlink" Target="http://link.springer.com/search?facet-author=%22M.+G.+Kelly%22" TargetMode="Externa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chart" Target="charts/chart1.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link.springer.com/journal/10811" TargetMode="Externa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Jean%20pierre\SE%20JP\ProfilMoyen%20toute%20station20-11-14_14-57-55.sye"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fr-BE"/>
              <a:t>Durée du cycle vital</a:t>
            </a:r>
          </a:p>
        </c:rich>
      </c:tx>
      <c:layout>
        <c:manualLayout>
          <c:xMode val="edge"/>
          <c:yMode val="edge"/>
          <c:x val="0.40306704268757204"/>
          <c:y val="3.0405405405405407E-2"/>
        </c:manualLayout>
      </c:layout>
      <c:overlay val="0"/>
      <c:spPr>
        <a:noFill/>
        <a:ln w="25400">
          <a:noFill/>
        </a:ln>
      </c:spPr>
    </c:title>
    <c:autoTitleDeleted val="0"/>
    <c:plotArea>
      <c:layout>
        <c:manualLayout>
          <c:layoutTarget val="inner"/>
          <c:xMode val="edge"/>
          <c:yMode val="edge"/>
          <c:x val="3.2858725130667447E-2"/>
          <c:y val="0.16554054054054054"/>
          <c:w val="0.77546591308375179"/>
          <c:h val="0.71621621621621623"/>
        </c:manualLayout>
      </c:layout>
      <c:barChart>
        <c:barDir val="col"/>
        <c:grouping val="clustered"/>
        <c:varyColors val="0"/>
        <c:ser>
          <c:idx val="0"/>
          <c:order val="0"/>
          <c:tx>
            <c:strRef>
              <c:f>DCV!$L$4</c:f>
              <c:strCache>
                <c:ptCount val="1"/>
                <c:pt idx="0">
                  <c:v>Hoyoux amont-6/14</c:v>
                </c:pt>
              </c:strCache>
            </c:strRef>
          </c:tx>
          <c:spPr>
            <a:solidFill>
              <a:schemeClr val="bg1">
                <a:lumMod val="95000"/>
              </a:schemeClr>
            </a:solidFill>
            <a:ln w="12700">
              <a:solidFill>
                <a:srgbClr val="000000"/>
              </a:solidFill>
              <a:prstDash val="solid"/>
            </a:ln>
          </c:spPr>
          <c:invertIfNegative val="0"/>
          <c:cat>
            <c:strRef>
              <c:f>DCV!$M$3:$N$3</c:f>
              <c:strCache>
                <c:ptCount val="2"/>
                <c:pt idx="0">
                  <c:v>&lt;=1an</c:v>
                </c:pt>
                <c:pt idx="1">
                  <c:v>&gt;1an</c:v>
                </c:pt>
              </c:strCache>
            </c:strRef>
          </c:cat>
          <c:val>
            <c:numRef>
              <c:f>DCV!$M$4:$N$4</c:f>
              <c:numCache>
                <c:formatCode>0.0000</c:formatCode>
                <c:ptCount val="2"/>
                <c:pt idx="0">
                  <c:v>0.41268499263898112</c:v>
                </c:pt>
                <c:pt idx="1">
                  <c:v>0.58731500736101894</c:v>
                </c:pt>
              </c:numCache>
            </c:numRef>
          </c:val>
        </c:ser>
        <c:ser>
          <c:idx val="1"/>
          <c:order val="1"/>
          <c:tx>
            <c:strRef>
              <c:f>DCV!$L$5</c:f>
              <c:strCache>
                <c:ptCount val="1"/>
                <c:pt idx="0">
                  <c:v>Hoyoux aval-6/14</c:v>
                </c:pt>
              </c:strCache>
            </c:strRef>
          </c:tx>
          <c:spPr>
            <a:solidFill>
              <a:schemeClr val="bg1">
                <a:lumMod val="85000"/>
              </a:schemeClr>
            </a:solidFill>
            <a:ln w="12700">
              <a:solidFill>
                <a:srgbClr val="000000"/>
              </a:solidFill>
              <a:prstDash val="solid"/>
            </a:ln>
          </c:spPr>
          <c:invertIfNegative val="0"/>
          <c:cat>
            <c:strRef>
              <c:f>DCV!$M$3:$N$3</c:f>
              <c:strCache>
                <c:ptCount val="2"/>
                <c:pt idx="0">
                  <c:v>&lt;=1an</c:v>
                </c:pt>
                <c:pt idx="1">
                  <c:v>&gt;1an</c:v>
                </c:pt>
              </c:strCache>
            </c:strRef>
          </c:cat>
          <c:val>
            <c:numRef>
              <c:f>DCV!$M$5:$N$5</c:f>
              <c:numCache>
                <c:formatCode>0.0000</c:formatCode>
                <c:ptCount val="2"/>
                <c:pt idx="0">
                  <c:v>0.39821879382271974</c:v>
                </c:pt>
                <c:pt idx="1">
                  <c:v>0.60178120617728026</c:v>
                </c:pt>
              </c:numCache>
            </c:numRef>
          </c:val>
        </c:ser>
        <c:ser>
          <c:idx val="2"/>
          <c:order val="2"/>
          <c:tx>
            <c:strRef>
              <c:f>DCV!$L$6</c:f>
              <c:strCache>
                <c:ptCount val="1"/>
                <c:pt idx="0">
                  <c:v>Triffoy amont-6/14</c:v>
                </c:pt>
              </c:strCache>
            </c:strRef>
          </c:tx>
          <c:spPr>
            <a:solidFill>
              <a:schemeClr val="accent2">
                <a:lumMod val="40000"/>
                <a:lumOff val="60000"/>
              </a:schemeClr>
            </a:solidFill>
            <a:ln w="12700">
              <a:solidFill>
                <a:srgbClr val="000000"/>
              </a:solidFill>
              <a:prstDash val="solid"/>
            </a:ln>
          </c:spPr>
          <c:invertIfNegative val="0"/>
          <c:cat>
            <c:strRef>
              <c:f>DCV!$M$3:$N$3</c:f>
              <c:strCache>
                <c:ptCount val="2"/>
                <c:pt idx="0">
                  <c:v>&lt;=1an</c:v>
                </c:pt>
                <c:pt idx="1">
                  <c:v>&gt;1an</c:v>
                </c:pt>
              </c:strCache>
            </c:strRef>
          </c:cat>
          <c:val>
            <c:numRef>
              <c:f>DCV!$M$6:$N$6</c:f>
              <c:numCache>
                <c:formatCode>0.0000</c:formatCode>
                <c:ptCount val="2"/>
                <c:pt idx="0">
                  <c:v>0.89497556208390872</c:v>
                </c:pt>
                <c:pt idx="1">
                  <c:v>0.10502439352118495</c:v>
                </c:pt>
              </c:numCache>
            </c:numRef>
          </c:val>
        </c:ser>
        <c:ser>
          <c:idx val="3"/>
          <c:order val="3"/>
          <c:tx>
            <c:strRef>
              <c:f>DCV!$L$7</c:f>
              <c:strCache>
                <c:ptCount val="1"/>
                <c:pt idx="0">
                  <c:v>Triffoy aval-6/14</c:v>
                </c:pt>
              </c:strCache>
            </c:strRef>
          </c:tx>
          <c:spPr>
            <a:solidFill>
              <a:schemeClr val="accent2">
                <a:lumMod val="60000"/>
                <a:lumOff val="40000"/>
              </a:schemeClr>
            </a:solidFill>
            <a:ln w="12700">
              <a:solidFill>
                <a:srgbClr val="000000"/>
              </a:solidFill>
              <a:prstDash val="solid"/>
            </a:ln>
          </c:spPr>
          <c:invertIfNegative val="0"/>
          <c:cat>
            <c:strRef>
              <c:f>DCV!$M$3:$N$3</c:f>
              <c:strCache>
                <c:ptCount val="2"/>
                <c:pt idx="0">
                  <c:v>&lt;=1an</c:v>
                </c:pt>
                <c:pt idx="1">
                  <c:v>&gt;1an</c:v>
                </c:pt>
              </c:strCache>
            </c:strRef>
          </c:cat>
          <c:val>
            <c:numRef>
              <c:f>DCV!$M$7:$N$7</c:f>
              <c:numCache>
                <c:formatCode>0.0000</c:formatCode>
                <c:ptCount val="2"/>
                <c:pt idx="0">
                  <c:v>0.70398883933746625</c:v>
                </c:pt>
                <c:pt idx="1">
                  <c:v>0.29601116066253375</c:v>
                </c:pt>
              </c:numCache>
            </c:numRef>
          </c:val>
        </c:ser>
        <c:ser>
          <c:idx val="4"/>
          <c:order val="4"/>
          <c:tx>
            <c:strRef>
              <c:f>DCV!$L$8</c:f>
              <c:strCache>
                <c:ptCount val="1"/>
              </c:strCache>
            </c:strRef>
          </c:tx>
          <c:spPr>
            <a:solidFill>
              <a:srgbClr val="000000"/>
            </a:solidFill>
            <a:ln w="12700">
              <a:solidFill>
                <a:srgbClr val="000000"/>
              </a:solidFill>
              <a:prstDash val="solid"/>
            </a:ln>
          </c:spPr>
          <c:invertIfNegative val="0"/>
          <c:cat>
            <c:strRef>
              <c:f>DCV!$M$3:$N$3</c:f>
              <c:strCache>
                <c:ptCount val="2"/>
                <c:pt idx="0">
                  <c:v>&lt;=1an</c:v>
                </c:pt>
                <c:pt idx="1">
                  <c:v>&gt;1an</c:v>
                </c:pt>
              </c:strCache>
            </c:strRef>
          </c:cat>
          <c:val>
            <c:numRef>
              <c:f>DCV!$M$8:$N$8</c:f>
              <c:numCache>
                <c:formatCode>0.0000</c:formatCode>
                <c:ptCount val="2"/>
                <c:pt idx="0">
                  <c:v>0</c:v>
                </c:pt>
                <c:pt idx="1">
                  <c:v>0</c:v>
                </c:pt>
              </c:numCache>
            </c:numRef>
          </c:val>
        </c:ser>
        <c:ser>
          <c:idx val="5"/>
          <c:order val="5"/>
          <c:tx>
            <c:strRef>
              <c:f>DCV!$L$9</c:f>
              <c:strCache>
                <c:ptCount val="1"/>
              </c:strCache>
            </c:strRef>
          </c:tx>
          <c:spPr>
            <a:solidFill>
              <a:srgbClr val="969696"/>
            </a:solidFill>
            <a:ln w="12700">
              <a:solidFill>
                <a:srgbClr val="000000"/>
              </a:solidFill>
              <a:prstDash val="solid"/>
            </a:ln>
          </c:spPr>
          <c:invertIfNegative val="0"/>
          <c:cat>
            <c:strRef>
              <c:f>DCV!$M$3:$N$3</c:f>
              <c:strCache>
                <c:ptCount val="2"/>
                <c:pt idx="0">
                  <c:v>&lt;=1an</c:v>
                </c:pt>
                <c:pt idx="1">
                  <c:v>&gt;1an</c:v>
                </c:pt>
              </c:strCache>
            </c:strRef>
          </c:cat>
          <c:val>
            <c:numRef>
              <c:f>DCV!$M$9:$N$9</c:f>
              <c:numCache>
                <c:formatCode>0.0000</c:formatCode>
                <c:ptCount val="2"/>
                <c:pt idx="0">
                  <c:v>0</c:v>
                </c:pt>
                <c:pt idx="1">
                  <c:v>0</c:v>
                </c:pt>
              </c:numCache>
            </c:numRef>
          </c:val>
        </c:ser>
        <c:ser>
          <c:idx val="6"/>
          <c:order val="6"/>
          <c:tx>
            <c:strRef>
              <c:f>DCV!$L$10</c:f>
              <c:strCache>
                <c:ptCount val="1"/>
              </c:strCache>
            </c:strRef>
          </c:tx>
          <c:spPr>
            <a:solidFill>
              <a:srgbClr val="FF99CC"/>
            </a:solidFill>
            <a:ln w="12700">
              <a:solidFill>
                <a:srgbClr val="000000"/>
              </a:solidFill>
              <a:prstDash val="solid"/>
            </a:ln>
          </c:spPr>
          <c:invertIfNegative val="0"/>
          <c:cat>
            <c:strRef>
              <c:f>DCV!$M$3:$N$3</c:f>
              <c:strCache>
                <c:ptCount val="2"/>
                <c:pt idx="0">
                  <c:v>&lt;=1an</c:v>
                </c:pt>
                <c:pt idx="1">
                  <c:v>&gt;1an</c:v>
                </c:pt>
              </c:strCache>
            </c:strRef>
          </c:cat>
          <c:val>
            <c:numRef>
              <c:f>DCV!$M$10:$N$10</c:f>
              <c:numCache>
                <c:formatCode>0.0000</c:formatCode>
                <c:ptCount val="2"/>
                <c:pt idx="0">
                  <c:v>0</c:v>
                </c:pt>
                <c:pt idx="1">
                  <c:v>0</c:v>
                </c:pt>
              </c:numCache>
            </c:numRef>
          </c:val>
        </c:ser>
        <c:ser>
          <c:idx val="7"/>
          <c:order val="7"/>
          <c:tx>
            <c:strRef>
              <c:f>DCV!$L$11</c:f>
              <c:strCache>
                <c:ptCount val="1"/>
              </c:strCache>
            </c:strRef>
          </c:tx>
          <c:spPr>
            <a:solidFill>
              <a:srgbClr val="CCCCFF"/>
            </a:solidFill>
            <a:ln w="12700">
              <a:solidFill>
                <a:srgbClr val="000000"/>
              </a:solidFill>
              <a:prstDash val="solid"/>
            </a:ln>
          </c:spPr>
          <c:invertIfNegative val="0"/>
          <c:cat>
            <c:strRef>
              <c:f>DCV!$M$3:$N$3</c:f>
              <c:strCache>
                <c:ptCount val="2"/>
                <c:pt idx="0">
                  <c:v>&lt;=1an</c:v>
                </c:pt>
                <c:pt idx="1">
                  <c:v>&gt;1an</c:v>
                </c:pt>
              </c:strCache>
            </c:strRef>
          </c:cat>
          <c:val>
            <c:numRef>
              <c:f>DCV!$M$11:$N$11</c:f>
              <c:numCache>
                <c:formatCode>0.0000</c:formatCode>
                <c:ptCount val="2"/>
                <c:pt idx="0">
                  <c:v>0</c:v>
                </c:pt>
                <c:pt idx="1">
                  <c:v>0</c:v>
                </c:pt>
              </c:numCache>
            </c:numRef>
          </c:val>
        </c:ser>
        <c:ser>
          <c:idx val="8"/>
          <c:order val="8"/>
          <c:tx>
            <c:strRef>
              <c:f>DCV!$L$12</c:f>
              <c:strCache>
                <c:ptCount val="1"/>
              </c:strCache>
            </c:strRef>
          </c:tx>
          <c:spPr>
            <a:solidFill>
              <a:srgbClr val="3366FF"/>
            </a:solidFill>
            <a:ln w="12700">
              <a:solidFill>
                <a:srgbClr val="000000"/>
              </a:solidFill>
              <a:prstDash val="solid"/>
            </a:ln>
          </c:spPr>
          <c:invertIfNegative val="0"/>
          <c:cat>
            <c:strRef>
              <c:f>DCV!$M$3:$N$3</c:f>
              <c:strCache>
                <c:ptCount val="2"/>
                <c:pt idx="0">
                  <c:v>&lt;=1an</c:v>
                </c:pt>
                <c:pt idx="1">
                  <c:v>&gt;1an</c:v>
                </c:pt>
              </c:strCache>
            </c:strRef>
          </c:cat>
          <c:val>
            <c:numRef>
              <c:f>DCV!$M$12:$N$12</c:f>
              <c:numCache>
                <c:formatCode>0.0000</c:formatCode>
                <c:ptCount val="2"/>
                <c:pt idx="0">
                  <c:v>0</c:v>
                </c:pt>
                <c:pt idx="1">
                  <c:v>0</c:v>
                </c:pt>
              </c:numCache>
            </c:numRef>
          </c:val>
        </c:ser>
        <c:ser>
          <c:idx val="9"/>
          <c:order val="9"/>
          <c:tx>
            <c:strRef>
              <c:f>DCV!$L$13</c:f>
              <c:strCache>
                <c:ptCount val="1"/>
              </c:strCache>
            </c:strRef>
          </c:tx>
          <c:spPr>
            <a:solidFill>
              <a:srgbClr val="000080"/>
            </a:solidFill>
            <a:ln w="12700">
              <a:solidFill>
                <a:srgbClr val="000000"/>
              </a:solidFill>
              <a:prstDash val="solid"/>
            </a:ln>
          </c:spPr>
          <c:invertIfNegative val="0"/>
          <c:cat>
            <c:strRef>
              <c:f>DCV!$M$3:$N$3</c:f>
              <c:strCache>
                <c:ptCount val="2"/>
                <c:pt idx="0">
                  <c:v>&lt;=1an</c:v>
                </c:pt>
                <c:pt idx="1">
                  <c:v>&gt;1an</c:v>
                </c:pt>
              </c:strCache>
            </c:strRef>
          </c:cat>
          <c:val>
            <c:numRef>
              <c:f>DCV!$M$13:$N$13</c:f>
              <c:numCache>
                <c:formatCode>0.0000</c:formatCode>
                <c:ptCount val="2"/>
                <c:pt idx="0">
                  <c:v>0</c:v>
                </c:pt>
                <c:pt idx="1">
                  <c:v>0</c:v>
                </c:pt>
              </c:numCache>
            </c:numRef>
          </c:val>
        </c:ser>
        <c:dLbls>
          <c:showLegendKey val="0"/>
          <c:showVal val="0"/>
          <c:showCatName val="0"/>
          <c:showSerName val="0"/>
          <c:showPercent val="0"/>
          <c:showBubbleSize val="0"/>
        </c:dLbls>
        <c:gapWidth val="200"/>
        <c:axId val="1468275680"/>
        <c:axId val="1468264800"/>
      </c:barChart>
      <c:catAx>
        <c:axId val="1468275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fr-FR"/>
          </a:p>
        </c:txPr>
        <c:crossAx val="1468264800"/>
        <c:crosses val="autoZero"/>
        <c:auto val="1"/>
        <c:lblAlgn val="ctr"/>
        <c:lblOffset val="100"/>
        <c:tickLblSkip val="1"/>
        <c:tickMarkSkip val="1"/>
        <c:noMultiLvlLbl val="0"/>
      </c:catAx>
      <c:valAx>
        <c:axId val="1468264800"/>
        <c:scaling>
          <c:orientation val="minMax"/>
        </c:scaling>
        <c:delete val="0"/>
        <c:axPos val="l"/>
        <c:majorGridlines>
          <c:spPr>
            <a:ln w="3175">
              <a:solidFill>
                <a:srgbClr val="000000"/>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468275680"/>
        <c:crosses val="autoZero"/>
        <c:crossBetween val="between"/>
      </c:valAx>
      <c:spPr>
        <a:solidFill>
          <a:srgbClr val="FFFFFF"/>
        </a:solidFill>
        <a:ln w="3175">
          <a:solidFill>
            <a:srgbClr val="000000"/>
          </a:solidFill>
          <a:prstDash val="solid"/>
        </a:ln>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1599169764239488"/>
          <c:y val="0.16216216216216217"/>
          <c:w val="0.17853242605353414"/>
          <c:h val="0.39409206119403933"/>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fr-BE"/>
              <a:t>Vitesse du courant</a:t>
            </a:r>
          </a:p>
        </c:rich>
      </c:tx>
      <c:layout>
        <c:manualLayout>
          <c:xMode val="edge"/>
          <c:yMode val="edge"/>
          <c:x val="0.40635291344332231"/>
          <c:y val="3.0405405405405407E-2"/>
        </c:manualLayout>
      </c:layout>
      <c:overlay val="0"/>
      <c:spPr>
        <a:noFill/>
        <a:ln w="25400">
          <a:noFill/>
        </a:ln>
      </c:spPr>
    </c:title>
    <c:autoTitleDeleted val="0"/>
    <c:plotArea>
      <c:layout>
        <c:manualLayout>
          <c:layoutTarget val="inner"/>
          <c:xMode val="edge"/>
          <c:yMode val="edge"/>
          <c:x val="3.2858725130667447E-2"/>
          <c:y val="0.16554054054054054"/>
          <c:w val="0.77546591308375179"/>
          <c:h val="0.71621621621621623"/>
        </c:manualLayout>
      </c:layout>
      <c:barChart>
        <c:barDir val="col"/>
        <c:grouping val="clustered"/>
        <c:varyColors val="0"/>
        <c:ser>
          <c:idx val="0"/>
          <c:order val="0"/>
          <c:tx>
            <c:strRef>
              <c:f>VDC!$L$4</c:f>
              <c:strCache>
                <c:ptCount val="1"/>
                <c:pt idx="0">
                  <c:v>Hoyoux amont-6/14</c:v>
                </c:pt>
              </c:strCache>
            </c:strRef>
          </c:tx>
          <c:spPr>
            <a:solidFill>
              <a:schemeClr val="bg1">
                <a:lumMod val="85000"/>
              </a:schemeClr>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VDC!$M$4:$P$4</c:f>
              <c:numCache>
                <c:formatCode>0.0000</c:formatCode>
                <c:ptCount val="4"/>
                <c:pt idx="0">
                  <c:v>0.15798543565701634</c:v>
                </c:pt>
                <c:pt idx="1">
                  <c:v>0.36407309729138343</c:v>
                </c:pt>
                <c:pt idx="2">
                  <c:v>0.31773189791244488</c:v>
                </c:pt>
                <c:pt idx="3">
                  <c:v>0.1602095295144719</c:v>
                </c:pt>
              </c:numCache>
            </c:numRef>
          </c:val>
        </c:ser>
        <c:ser>
          <c:idx val="1"/>
          <c:order val="1"/>
          <c:tx>
            <c:strRef>
              <c:f>VDC!$L$5</c:f>
              <c:strCache>
                <c:ptCount val="1"/>
                <c:pt idx="0">
                  <c:v>Hoyoux aval-6/14</c:v>
                </c:pt>
              </c:strCache>
            </c:strRef>
          </c:tx>
          <c:spPr>
            <a:solidFill>
              <a:schemeClr val="bg1">
                <a:lumMod val="75000"/>
              </a:schemeClr>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VDC!$M$5:$P$5</c:f>
              <c:numCache>
                <c:formatCode>0.0000</c:formatCode>
                <c:ptCount val="4"/>
                <c:pt idx="0">
                  <c:v>0.17747240737795031</c:v>
                </c:pt>
                <c:pt idx="1">
                  <c:v>0.3925828402314766</c:v>
                </c:pt>
                <c:pt idx="2">
                  <c:v>0.29901846879473792</c:v>
                </c:pt>
                <c:pt idx="3">
                  <c:v>0.13092631110995023</c:v>
                </c:pt>
              </c:numCache>
            </c:numRef>
          </c:val>
        </c:ser>
        <c:ser>
          <c:idx val="2"/>
          <c:order val="2"/>
          <c:tx>
            <c:strRef>
              <c:f>VDC!$L$6</c:f>
              <c:strCache>
                <c:ptCount val="1"/>
                <c:pt idx="0">
                  <c:v>Triffoy amont-6/14</c:v>
                </c:pt>
              </c:strCache>
            </c:strRef>
          </c:tx>
          <c:spPr>
            <a:solidFill>
              <a:schemeClr val="accent2">
                <a:lumMod val="40000"/>
                <a:lumOff val="60000"/>
              </a:schemeClr>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VDC!$M$6:$P$6</c:f>
              <c:numCache>
                <c:formatCode>0.0000</c:formatCode>
                <c:ptCount val="4"/>
                <c:pt idx="0">
                  <c:v>0.24735651922567464</c:v>
                </c:pt>
                <c:pt idx="1">
                  <c:v>0.28955789399653631</c:v>
                </c:pt>
                <c:pt idx="2">
                  <c:v>0.25793560165724677</c:v>
                </c:pt>
                <c:pt idx="3">
                  <c:v>0.20514998512054231</c:v>
                </c:pt>
              </c:numCache>
            </c:numRef>
          </c:val>
        </c:ser>
        <c:ser>
          <c:idx val="3"/>
          <c:order val="3"/>
          <c:tx>
            <c:strRef>
              <c:f>VDC!$L$7</c:f>
              <c:strCache>
                <c:ptCount val="1"/>
                <c:pt idx="0">
                  <c:v>Triffoy aval-6/14</c:v>
                </c:pt>
              </c:strCache>
            </c:strRef>
          </c:tx>
          <c:spPr>
            <a:solidFill>
              <a:schemeClr val="accent2">
                <a:lumMod val="60000"/>
                <a:lumOff val="40000"/>
              </a:schemeClr>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VDC!$M$7:$P$7</c:f>
              <c:numCache>
                <c:formatCode>0.0000</c:formatCode>
                <c:ptCount val="4"/>
                <c:pt idx="0">
                  <c:v>0.25644895740271989</c:v>
                </c:pt>
                <c:pt idx="1">
                  <c:v>0.3157064372945757</c:v>
                </c:pt>
                <c:pt idx="2">
                  <c:v>0.25713099797608807</c:v>
                </c:pt>
                <c:pt idx="3">
                  <c:v>0.17071361809760549</c:v>
                </c:pt>
              </c:numCache>
            </c:numRef>
          </c:val>
        </c:ser>
        <c:ser>
          <c:idx val="4"/>
          <c:order val="4"/>
          <c:tx>
            <c:strRef>
              <c:f>VDC!$L$8</c:f>
              <c:strCache>
                <c:ptCount val="1"/>
              </c:strCache>
            </c:strRef>
          </c:tx>
          <c:spPr>
            <a:solidFill>
              <a:srgbClr val="000000"/>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VDC!$M$8:$P$8</c:f>
              <c:numCache>
                <c:formatCode>0.0000</c:formatCode>
                <c:ptCount val="4"/>
                <c:pt idx="0">
                  <c:v>0</c:v>
                </c:pt>
                <c:pt idx="1">
                  <c:v>0</c:v>
                </c:pt>
                <c:pt idx="2">
                  <c:v>0</c:v>
                </c:pt>
                <c:pt idx="3">
                  <c:v>0</c:v>
                </c:pt>
              </c:numCache>
            </c:numRef>
          </c:val>
        </c:ser>
        <c:ser>
          <c:idx val="5"/>
          <c:order val="5"/>
          <c:tx>
            <c:strRef>
              <c:f>VDC!$L$9</c:f>
              <c:strCache>
                <c:ptCount val="1"/>
              </c:strCache>
            </c:strRef>
          </c:tx>
          <c:spPr>
            <a:solidFill>
              <a:srgbClr val="969696"/>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VDC!$M$9:$P$9</c:f>
              <c:numCache>
                <c:formatCode>0.0000</c:formatCode>
                <c:ptCount val="4"/>
                <c:pt idx="0">
                  <c:v>0</c:v>
                </c:pt>
                <c:pt idx="1">
                  <c:v>0</c:v>
                </c:pt>
                <c:pt idx="2">
                  <c:v>0</c:v>
                </c:pt>
                <c:pt idx="3">
                  <c:v>0</c:v>
                </c:pt>
              </c:numCache>
            </c:numRef>
          </c:val>
        </c:ser>
        <c:ser>
          <c:idx val="6"/>
          <c:order val="6"/>
          <c:tx>
            <c:strRef>
              <c:f>VDC!$L$10</c:f>
              <c:strCache>
                <c:ptCount val="1"/>
              </c:strCache>
            </c:strRef>
          </c:tx>
          <c:spPr>
            <a:solidFill>
              <a:srgbClr val="FF99CC"/>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VDC!$M$10:$P$10</c:f>
              <c:numCache>
                <c:formatCode>0.0000</c:formatCode>
                <c:ptCount val="4"/>
                <c:pt idx="0">
                  <c:v>0</c:v>
                </c:pt>
                <c:pt idx="1">
                  <c:v>0</c:v>
                </c:pt>
                <c:pt idx="2">
                  <c:v>0</c:v>
                </c:pt>
                <c:pt idx="3">
                  <c:v>0</c:v>
                </c:pt>
              </c:numCache>
            </c:numRef>
          </c:val>
        </c:ser>
        <c:ser>
          <c:idx val="7"/>
          <c:order val="7"/>
          <c:tx>
            <c:strRef>
              <c:f>VDC!$L$11</c:f>
              <c:strCache>
                <c:ptCount val="1"/>
              </c:strCache>
            </c:strRef>
          </c:tx>
          <c:spPr>
            <a:solidFill>
              <a:srgbClr val="CCCCFF"/>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VDC!$M$11:$P$11</c:f>
              <c:numCache>
                <c:formatCode>0.0000</c:formatCode>
                <c:ptCount val="4"/>
                <c:pt idx="0">
                  <c:v>0</c:v>
                </c:pt>
                <c:pt idx="1">
                  <c:v>0</c:v>
                </c:pt>
                <c:pt idx="2">
                  <c:v>0</c:v>
                </c:pt>
                <c:pt idx="3">
                  <c:v>0</c:v>
                </c:pt>
              </c:numCache>
            </c:numRef>
          </c:val>
        </c:ser>
        <c:ser>
          <c:idx val="8"/>
          <c:order val="8"/>
          <c:tx>
            <c:strRef>
              <c:f>VDC!$L$12</c:f>
              <c:strCache>
                <c:ptCount val="1"/>
              </c:strCache>
            </c:strRef>
          </c:tx>
          <c:spPr>
            <a:solidFill>
              <a:srgbClr val="3366FF"/>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VDC!$M$12:$P$12</c:f>
              <c:numCache>
                <c:formatCode>0.0000</c:formatCode>
                <c:ptCount val="4"/>
                <c:pt idx="0">
                  <c:v>0</c:v>
                </c:pt>
                <c:pt idx="1">
                  <c:v>0</c:v>
                </c:pt>
                <c:pt idx="2">
                  <c:v>0</c:v>
                </c:pt>
                <c:pt idx="3">
                  <c:v>0</c:v>
                </c:pt>
              </c:numCache>
            </c:numRef>
          </c:val>
        </c:ser>
        <c:ser>
          <c:idx val="9"/>
          <c:order val="9"/>
          <c:tx>
            <c:strRef>
              <c:f>VDC!$L$13</c:f>
              <c:strCache>
                <c:ptCount val="1"/>
              </c:strCache>
            </c:strRef>
          </c:tx>
          <c:spPr>
            <a:solidFill>
              <a:srgbClr val="000080"/>
            </a:solidFill>
            <a:ln w="12700">
              <a:solidFill>
                <a:srgbClr val="000000"/>
              </a:solidFill>
              <a:prstDash val="solid"/>
            </a:ln>
          </c:spPr>
          <c:invertIfNegative val="0"/>
          <c:cat>
            <c:strRef>
              <c:f>VDC!$M$3:$P$3</c:f>
              <c:strCache>
                <c:ptCount val="4"/>
                <c:pt idx="0">
                  <c:v>nulle   </c:v>
                </c:pt>
                <c:pt idx="1">
                  <c:v>lente (&lt;25cm/s)</c:v>
                </c:pt>
                <c:pt idx="2">
                  <c:v>moyenne (25-50cm/s)</c:v>
                </c:pt>
                <c:pt idx="3">
                  <c:v>rapide (&gt;50cm/s)</c:v>
                </c:pt>
              </c:strCache>
            </c:strRef>
          </c:cat>
          <c:val>
            <c:numRef>
              <c:f>VDC!$M$13:$P$13</c:f>
              <c:numCache>
                <c:formatCode>0.0000</c:formatCode>
                <c:ptCount val="4"/>
                <c:pt idx="0">
                  <c:v>0</c:v>
                </c:pt>
                <c:pt idx="1">
                  <c:v>0</c:v>
                </c:pt>
                <c:pt idx="2">
                  <c:v>0</c:v>
                </c:pt>
                <c:pt idx="3">
                  <c:v>0</c:v>
                </c:pt>
              </c:numCache>
            </c:numRef>
          </c:val>
        </c:ser>
        <c:dLbls>
          <c:showLegendKey val="0"/>
          <c:showVal val="0"/>
          <c:showCatName val="0"/>
          <c:showSerName val="0"/>
          <c:showPercent val="0"/>
          <c:showBubbleSize val="0"/>
        </c:dLbls>
        <c:gapWidth val="100"/>
        <c:axId val="1468260992"/>
        <c:axId val="1468263712"/>
      </c:barChart>
      <c:catAx>
        <c:axId val="1468260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fr-FR"/>
          </a:p>
        </c:txPr>
        <c:crossAx val="1468263712"/>
        <c:crosses val="autoZero"/>
        <c:auto val="1"/>
        <c:lblAlgn val="ctr"/>
        <c:lblOffset val="100"/>
        <c:tickLblSkip val="1"/>
        <c:tickMarkSkip val="1"/>
        <c:noMultiLvlLbl val="0"/>
      </c:catAx>
      <c:valAx>
        <c:axId val="1468263712"/>
        <c:scaling>
          <c:orientation val="minMax"/>
        </c:scaling>
        <c:delete val="0"/>
        <c:axPos val="l"/>
        <c:majorGridlines>
          <c:spPr>
            <a:ln w="3175">
              <a:solidFill>
                <a:srgbClr val="000000"/>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468260992"/>
        <c:crosses val="autoZero"/>
        <c:crossBetween val="between"/>
      </c:valAx>
      <c:spPr>
        <a:solidFill>
          <a:srgbClr val="FFFFFF"/>
        </a:solidFill>
        <a:ln w="3175">
          <a:solidFill>
            <a:srgbClr val="000000"/>
          </a:solidFill>
          <a:prstDash val="solid"/>
        </a:ln>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1599169764239488"/>
          <c:y val="0.16216216216216217"/>
          <c:w val="0.17853242605353414"/>
          <c:h val="0.7905405405405405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fr-BE"/>
              <a:t>Statut trophique</a:t>
            </a:r>
          </a:p>
        </c:rich>
      </c:tx>
      <c:layout>
        <c:manualLayout>
          <c:xMode val="edge"/>
          <c:yMode val="edge"/>
          <c:x val="0.41730581596248989"/>
          <c:y val="3.0405405405405407E-2"/>
        </c:manualLayout>
      </c:layout>
      <c:overlay val="0"/>
      <c:spPr>
        <a:noFill/>
        <a:ln w="25400">
          <a:noFill/>
        </a:ln>
      </c:spPr>
    </c:title>
    <c:autoTitleDeleted val="0"/>
    <c:plotArea>
      <c:layout>
        <c:manualLayout>
          <c:layoutTarget val="inner"/>
          <c:xMode val="edge"/>
          <c:yMode val="edge"/>
          <c:x val="3.2858725130667447E-2"/>
          <c:y val="0.16554054054054054"/>
          <c:w val="0.77546591308375179"/>
          <c:h val="0.71621621621621623"/>
        </c:manualLayout>
      </c:layout>
      <c:barChart>
        <c:barDir val="col"/>
        <c:grouping val="clustered"/>
        <c:varyColors val="0"/>
        <c:ser>
          <c:idx val="0"/>
          <c:order val="0"/>
          <c:tx>
            <c:strRef>
              <c:f>DDT!$L$4</c:f>
              <c:strCache>
                <c:ptCount val="1"/>
                <c:pt idx="0">
                  <c:v>Hoyoux amont-6/14</c:v>
                </c:pt>
              </c:strCache>
            </c:strRef>
          </c:tx>
          <c:spPr>
            <a:solidFill>
              <a:schemeClr val="bg1">
                <a:lumMod val="85000"/>
              </a:schemeClr>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DDT!$M$4:$O$4</c:f>
              <c:numCache>
                <c:formatCode>0.0000</c:formatCode>
                <c:ptCount val="3"/>
                <c:pt idx="0">
                  <c:v>0.41525516813649854</c:v>
                </c:pt>
                <c:pt idx="1">
                  <c:v>0.45484307021395937</c:v>
                </c:pt>
                <c:pt idx="2">
                  <c:v>0.12990180361596093</c:v>
                </c:pt>
              </c:numCache>
            </c:numRef>
          </c:val>
        </c:ser>
        <c:ser>
          <c:idx val="1"/>
          <c:order val="1"/>
          <c:tx>
            <c:strRef>
              <c:f>DDT!$L$5</c:f>
              <c:strCache>
                <c:ptCount val="1"/>
                <c:pt idx="0">
                  <c:v>Hoyoux aval-6/14</c:v>
                </c:pt>
              </c:strCache>
            </c:strRef>
          </c:tx>
          <c:spPr>
            <a:solidFill>
              <a:schemeClr val="bg1">
                <a:lumMod val="75000"/>
              </a:schemeClr>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DDT!$M$5:$O$5</c:f>
              <c:numCache>
                <c:formatCode>0.0000</c:formatCode>
                <c:ptCount val="3"/>
                <c:pt idx="0">
                  <c:v>0.40845902324665545</c:v>
                </c:pt>
                <c:pt idx="1">
                  <c:v>0.4725420129643883</c:v>
                </c:pt>
                <c:pt idx="2">
                  <c:v>0.11899896378895626</c:v>
                </c:pt>
              </c:numCache>
            </c:numRef>
          </c:val>
        </c:ser>
        <c:ser>
          <c:idx val="2"/>
          <c:order val="2"/>
          <c:tx>
            <c:strRef>
              <c:f>DDT!$L$6</c:f>
              <c:strCache>
                <c:ptCount val="1"/>
                <c:pt idx="0">
                  <c:v>Triffoy amont-6/14</c:v>
                </c:pt>
              </c:strCache>
            </c:strRef>
          </c:tx>
          <c:spPr>
            <a:solidFill>
              <a:schemeClr val="accent2">
                <a:lumMod val="40000"/>
                <a:lumOff val="60000"/>
              </a:schemeClr>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DDT!$M$6:$O$6</c:f>
              <c:numCache>
                <c:formatCode>0.0000</c:formatCode>
                <c:ptCount val="3"/>
                <c:pt idx="0">
                  <c:v>0.27447155376210891</c:v>
                </c:pt>
                <c:pt idx="1">
                  <c:v>0.41821361937034346</c:v>
                </c:pt>
                <c:pt idx="2">
                  <c:v>0.30731479187574268</c:v>
                </c:pt>
              </c:numCache>
            </c:numRef>
          </c:val>
        </c:ser>
        <c:ser>
          <c:idx val="3"/>
          <c:order val="3"/>
          <c:tx>
            <c:strRef>
              <c:f>DDT!$L$7</c:f>
              <c:strCache>
                <c:ptCount val="1"/>
                <c:pt idx="0">
                  <c:v>Triffoy aval-6/14</c:v>
                </c:pt>
              </c:strCache>
            </c:strRef>
          </c:tx>
          <c:spPr>
            <a:solidFill>
              <a:schemeClr val="accent2">
                <a:lumMod val="60000"/>
                <a:lumOff val="40000"/>
              </a:schemeClr>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DDT!$M$7:$O$7</c:f>
              <c:numCache>
                <c:formatCode>0.0000</c:formatCode>
                <c:ptCount val="3"/>
                <c:pt idx="0">
                  <c:v>0.28116261166671286</c:v>
                </c:pt>
                <c:pt idx="1">
                  <c:v>0.42778673872332551</c:v>
                </c:pt>
                <c:pt idx="2">
                  <c:v>0.29105062596353287</c:v>
                </c:pt>
              </c:numCache>
            </c:numRef>
          </c:val>
        </c:ser>
        <c:ser>
          <c:idx val="4"/>
          <c:order val="4"/>
          <c:tx>
            <c:strRef>
              <c:f>DDT!$L$8</c:f>
              <c:strCache>
                <c:ptCount val="1"/>
              </c:strCache>
            </c:strRef>
          </c:tx>
          <c:spPr>
            <a:solidFill>
              <a:srgbClr val="000000"/>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DDT!$M$8:$O$8</c:f>
              <c:numCache>
                <c:formatCode>0.0000</c:formatCode>
                <c:ptCount val="3"/>
                <c:pt idx="0">
                  <c:v>0</c:v>
                </c:pt>
                <c:pt idx="1">
                  <c:v>0</c:v>
                </c:pt>
                <c:pt idx="2">
                  <c:v>0</c:v>
                </c:pt>
              </c:numCache>
            </c:numRef>
          </c:val>
        </c:ser>
        <c:ser>
          <c:idx val="5"/>
          <c:order val="5"/>
          <c:tx>
            <c:strRef>
              <c:f>DDT!$L$9</c:f>
              <c:strCache>
                <c:ptCount val="1"/>
              </c:strCache>
            </c:strRef>
          </c:tx>
          <c:spPr>
            <a:solidFill>
              <a:srgbClr val="969696"/>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DDT!$M$9:$O$9</c:f>
              <c:numCache>
                <c:formatCode>0.0000</c:formatCode>
                <c:ptCount val="3"/>
                <c:pt idx="0">
                  <c:v>0</c:v>
                </c:pt>
                <c:pt idx="1">
                  <c:v>0</c:v>
                </c:pt>
                <c:pt idx="2">
                  <c:v>0</c:v>
                </c:pt>
              </c:numCache>
            </c:numRef>
          </c:val>
        </c:ser>
        <c:ser>
          <c:idx val="6"/>
          <c:order val="6"/>
          <c:tx>
            <c:strRef>
              <c:f>DDT!$L$10</c:f>
              <c:strCache>
                <c:ptCount val="1"/>
              </c:strCache>
            </c:strRef>
          </c:tx>
          <c:spPr>
            <a:solidFill>
              <a:srgbClr val="FF99CC"/>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DDT!$M$10:$O$10</c:f>
              <c:numCache>
                <c:formatCode>0.0000</c:formatCode>
                <c:ptCount val="3"/>
                <c:pt idx="0">
                  <c:v>0</c:v>
                </c:pt>
                <c:pt idx="1">
                  <c:v>0</c:v>
                </c:pt>
                <c:pt idx="2">
                  <c:v>0</c:v>
                </c:pt>
              </c:numCache>
            </c:numRef>
          </c:val>
        </c:ser>
        <c:ser>
          <c:idx val="7"/>
          <c:order val="7"/>
          <c:tx>
            <c:strRef>
              <c:f>DDT!$L$11</c:f>
              <c:strCache>
                <c:ptCount val="1"/>
              </c:strCache>
            </c:strRef>
          </c:tx>
          <c:spPr>
            <a:solidFill>
              <a:srgbClr val="CCCCFF"/>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DDT!$M$11:$O$11</c:f>
              <c:numCache>
                <c:formatCode>0.0000</c:formatCode>
                <c:ptCount val="3"/>
                <c:pt idx="0">
                  <c:v>0</c:v>
                </c:pt>
                <c:pt idx="1">
                  <c:v>0</c:v>
                </c:pt>
                <c:pt idx="2">
                  <c:v>0</c:v>
                </c:pt>
              </c:numCache>
            </c:numRef>
          </c:val>
        </c:ser>
        <c:ser>
          <c:idx val="8"/>
          <c:order val="8"/>
          <c:tx>
            <c:strRef>
              <c:f>DDT!$L$12</c:f>
              <c:strCache>
                <c:ptCount val="1"/>
              </c:strCache>
            </c:strRef>
          </c:tx>
          <c:spPr>
            <a:solidFill>
              <a:srgbClr val="3366FF"/>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DDT!$M$12:$O$12</c:f>
              <c:numCache>
                <c:formatCode>0.0000</c:formatCode>
                <c:ptCount val="3"/>
                <c:pt idx="0">
                  <c:v>0</c:v>
                </c:pt>
                <c:pt idx="1">
                  <c:v>0</c:v>
                </c:pt>
                <c:pt idx="2">
                  <c:v>0</c:v>
                </c:pt>
              </c:numCache>
            </c:numRef>
          </c:val>
        </c:ser>
        <c:ser>
          <c:idx val="9"/>
          <c:order val="9"/>
          <c:tx>
            <c:strRef>
              <c:f>DDT!$L$13</c:f>
              <c:strCache>
                <c:ptCount val="1"/>
              </c:strCache>
            </c:strRef>
          </c:tx>
          <c:spPr>
            <a:solidFill>
              <a:srgbClr val="000080"/>
            </a:solidFill>
            <a:ln w="12700">
              <a:solidFill>
                <a:srgbClr val="000000"/>
              </a:solidFill>
              <a:prstDash val="solid"/>
            </a:ln>
          </c:spPr>
          <c:invertIfNegative val="0"/>
          <c:cat>
            <c:strRef>
              <c:f>DDT!$M$3:$O$3</c:f>
              <c:strCache>
                <c:ptCount val="3"/>
                <c:pt idx="0">
                  <c:v>oligotrophe</c:v>
                </c:pt>
                <c:pt idx="1">
                  <c:v>mésotrophe</c:v>
                </c:pt>
                <c:pt idx="2">
                  <c:v>eutrophe</c:v>
                </c:pt>
              </c:strCache>
            </c:strRef>
          </c:cat>
          <c:val>
            <c:numRef>
              <c:f>DDT!$M$13:$O$13</c:f>
              <c:numCache>
                <c:formatCode>0.0000</c:formatCode>
                <c:ptCount val="3"/>
                <c:pt idx="0">
                  <c:v>0</c:v>
                </c:pt>
                <c:pt idx="1">
                  <c:v>0</c:v>
                </c:pt>
                <c:pt idx="2">
                  <c:v>0</c:v>
                </c:pt>
              </c:numCache>
            </c:numRef>
          </c:val>
        </c:ser>
        <c:dLbls>
          <c:showLegendKey val="0"/>
          <c:showVal val="0"/>
          <c:showCatName val="0"/>
          <c:showSerName val="0"/>
          <c:showPercent val="0"/>
          <c:showBubbleSize val="0"/>
        </c:dLbls>
        <c:gapWidth val="150"/>
        <c:axId val="1468262624"/>
        <c:axId val="1468264256"/>
      </c:barChart>
      <c:catAx>
        <c:axId val="14682626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fr-FR"/>
          </a:p>
        </c:txPr>
        <c:crossAx val="1468264256"/>
        <c:crosses val="autoZero"/>
        <c:auto val="1"/>
        <c:lblAlgn val="ctr"/>
        <c:lblOffset val="100"/>
        <c:tickLblSkip val="1"/>
        <c:tickMarkSkip val="1"/>
        <c:noMultiLvlLbl val="0"/>
      </c:catAx>
      <c:valAx>
        <c:axId val="1468264256"/>
        <c:scaling>
          <c:orientation val="minMax"/>
        </c:scaling>
        <c:delete val="0"/>
        <c:axPos val="l"/>
        <c:majorGridlines>
          <c:spPr>
            <a:ln w="3175">
              <a:solidFill>
                <a:srgbClr val="000000"/>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468262624"/>
        <c:crosses val="autoZero"/>
        <c:crossBetween val="between"/>
      </c:valAx>
      <c:spPr>
        <a:solidFill>
          <a:srgbClr val="FFFFFF"/>
        </a:solidFill>
        <a:ln w="3175">
          <a:solidFill>
            <a:srgbClr val="000000"/>
          </a:solidFill>
          <a:prstDash val="solid"/>
        </a:ln>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1599169764239488"/>
          <c:y val="0.16216216216216217"/>
          <c:w val="0.17853242605353414"/>
          <c:h val="0.7905405405405405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fr-BE"/>
              <a:t>Préférences</a:t>
            </a:r>
            <a:r>
              <a:rPr lang="fr-BE" baseline="0"/>
              <a:t>  thermiques</a:t>
            </a:r>
            <a:endParaRPr lang="fr-BE"/>
          </a:p>
        </c:rich>
      </c:tx>
      <c:layout>
        <c:manualLayout>
          <c:xMode val="edge"/>
          <c:yMode val="edge"/>
          <c:x val="0.41730581596248989"/>
          <c:y val="3.0405405405405407E-2"/>
        </c:manualLayout>
      </c:layout>
      <c:overlay val="0"/>
      <c:spPr>
        <a:noFill/>
        <a:ln w="25400">
          <a:noFill/>
        </a:ln>
      </c:spPr>
    </c:title>
    <c:autoTitleDeleted val="0"/>
    <c:plotArea>
      <c:layout>
        <c:manualLayout>
          <c:layoutTarget val="inner"/>
          <c:xMode val="edge"/>
          <c:yMode val="edge"/>
          <c:x val="3.2858725130667447E-2"/>
          <c:y val="0.16554054054054054"/>
          <c:w val="0.77546591308375179"/>
          <c:h val="0.71621621621621623"/>
        </c:manualLayout>
      </c:layout>
      <c:barChart>
        <c:barDir val="col"/>
        <c:grouping val="clustered"/>
        <c:varyColors val="0"/>
        <c:ser>
          <c:idx val="0"/>
          <c:order val="0"/>
          <c:tx>
            <c:strRef>
              <c:f>TEM!$L$4</c:f>
              <c:strCache>
                <c:ptCount val="1"/>
                <c:pt idx="0">
                  <c:v>Hoyoux amont-6/14</c:v>
                </c:pt>
              </c:strCache>
            </c:strRef>
          </c:tx>
          <c:spPr>
            <a:solidFill>
              <a:schemeClr val="bg1">
                <a:lumMod val="85000"/>
              </a:schemeClr>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TEM!$M$4:$O$4</c:f>
              <c:numCache>
                <c:formatCode>0.0000</c:formatCode>
                <c:ptCount val="3"/>
                <c:pt idx="0">
                  <c:v>0.19288936886909935</c:v>
                </c:pt>
                <c:pt idx="1">
                  <c:v>0.14615941361468698</c:v>
                </c:pt>
                <c:pt idx="2">
                  <c:v>0.66095120698129606</c:v>
                </c:pt>
              </c:numCache>
            </c:numRef>
          </c:val>
        </c:ser>
        <c:ser>
          <c:idx val="1"/>
          <c:order val="1"/>
          <c:tx>
            <c:strRef>
              <c:f>TEM!$L$5</c:f>
              <c:strCache>
                <c:ptCount val="1"/>
                <c:pt idx="0">
                  <c:v>Hoyoux aval-6/14</c:v>
                </c:pt>
              </c:strCache>
            </c:strRef>
          </c:tx>
          <c:spPr>
            <a:solidFill>
              <a:schemeClr val="bg1">
                <a:lumMod val="65000"/>
              </a:schemeClr>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TEM!$M$5:$O$5</c:f>
              <c:numCache>
                <c:formatCode>0.0000</c:formatCode>
                <c:ptCount val="3"/>
                <c:pt idx="0">
                  <c:v>0.19432880294050367</c:v>
                </c:pt>
                <c:pt idx="1">
                  <c:v>0.1667297517999812</c:v>
                </c:pt>
                <c:pt idx="2">
                  <c:v>0.63894150355472534</c:v>
                </c:pt>
              </c:numCache>
            </c:numRef>
          </c:val>
        </c:ser>
        <c:ser>
          <c:idx val="2"/>
          <c:order val="2"/>
          <c:tx>
            <c:strRef>
              <c:f>TEM!$L$6</c:f>
              <c:strCache>
                <c:ptCount val="1"/>
                <c:pt idx="0">
                  <c:v>Triffoy amont-6/14</c:v>
                </c:pt>
              </c:strCache>
            </c:strRef>
          </c:tx>
          <c:spPr>
            <a:solidFill>
              <a:schemeClr val="accent2">
                <a:lumMod val="40000"/>
                <a:lumOff val="60000"/>
              </a:schemeClr>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TEM!$M$6:$O$6</c:f>
              <c:numCache>
                <c:formatCode>0.0000</c:formatCode>
                <c:ptCount val="3"/>
                <c:pt idx="0">
                  <c:v>0.29127616795519828</c:v>
                </c:pt>
                <c:pt idx="1">
                  <c:v>0.16666543413917073</c:v>
                </c:pt>
                <c:pt idx="2">
                  <c:v>0.54205841612032302</c:v>
                </c:pt>
              </c:numCache>
            </c:numRef>
          </c:val>
        </c:ser>
        <c:ser>
          <c:idx val="3"/>
          <c:order val="3"/>
          <c:tx>
            <c:strRef>
              <c:f>TEM!$L$7</c:f>
              <c:strCache>
                <c:ptCount val="1"/>
                <c:pt idx="0">
                  <c:v>Triffoy aval-6/14</c:v>
                </c:pt>
              </c:strCache>
            </c:strRef>
          </c:tx>
          <c:spPr>
            <a:solidFill>
              <a:schemeClr val="accent2">
                <a:lumMod val="60000"/>
                <a:lumOff val="40000"/>
              </a:schemeClr>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TEM!$M$7:$O$7</c:f>
              <c:numCache>
                <c:formatCode>0.0000</c:formatCode>
                <c:ptCount val="3"/>
                <c:pt idx="0">
                  <c:v>0.27036615001070247</c:v>
                </c:pt>
                <c:pt idx="1">
                  <c:v>0.15304809507083378</c:v>
                </c:pt>
                <c:pt idx="2">
                  <c:v>0.57658570064635906</c:v>
                </c:pt>
              </c:numCache>
            </c:numRef>
          </c:val>
        </c:ser>
        <c:ser>
          <c:idx val="4"/>
          <c:order val="4"/>
          <c:tx>
            <c:strRef>
              <c:f>TEM!$L$8</c:f>
              <c:strCache>
                <c:ptCount val="1"/>
              </c:strCache>
            </c:strRef>
          </c:tx>
          <c:spPr>
            <a:solidFill>
              <a:srgbClr val="000000"/>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TEM!$M$8:$O$8</c:f>
              <c:numCache>
                <c:formatCode>0.0000</c:formatCode>
                <c:ptCount val="3"/>
                <c:pt idx="0">
                  <c:v>0</c:v>
                </c:pt>
                <c:pt idx="1">
                  <c:v>0</c:v>
                </c:pt>
                <c:pt idx="2">
                  <c:v>0</c:v>
                </c:pt>
              </c:numCache>
            </c:numRef>
          </c:val>
        </c:ser>
        <c:ser>
          <c:idx val="5"/>
          <c:order val="5"/>
          <c:tx>
            <c:strRef>
              <c:f>TEM!$L$9</c:f>
              <c:strCache>
                <c:ptCount val="1"/>
              </c:strCache>
            </c:strRef>
          </c:tx>
          <c:spPr>
            <a:solidFill>
              <a:srgbClr val="969696"/>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TEM!$M$9:$O$9</c:f>
              <c:numCache>
                <c:formatCode>0.0000</c:formatCode>
                <c:ptCount val="3"/>
                <c:pt idx="0">
                  <c:v>0</c:v>
                </c:pt>
                <c:pt idx="1">
                  <c:v>0</c:v>
                </c:pt>
                <c:pt idx="2">
                  <c:v>0</c:v>
                </c:pt>
              </c:numCache>
            </c:numRef>
          </c:val>
        </c:ser>
        <c:ser>
          <c:idx val="6"/>
          <c:order val="6"/>
          <c:tx>
            <c:strRef>
              <c:f>TEM!$L$10</c:f>
              <c:strCache>
                <c:ptCount val="1"/>
              </c:strCache>
            </c:strRef>
          </c:tx>
          <c:spPr>
            <a:solidFill>
              <a:srgbClr val="FF99CC"/>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TEM!$M$10:$O$10</c:f>
              <c:numCache>
                <c:formatCode>0.0000</c:formatCode>
                <c:ptCount val="3"/>
                <c:pt idx="0">
                  <c:v>0</c:v>
                </c:pt>
                <c:pt idx="1">
                  <c:v>0</c:v>
                </c:pt>
                <c:pt idx="2">
                  <c:v>0</c:v>
                </c:pt>
              </c:numCache>
            </c:numRef>
          </c:val>
        </c:ser>
        <c:ser>
          <c:idx val="7"/>
          <c:order val="7"/>
          <c:tx>
            <c:strRef>
              <c:f>TEM!$L$11</c:f>
              <c:strCache>
                <c:ptCount val="1"/>
              </c:strCache>
            </c:strRef>
          </c:tx>
          <c:spPr>
            <a:solidFill>
              <a:srgbClr val="CCCCFF"/>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TEM!$M$11:$O$11</c:f>
              <c:numCache>
                <c:formatCode>0.0000</c:formatCode>
                <c:ptCount val="3"/>
                <c:pt idx="0">
                  <c:v>0</c:v>
                </c:pt>
                <c:pt idx="1">
                  <c:v>0</c:v>
                </c:pt>
                <c:pt idx="2">
                  <c:v>0</c:v>
                </c:pt>
              </c:numCache>
            </c:numRef>
          </c:val>
        </c:ser>
        <c:ser>
          <c:idx val="8"/>
          <c:order val="8"/>
          <c:tx>
            <c:strRef>
              <c:f>TEM!$L$12</c:f>
              <c:strCache>
                <c:ptCount val="1"/>
              </c:strCache>
            </c:strRef>
          </c:tx>
          <c:spPr>
            <a:solidFill>
              <a:srgbClr val="3366FF"/>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TEM!$M$12:$O$12</c:f>
              <c:numCache>
                <c:formatCode>0.0000</c:formatCode>
                <c:ptCount val="3"/>
                <c:pt idx="0">
                  <c:v>0</c:v>
                </c:pt>
                <c:pt idx="1">
                  <c:v>0</c:v>
                </c:pt>
                <c:pt idx="2">
                  <c:v>0</c:v>
                </c:pt>
              </c:numCache>
            </c:numRef>
          </c:val>
        </c:ser>
        <c:ser>
          <c:idx val="9"/>
          <c:order val="9"/>
          <c:tx>
            <c:strRef>
              <c:f>TEM!$L$13</c:f>
              <c:strCache>
                <c:ptCount val="1"/>
              </c:strCache>
            </c:strRef>
          </c:tx>
          <c:spPr>
            <a:solidFill>
              <a:srgbClr val="000080"/>
            </a:solidFill>
            <a:ln w="12700">
              <a:solidFill>
                <a:srgbClr val="000000"/>
              </a:solidFill>
              <a:prstDash val="solid"/>
            </a:ln>
          </c:spPr>
          <c:invertIfNegative val="0"/>
          <c:cat>
            <c:strRef>
              <c:f>TEM!$M$3:$O$3</c:f>
              <c:strCache>
                <c:ptCount val="3"/>
                <c:pt idx="0">
                  <c:v>psychrophile (&lt;15°C)</c:v>
                </c:pt>
                <c:pt idx="1">
                  <c:v>thermophile (&gt;15°C)</c:v>
                </c:pt>
                <c:pt idx="2">
                  <c:v>eurytherme</c:v>
                </c:pt>
              </c:strCache>
            </c:strRef>
          </c:cat>
          <c:val>
            <c:numRef>
              <c:f>TEM!$M$13:$O$13</c:f>
              <c:numCache>
                <c:formatCode>0.0000</c:formatCode>
                <c:ptCount val="3"/>
                <c:pt idx="0">
                  <c:v>0</c:v>
                </c:pt>
                <c:pt idx="1">
                  <c:v>0</c:v>
                </c:pt>
                <c:pt idx="2">
                  <c:v>0</c:v>
                </c:pt>
              </c:numCache>
            </c:numRef>
          </c:val>
        </c:ser>
        <c:dLbls>
          <c:showLegendKey val="0"/>
          <c:showVal val="0"/>
          <c:showCatName val="0"/>
          <c:showSerName val="0"/>
          <c:showPercent val="0"/>
          <c:showBubbleSize val="0"/>
        </c:dLbls>
        <c:gapWidth val="150"/>
        <c:axId val="1312833648"/>
        <c:axId val="1312834736"/>
      </c:barChart>
      <c:catAx>
        <c:axId val="1312833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fr-FR"/>
          </a:p>
        </c:txPr>
        <c:crossAx val="1312834736"/>
        <c:crosses val="autoZero"/>
        <c:auto val="1"/>
        <c:lblAlgn val="ctr"/>
        <c:lblOffset val="100"/>
        <c:tickLblSkip val="1"/>
        <c:tickMarkSkip val="1"/>
        <c:noMultiLvlLbl val="0"/>
      </c:catAx>
      <c:valAx>
        <c:axId val="1312834736"/>
        <c:scaling>
          <c:orientation val="minMax"/>
        </c:scaling>
        <c:delete val="0"/>
        <c:axPos val="l"/>
        <c:majorGridlines>
          <c:spPr>
            <a:ln w="3175">
              <a:solidFill>
                <a:srgbClr val="000000"/>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312833648"/>
        <c:crosses val="autoZero"/>
        <c:crossBetween val="between"/>
      </c:valAx>
      <c:spPr>
        <a:solidFill>
          <a:srgbClr val="FFFFFF"/>
        </a:solidFill>
        <a:ln w="3175">
          <a:solidFill>
            <a:srgbClr val="000000"/>
          </a:solidFill>
          <a:prstDash val="solid"/>
        </a:ln>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1599169764239488"/>
          <c:y val="0.16216216216216217"/>
          <c:w val="0.17853242605353414"/>
          <c:h val="0.7905405405405405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fr-BE"/>
              <a:t>Polluosensibilité globale</a:t>
            </a:r>
          </a:p>
        </c:rich>
      </c:tx>
      <c:layout>
        <c:manualLayout>
          <c:xMode val="edge"/>
          <c:yMode val="edge"/>
          <c:x val="0.38225652790115366"/>
          <c:y val="3.0405405405405407E-2"/>
        </c:manualLayout>
      </c:layout>
      <c:overlay val="0"/>
      <c:spPr>
        <a:noFill/>
        <a:ln w="25400">
          <a:noFill/>
        </a:ln>
      </c:spPr>
    </c:title>
    <c:autoTitleDeleted val="0"/>
    <c:plotArea>
      <c:layout>
        <c:manualLayout>
          <c:layoutTarget val="inner"/>
          <c:xMode val="edge"/>
          <c:yMode val="edge"/>
          <c:x val="3.2858725130667447E-2"/>
          <c:y val="0.16891891891891891"/>
          <c:w val="0.77546591308375179"/>
          <c:h val="0.71283783783783783"/>
        </c:manualLayout>
      </c:layout>
      <c:barChart>
        <c:barDir val="col"/>
        <c:grouping val="clustered"/>
        <c:varyColors val="0"/>
        <c:ser>
          <c:idx val="0"/>
          <c:order val="0"/>
          <c:tx>
            <c:strRef>
              <c:f>POL!$L$4</c:f>
              <c:strCache>
                <c:ptCount val="1"/>
                <c:pt idx="0">
                  <c:v>Hoyoux amont-6/14</c:v>
                </c:pt>
              </c:strCache>
            </c:strRef>
          </c:tx>
          <c:spPr>
            <a:solidFill>
              <a:schemeClr val="bg1">
                <a:lumMod val="85000"/>
              </a:schemeClr>
            </a:solidFill>
            <a:ln w="12700">
              <a:solidFill>
                <a:srgbClr val="000000"/>
              </a:solidFill>
              <a:prstDash val="solid"/>
            </a:ln>
          </c:spPr>
          <c:invertIfNegative val="0"/>
          <c:cat>
            <c:strRef>
              <c:f>POL!$M$3:$Q$3</c:f>
              <c:strCache>
                <c:ptCount val="5"/>
                <c:pt idx="0">
                  <c:v>très faible (0,1)</c:v>
                </c:pt>
                <c:pt idx="1">
                  <c:v>faible (2,3)</c:v>
                </c:pt>
                <c:pt idx="2">
                  <c:v>moyenne (3,4)</c:v>
                </c:pt>
                <c:pt idx="3">
                  <c:v>forte (5,6)</c:v>
                </c:pt>
                <c:pt idx="4">
                  <c:v>très forte (7,8)</c:v>
                </c:pt>
              </c:strCache>
            </c:strRef>
          </c:cat>
          <c:val>
            <c:numRef>
              <c:f>POL!$M$4:$Q$4</c:f>
              <c:numCache>
                <c:formatCode>0.0000</c:formatCode>
                <c:ptCount val="5"/>
                <c:pt idx="0">
                  <c:v>0.18233751092975808</c:v>
                </c:pt>
                <c:pt idx="1">
                  <c:v>0.51856601573885164</c:v>
                </c:pt>
                <c:pt idx="2">
                  <c:v>0.2600990964733314</c:v>
                </c:pt>
                <c:pt idx="3">
                  <c:v>3.5441562226756047E-2</c:v>
                </c:pt>
                <c:pt idx="4">
                  <c:v>3.5558146313028273E-3</c:v>
                </c:pt>
              </c:numCache>
            </c:numRef>
          </c:val>
        </c:ser>
        <c:ser>
          <c:idx val="1"/>
          <c:order val="1"/>
          <c:tx>
            <c:strRef>
              <c:f>POL!$L$5</c:f>
              <c:strCache>
                <c:ptCount val="1"/>
                <c:pt idx="0">
                  <c:v>Hoyoux aval-6/14</c:v>
                </c:pt>
              </c:strCache>
            </c:strRef>
          </c:tx>
          <c:spPr>
            <a:solidFill>
              <a:schemeClr val="bg1">
                <a:lumMod val="65000"/>
              </a:schemeClr>
            </a:solidFill>
            <a:ln w="12700">
              <a:solidFill>
                <a:srgbClr val="000000"/>
              </a:solidFill>
              <a:prstDash val="solid"/>
            </a:ln>
          </c:spPr>
          <c:invertIfNegative val="0"/>
          <c:cat>
            <c:strRef>
              <c:f>POL!$M$3:$Q$3</c:f>
              <c:strCache>
                <c:ptCount val="5"/>
                <c:pt idx="0">
                  <c:v>très faible (0,1)</c:v>
                </c:pt>
                <c:pt idx="1">
                  <c:v>faible (2,3)</c:v>
                </c:pt>
                <c:pt idx="2">
                  <c:v>moyenne (3,4)</c:v>
                </c:pt>
                <c:pt idx="3">
                  <c:v>forte (5,6)</c:v>
                </c:pt>
                <c:pt idx="4">
                  <c:v>très forte (7,8)</c:v>
                </c:pt>
              </c:strCache>
            </c:strRef>
          </c:cat>
          <c:val>
            <c:numRef>
              <c:f>POL!$M$5:$Q$5</c:f>
              <c:numCache>
                <c:formatCode>0.0000</c:formatCode>
                <c:ptCount val="5"/>
                <c:pt idx="0">
                  <c:v>0.17107366867543969</c:v>
                </c:pt>
                <c:pt idx="1">
                  <c:v>0.59172713483376382</c:v>
                </c:pt>
                <c:pt idx="2">
                  <c:v>0.21251998524166768</c:v>
                </c:pt>
                <c:pt idx="3">
                  <c:v>2.3531340958471692E-2</c:v>
                </c:pt>
                <c:pt idx="4">
                  <c:v>1.1478702906571557E-3</c:v>
                </c:pt>
              </c:numCache>
            </c:numRef>
          </c:val>
        </c:ser>
        <c:ser>
          <c:idx val="2"/>
          <c:order val="2"/>
          <c:tx>
            <c:strRef>
              <c:f>POL!$L$6</c:f>
              <c:strCache>
                <c:ptCount val="1"/>
                <c:pt idx="0">
                  <c:v>Triffoy amont-6/14</c:v>
                </c:pt>
              </c:strCache>
            </c:strRef>
          </c:tx>
          <c:spPr>
            <a:solidFill>
              <a:schemeClr val="accent2">
                <a:lumMod val="40000"/>
                <a:lumOff val="60000"/>
              </a:schemeClr>
            </a:solidFill>
            <a:ln w="12700">
              <a:solidFill>
                <a:srgbClr val="000000"/>
              </a:solidFill>
              <a:prstDash val="solid"/>
            </a:ln>
          </c:spPr>
          <c:invertIfNegative val="0"/>
          <c:cat>
            <c:strRef>
              <c:f>POL!$M$3:$Q$3</c:f>
              <c:strCache>
                <c:ptCount val="5"/>
                <c:pt idx="0">
                  <c:v>très faible (0,1)</c:v>
                </c:pt>
                <c:pt idx="1">
                  <c:v>faible (2,3)</c:v>
                </c:pt>
                <c:pt idx="2">
                  <c:v>moyenne (3,4)</c:v>
                </c:pt>
                <c:pt idx="3">
                  <c:v>forte (5,6)</c:v>
                </c:pt>
                <c:pt idx="4">
                  <c:v>très forte (7,8)</c:v>
                </c:pt>
              </c:strCache>
            </c:strRef>
          </c:cat>
          <c:val>
            <c:numRef>
              <c:f>POL!$M$6:$Q$6</c:f>
              <c:numCache>
                <c:formatCode>0.0000</c:formatCode>
                <c:ptCount val="5"/>
                <c:pt idx="0">
                  <c:v>0.55768535262206154</c:v>
                </c:pt>
                <c:pt idx="1">
                  <c:v>0.35117540687160942</c:v>
                </c:pt>
                <c:pt idx="2">
                  <c:v>7.5708257986738997E-2</c:v>
                </c:pt>
                <c:pt idx="3">
                  <c:v>1.5430982519590115E-2</c:v>
                </c:pt>
                <c:pt idx="4">
                  <c:v>0</c:v>
                </c:pt>
              </c:numCache>
            </c:numRef>
          </c:val>
        </c:ser>
        <c:ser>
          <c:idx val="3"/>
          <c:order val="3"/>
          <c:tx>
            <c:strRef>
              <c:f>POL!$L$7</c:f>
              <c:strCache>
                <c:ptCount val="1"/>
                <c:pt idx="0">
                  <c:v>Triffoy aval-6/14</c:v>
                </c:pt>
              </c:strCache>
            </c:strRef>
          </c:tx>
          <c:spPr>
            <a:solidFill>
              <a:schemeClr val="accent2">
                <a:lumMod val="60000"/>
                <a:lumOff val="40000"/>
              </a:schemeClr>
            </a:solidFill>
            <a:ln w="12700">
              <a:solidFill>
                <a:srgbClr val="000000"/>
              </a:solidFill>
              <a:prstDash val="solid"/>
            </a:ln>
          </c:spPr>
          <c:invertIfNegative val="0"/>
          <c:cat>
            <c:strRef>
              <c:f>POL!$M$3:$Q$3</c:f>
              <c:strCache>
                <c:ptCount val="5"/>
                <c:pt idx="0">
                  <c:v>très faible (0,1)</c:v>
                </c:pt>
                <c:pt idx="1">
                  <c:v>faible (2,3)</c:v>
                </c:pt>
                <c:pt idx="2">
                  <c:v>moyenne (3,4)</c:v>
                </c:pt>
                <c:pt idx="3">
                  <c:v>forte (5,6)</c:v>
                </c:pt>
                <c:pt idx="4">
                  <c:v>très forte (7,8)</c:v>
                </c:pt>
              </c:strCache>
            </c:strRef>
          </c:cat>
          <c:val>
            <c:numRef>
              <c:f>POL!$M$7:$Q$7</c:f>
              <c:numCache>
                <c:formatCode>0.0000</c:formatCode>
                <c:ptCount val="5"/>
                <c:pt idx="0">
                  <c:v>0.51056814338856948</c:v>
                </c:pt>
                <c:pt idx="1">
                  <c:v>0.35923233006425431</c:v>
                </c:pt>
                <c:pt idx="2">
                  <c:v>9.046330740615488E-2</c:v>
                </c:pt>
                <c:pt idx="3">
                  <c:v>3.9736219141021302E-2</c:v>
                </c:pt>
                <c:pt idx="4">
                  <c:v>0</c:v>
                </c:pt>
              </c:numCache>
            </c:numRef>
          </c:val>
        </c:ser>
        <c:ser>
          <c:idx val="4"/>
          <c:order val="4"/>
          <c:tx>
            <c:strRef>
              <c:f>POL!$L$8</c:f>
              <c:strCache>
                <c:ptCount val="1"/>
              </c:strCache>
            </c:strRef>
          </c:tx>
          <c:spPr>
            <a:solidFill>
              <a:srgbClr val="000000"/>
            </a:solidFill>
            <a:ln w="12700">
              <a:solidFill>
                <a:srgbClr val="000000"/>
              </a:solidFill>
              <a:prstDash val="solid"/>
            </a:ln>
          </c:spPr>
          <c:invertIfNegative val="0"/>
          <c:cat>
            <c:strRef>
              <c:f>POL!$M$3:$Q$3</c:f>
              <c:strCache>
                <c:ptCount val="5"/>
                <c:pt idx="0">
                  <c:v>très faible (0,1)</c:v>
                </c:pt>
                <c:pt idx="1">
                  <c:v>faible (2,3)</c:v>
                </c:pt>
                <c:pt idx="2">
                  <c:v>moyenne (3,4)</c:v>
                </c:pt>
                <c:pt idx="3">
                  <c:v>forte (5,6)</c:v>
                </c:pt>
                <c:pt idx="4">
                  <c:v>très forte (7,8)</c:v>
                </c:pt>
              </c:strCache>
            </c:strRef>
          </c:cat>
          <c:val>
            <c:numRef>
              <c:f>POL!$M$8:$Q$8</c:f>
              <c:numCache>
                <c:formatCode>0.0000</c:formatCode>
                <c:ptCount val="5"/>
                <c:pt idx="0">
                  <c:v>0</c:v>
                </c:pt>
                <c:pt idx="1">
                  <c:v>0</c:v>
                </c:pt>
                <c:pt idx="2">
                  <c:v>0</c:v>
                </c:pt>
                <c:pt idx="3">
                  <c:v>0</c:v>
                </c:pt>
                <c:pt idx="4">
                  <c:v>0</c:v>
                </c:pt>
              </c:numCache>
            </c:numRef>
          </c:val>
        </c:ser>
        <c:ser>
          <c:idx val="5"/>
          <c:order val="5"/>
          <c:tx>
            <c:strRef>
              <c:f>POL!$L$9</c:f>
              <c:strCache>
                <c:ptCount val="1"/>
              </c:strCache>
            </c:strRef>
          </c:tx>
          <c:spPr>
            <a:solidFill>
              <a:srgbClr val="969696"/>
            </a:solidFill>
            <a:ln w="12700">
              <a:solidFill>
                <a:srgbClr val="000000"/>
              </a:solidFill>
              <a:prstDash val="solid"/>
            </a:ln>
          </c:spPr>
          <c:invertIfNegative val="0"/>
          <c:cat>
            <c:strRef>
              <c:f>POL!$M$3:$Q$3</c:f>
              <c:strCache>
                <c:ptCount val="5"/>
                <c:pt idx="0">
                  <c:v>très faible (0,1)</c:v>
                </c:pt>
                <c:pt idx="1">
                  <c:v>faible (2,3)</c:v>
                </c:pt>
                <c:pt idx="2">
                  <c:v>moyenne (3,4)</c:v>
                </c:pt>
                <c:pt idx="3">
                  <c:v>forte (5,6)</c:v>
                </c:pt>
                <c:pt idx="4">
                  <c:v>très forte (7,8)</c:v>
                </c:pt>
              </c:strCache>
            </c:strRef>
          </c:cat>
          <c:val>
            <c:numRef>
              <c:f>POL!$M$9:$Q$9</c:f>
              <c:numCache>
                <c:formatCode>0.0000</c:formatCode>
                <c:ptCount val="5"/>
                <c:pt idx="0">
                  <c:v>0</c:v>
                </c:pt>
                <c:pt idx="1">
                  <c:v>0</c:v>
                </c:pt>
                <c:pt idx="2">
                  <c:v>0</c:v>
                </c:pt>
                <c:pt idx="3">
                  <c:v>0</c:v>
                </c:pt>
                <c:pt idx="4">
                  <c:v>0</c:v>
                </c:pt>
              </c:numCache>
            </c:numRef>
          </c:val>
        </c:ser>
        <c:ser>
          <c:idx val="6"/>
          <c:order val="6"/>
          <c:tx>
            <c:strRef>
              <c:f>POL!$L$10</c:f>
              <c:strCache>
                <c:ptCount val="1"/>
              </c:strCache>
            </c:strRef>
          </c:tx>
          <c:spPr>
            <a:solidFill>
              <a:srgbClr val="FF99CC"/>
            </a:solidFill>
            <a:ln w="12700">
              <a:solidFill>
                <a:srgbClr val="000000"/>
              </a:solidFill>
              <a:prstDash val="solid"/>
            </a:ln>
          </c:spPr>
          <c:invertIfNegative val="0"/>
          <c:cat>
            <c:strRef>
              <c:f>POL!$M$3:$Q$3</c:f>
              <c:strCache>
                <c:ptCount val="5"/>
                <c:pt idx="0">
                  <c:v>très faible (0,1)</c:v>
                </c:pt>
                <c:pt idx="1">
                  <c:v>faible (2,3)</c:v>
                </c:pt>
                <c:pt idx="2">
                  <c:v>moyenne (3,4)</c:v>
                </c:pt>
                <c:pt idx="3">
                  <c:v>forte (5,6)</c:v>
                </c:pt>
                <c:pt idx="4">
                  <c:v>très forte (7,8)</c:v>
                </c:pt>
              </c:strCache>
            </c:strRef>
          </c:cat>
          <c:val>
            <c:numRef>
              <c:f>POL!$M$10:$Q$10</c:f>
              <c:numCache>
                <c:formatCode>0.0000</c:formatCode>
                <c:ptCount val="5"/>
                <c:pt idx="0">
                  <c:v>0</c:v>
                </c:pt>
                <c:pt idx="1">
                  <c:v>0</c:v>
                </c:pt>
                <c:pt idx="2">
                  <c:v>0</c:v>
                </c:pt>
                <c:pt idx="3">
                  <c:v>0</c:v>
                </c:pt>
                <c:pt idx="4">
                  <c:v>0</c:v>
                </c:pt>
              </c:numCache>
            </c:numRef>
          </c:val>
        </c:ser>
        <c:ser>
          <c:idx val="7"/>
          <c:order val="7"/>
          <c:tx>
            <c:strRef>
              <c:f>POL!$L$11</c:f>
              <c:strCache>
                <c:ptCount val="1"/>
              </c:strCache>
            </c:strRef>
          </c:tx>
          <c:spPr>
            <a:solidFill>
              <a:srgbClr val="CCCCFF"/>
            </a:solidFill>
            <a:ln w="12700">
              <a:solidFill>
                <a:srgbClr val="000000"/>
              </a:solidFill>
              <a:prstDash val="solid"/>
            </a:ln>
          </c:spPr>
          <c:invertIfNegative val="0"/>
          <c:cat>
            <c:strRef>
              <c:f>POL!$M$3:$Q$3</c:f>
              <c:strCache>
                <c:ptCount val="5"/>
                <c:pt idx="0">
                  <c:v>très faible (0,1)</c:v>
                </c:pt>
                <c:pt idx="1">
                  <c:v>faible (2,3)</c:v>
                </c:pt>
                <c:pt idx="2">
                  <c:v>moyenne (3,4)</c:v>
                </c:pt>
                <c:pt idx="3">
                  <c:v>forte (5,6)</c:v>
                </c:pt>
                <c:pt idx="4">
                  <c:v>très forte (7,8)</c:v>
                </c:pt>
              </c:strCache>
            </c:strRef>
          </c:cat>
          <c:val>
            <c:numRef>
              <c:f>POL!$M$11:$Q$11</c:f>
              <c:numCache>
                <c:formatCode>0.0000</c:formatCode>
                <c:ptCount val="5"/>
                <c:pt idx="0">
                  <c:v>0</c:v>
                </c:pt>
                <c:pt idx="1">
                  <c:v>0</c:v>
                </c:pt>
                <c:pt idx="2">
                  <c:v>0</c:v>
                </c:pt>
                <c:pt idx="3">
                  <c:v>0</c:v>
                </c:pt>
                <c:pt idx="4">
                  <c:v>0</c:v>
                </c:pt>
              </c:numCache>
            </c:numRef>
          </c:val>
        </c:ser>
        <c:ser>
          <c:idx val="8"/>
          <c:order val="8"/>
          <c:tx>
            <c:strRef>
              <c:f>POL!$L$12</c:f>
              <c:strCache>
                <c:ptCount val="1"/>
              </c:strCache>
            </c:strRef>
          </c:tx>
          <c:spPr>
            <a:solidFill>
              <a:srgbClr val="0066CC"/>
            </a:solidFill>
            <a:ln w="12700">
              <a:solidFill>
                <a:srgbClr val="000000"/>
              </a:solidFill>
              <a:prstDash val="solid"/>
            </a:ln>
          </c:spPr>
          <c:invertIfNegative val="0"/>
          <c:dPt>
            <c:idx val="1"/>
            <c:invertIfNegative val="0"/>
            <c:bubble3D val="0"/>
            <c:spPr>
              <a:solidFill>
                <a:srgbClr val="3366FF"/>
              </a:solidFill>
              <a:ln w="12700">
                <a:solidFill>
                  <a:srgbClr val="000000"/>
                </a:solidFill>
                <a:prstDash val="solid"/>
              </a:ln>
            </c:spPr>
          </c:dPt>
          <c:cat>
            <c:strRef>
              <c:f>POL!$M$3:$Q$3</c:f>
              <c:strCache>
                <c:ptCount val="5"/>
                <c:pt idx="0">
                  <c:v>très faible (0,1)</c:v>
                </c:pt>
                <c:pt idx="1">
                  <c:v>faible (2,3)</c:v>
                </c:pt>
                <c:pt idx="2">
                  <c:v>moyenne (3,4)</c:v>
                </c:pt>
                <c:pt idx="3">
                  <c:v>forte (5,6)</c:v>
                </c:pt>
                <c:pt idx="4">
                  <c:v>très forte (7,8)</c:v>
                </c:pt>
              </c:strCache>
            </c:strRef>
          </c:cat>
          <c:val>
            <c:numRef>
              <c:f>POL!$M$12:$Q$12</c:f>
              <c:numCache>
                <c:formatCode>0.0000</c:formatCode>
                <c:ptCount val="5"/>
                <c:pt idx="0">
                  <c:v>0</c:v>
                </c:pt>
                <c:pt idx="1">
                  <c:v>0</c:v>
                </c:pt>
                <c:pt idx="2">
                  <c:v>0</c:v>
                </c:pt>
                <c:pt idx="3">
                  <c:v>0</c:v>
                </c:pt>
                <c:pt idx="4">
                  <c:v>0</c:v>
                </c:pt>
              </c:numCache>
            </c:numRef>
          </c:val>
        </c:ser>
        <c:ser>
          <c:idx val="9"/>
          <c:order val="9"/>
          <c:tx>
            <c:strRef>
              <c:f>POL!$L$13</c:f>
              <c:strCache>
                <c:ptCount val="1"/>
              </c:strCache>
            </c:strRef>
          </c:tx>
          <c:spPr>
            <a:solidFill>
              <a:srgbClr val="000080"/>
            </a:solidFill>
            <a:ln w="12700">
              <a:solidFill>
                <a:srgbClr val="000000"/>
              </a:solidFill>
              <a:prstDash val="solid"/>
            </a:ln>
          </c:spPr>
          <c:invertIfNegative val="0"/>
          <c:cat>
            <c:strRef>
              <c:f>POL!$M$3:$Q$3</c:f>
              <c:strCache>
                <c:ptCount val="5"/>
                <c:pt idx="0">
                  <c:v>très faible (0,1)</c:v>
                </c:pt>
                <c:pt idx="1">
                  <c:v>faible (2,3)</c:v>
                </c:pt>
                <c:pt idx="2">
                  <c:v>moyenne (3,4)</c:v>
                </c:pt>
                <c:pt idx="3">
                  <c:v>forte (5,6)</c:v>
                </c:pt>
                <c:pt idx="4">
                  <c:v>très forte (7,8)</c:v>
                </c:pt>
              </c:strCache>
            </c:strRef>
          </c:cat>
          <c:val>
            <c:numRef>
              <c:f>POL!$M$13:$Q$13</c:f>
              <c:numCache>
                <c:formatCode>0.0000</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50"/>
        <c:axId val="1396442112"/>
        <c:axId val="1506752208"/>
      </c:barChart>
      <c:catAx>
        <c:axId val="13964421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fr-FR"/>
          </a:p>
        </c:txPr>
        <c:crossAx val="1506752208"/>
        <c:crosses val="autoZero"/>
        <c:auto val="1"/>
        <c:lblAlgn val="ctr"/>
        <c:lblOffset val="100"/>
        <c:tickLblSkip val="1"/>
        <c:tickMarkSkip val="1"/>
        <c:noMultiLvlLbl val="0"/>
      </c:catAx>
      <c:valAx>
        <c:axId val="1506752208"/>
        <c:scaling>
          <c:orientation val="minMax"/>
        </c:scaling>
        <c:delete val="0"/>
        <c:axPos val="l"/>
        <c:majorGridlines>
          <c:spPr>
            <a:ln w="3175">
              <a:solidFill>
                <a:srgbClr val="000000"/>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396442112"/>
        <c:crosses val="autoZero"/>
        <c:crossBetween val="between"/>
      </c:valAx>
      <c:spPr>
        <a:solidFill>
          <a:srgbClr val="FFFFFF"/>
        </a:solidFill>
        <a:ln w="3175">
          <a:solidFill>
            <a:srgbClr val="000000"/>
          </a:solidFill>
          <a:prstDash val="solid"/>
        </a:ln>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1599169764239488"/>
          <c:y val="0.16554054054054054"/>
          <c:w val="0.17853242605353414"/>
          <c:h val="0.7905405405405405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10149-D038-4A16-AD93-5357A2FFC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6193</Words>
  <Characters>34067</Characters>
  <Application>Microsoft Office Word</Application>
  <DocSecurity>0</DocSecurity>
  <Lines>283</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40180</CharactersWithSpaces>
  <SharedDoc>false</SharedDoc>
  <HLinks>
    <vt:vector size="24" baseType="variant">
      <vt:variant>
        <vt:i4>1769494</vt:i4>
      </vt:variant>
      <vt:variant>
        <vt:i4>9</vt:i4>
      </vt:variant>
      <vt:variant>
        <vt:i4>0</vt:i4>
      </vt:variant>
      <vt:variant>
        <vt:i4>5</vt:i4>
      </vt:variant>
      <vt:variant>
        <vt:lpwstr>http://link.springer.com/journal/10811/7/4/page/1</vt:lpwstr>
      </vt:variant>
      <vt:variant>
        <vt:lpwstr/>
      </vt:variant>
      <vt:variant>
        <vt:i4>2097213</vt:i4>
      </vt:variant>
      <vt:variant>
        <vt:i4>6</vt:i4>
      </vt:variant>
      <vt:variant>
        <vt:i4>0</vt:i4>
      </vt:variant>
      <vt:variant>
        <vt:i4>5</vt:i4>
      </vt:variant>
      <vt:variant>
        <vt:lpwstr>http://link.springer.com/journal/10811</vt:lpwstr>
      </vt:variant>
      <vt:variant>
        <vt:lpwstr/>
      </vt:variant>
      <vt:variant>
        <vt:i4>1704005</vt:i4>
      </vt:variant>
      <vt:variant>
        <vt:i4>3</vt:i4>
      </vt:variant>
      <vt:variant>
        <vt:i4>0</vt:i4>
      </vt:variant>
      <vt:variant>
        <vt:i4>5</vt:i4>
      </vt:variant>
      <vt:variant>
        <vt:lpwstr>http://link.springer.com/search?facet-author=%22B.+A.+Whitton%22</vt:lpwstr>
      </vt:variant>
      <vt:variant>
        <vt:lpwstr/>
      </vt:variant>
      <vt:variant>
        <vt:i4>6684720</vt:i4>
      </vt:variant>
      <vt:variant>
        <vt:i4>0</vt:i4>
      </vt:variant>
      <vt:variant>
        <vt:i4>0</vt:i4>
      </vt:variant>
      <vt:variant>
        <vt:i4>5</vt:i4>
      </vt:variant>
      <vt:variant>
        <vt:lpwstr>http://link.springer.com/search?facet-author=%22M.+G.+Kelly%22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Descy</dc:creator>
  <cp:keywords/>
  <cp:lastModifiedBy>JP Descy</cp:lastModifiedBy>
  <cp:revision>3</cp:revision>
  <dcterms:created xsi:type="dcterms:W3CDTF">2015-03-22T10:14:00Z</dcterms:created>
  <dcterms:modified xsi:type="dcterms:W3CDTF">2015-03-27T06:34:00Z</dcterms:modified>
</cp:coreProperties>
</file>