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B602F" w14:textId="5A2EB390" w:rsidR="00DD6E88" w:rsidRDefault="001166D7" w:rsidP="002B2BAA">
      <w:pPr>
        <w:pStyle w:val="Titre1"/>
        <w:jc w:val="center"/>
      </w:pPr>
      <w:r w:rsidRPr="001A1A9D">
        <w:rPr>
          <w:i/>
          <w:iCs/>
        </w:rPr>
        <w:t>Les Engagés</w:t>
      </w:r>
      <w:r w:rsidRPr="001166D7">
        <w:t>, des libéraux sociaux ?</w:t>
      </w:r>
    </w:p>
    <w:p w14:paraId="5B96A7B1" w14:textId="77777777" w:rsidR="00FF103F" w:rsidRPr="00FF103F" w:rsidRDefault="00FF103F" w:rsidP="00FF103F">
      <w:pPr>
        <w:spacing w:after="0"/>
      </w:pPr>
    </w:p>
    <w:p w14:paraId="27985D51" w14:textId="00B98BD8" w:rsidR="00846FE2" w:rsidRDefault="008E14C0" w:rsidP="00DD6E88">
      <w:pPr>
        <w:jc w:val="both"/>
      </w:pPr>
      <w:r>
        <w:t xml:space="preserve">Un an et demi après </w:t>
      </w:r>
      <w:r w:rsidR="002F4D40">
        <w:t xml:space="preserve">sa création, </w:t>
      </w:r>
      <w:r w:rsidR="002F4D40">
        <w:rPr>
          <w:i/>
          <w:iCs/>
        </w:rPr>
        <w:t xml:space="preserve">Les </w:t>
      </w:r>
      <w:r w:rsidR="002F4D40" w:rsidRPr="00C32FFE">
        <w:rPr>
          <w:i/>
          <w:iCs/>
        </w:rPr>
        <w:t>Engagés</w:t>
      </w:r>
      <w:r w:rsidR="002F4D40">
        <w:t xml:space="preserve">, le mouvement politique issu du processus de refondation du </w:t>
      </w:r>
      <w:proofErr w:type="spellStart"/>
      <w:r w:rsidR="002F4D40">
        <w:t>cdH</w:t>
      </w:r>
      <w:proofErr w:type="spellEnd"/>
      <w:r w:rsidR="00C32FFE">
        <w:t>, a bénéficié d’une attention médiatique nouvelle</w:t>
      </w:r>
      <w:r w:rsidR="00443A39">
        <w:t xml:space="preserve">. Cette attention s’explique par </w:t>
      </w:r>
      <w:r w:rsidR="00C32FFE">
        <w:t>l</w:t>
      </w:r>
      <w:r w:rsidR="00846FE2" w:rsidRPr="002F4D40">
        <w:t>es</w:t>
      </w:r>
      <w:r w:rsidR="00846FE2">
        <w:t xml:space="preserve"> </w:t>
      </w:r>
      <w:r w:rsidR="00C528D3">
        <w:t>arrivées</w:t>
      </w:r>
      <w:r w:rsidR="00846FE2">
        <w:t xml:space="preserve"> successives</w:t>
      </w:r>
      <w:r w:rsidR="00C32FFE">
        <w:t xml:space="preserve"> de</w:t>
      </w:r>
      <w:r w:rsidR="00846FE2">
        <w:t xml:space="preserve"> personnalités de la société civile appelées à </w:t>
      </w:r>
      <w:r w:rsidR="00DF5B8C">
        <w:t>occuper les premières places sur les listes électorales</w:t>
      </w:r>
      <w:r w:rsidR="00F9749D">
        <w:t xml:space="preserve">. Issues pour certaines du monde patronal – Olivier de </w:t>
      </w:r>
      <w:proofErr w:type="spellStart"/>
      <w:r w:rsidR="00F9749D">
        <w:t>Wasseige</w:t>
      </w:r>
      <w:proofErr w:type="spellEnd"/>
      <w:r w:rsidR="00F9749D">
        <w:t xml:space="preserve">, Jean-Jacques </w:t>
      </w:r>
      <w:proofErr w:type="spellStart"/>
      <w:r w:rsidR="00F9749D">
        <w:t>Cloquet</w:t>
      </w:r>
      <w:proofErr w:type="spellEnd"/>
      <w:r w:rsidR="00F9749D">
        <w:t xml:space="preserve"> comme avant eux Yvan </w:t>
      </w:r>
      <w:proofErr w:type="spellStart"/>
      <w:r w:rsidR="00F9749D">
        <w:t>Verougstraete</w:t>
      </w:r>
      <w:proofErr w:type="spellEnd"/>
      <w:r w:rsidR="00327AA3">
        <w:t xml:space="preserve"> –</w:t>
      </w:r>
      <w:r w:rsidR="002831CC">
        <w:t>, elles apprécient se revendiquer du libéralisme social. C’est également le cas d</w:t>
      </w:r>
      <w:r w:rsidR="007431B4">
        <w:t>e</w:t>
      </w:r>
      <w:r w:rsidR="003A4CF7">
        <w:t xml:space="preserve"> Jean-Luc </w:t>
      </w:r>
      <w:proofErr w:type="spellStart"/>
      <w:r w:rsidR="003A4CF7">
        <w:t>Crucke</w:t>
      </w:r>
      <w:proofErr w:type="spellEnd"/>
      <w:r w:rsidR="003A4CF7">
        <w:t xml:space="preserve"> ou de</w:t>
      </w:r>
      <w:r w:rsidR="00025C71">
        <w:t xml:space="preserve"> </w:t>
      </w:r>
      <w:proofErr w:type="spellStart"/>
      <w:r w:rsidR="00025C71">
        <w:t>Lyseline</w:t>
      </w:r>
      <w:proofErr w:type="spellEnd"/>
      <w:r w:rsidR="00025C71">
        <w:t xml:space="preserve"> Louvigny, respecti</w:t>
      </w:r>
      <w:r w:rsidR="00DA6C9A">
        <w:t>v</w:t>
      </w:r>
      <w:r w:rsidR="00025C71">
        <w:t>ement ancien ministre et ancienne députée</w:t>
      </w:r>
      <w:r w:rsidR="00DA6C9A">
        <w:t xml:space="preserve"> MR, qui ont rejoint </w:t>
      </w:r>
      <w:r w:rsidR="00DA6C9A">
        <w:rPr>
          <w:i/>
          <w:iCs/>
        </w:rPr>
        <w:t xml:space="preserve">Les Engagés. </w:t>
      </w:r>
      <w:r w:rsidR="002246BB">
        <w:t>Le profil du recteur de l’</w:t>
      </w:r>
      <w:proofErr w:type="spellStart"/>
      <w:r w:rsidR="002246BB">
        <w:t>UCLouvain</w:t>
      </w:r>
      <w:proofErr w:type="spellEnd"/>
      <w:r w:rsidR="002246BB">
        <w:t>, Vincent Blondel, ou de l’épi</w:t>
      </w:r>
      <w:r w:rsidR="000F3858">
        <w:t xml:space="preserve">démiologiste </w:t>
      </w:r>
      <w:r w:rsidR="002246BB">
        <w:t>Yves Coppieters</w:t>
      </w:r>
      <w:r w:rsidR="00DA6C9A">
        <w:t xml:space="preserve"> </w:t>
      </w:r>
      <w:r w:rsidR="000F3858">
        <w:t xml:space="preserve">qui tireront les listes dans le Brabant wallon </w:t>
      </w:r>
      <w:r w:rsidR="007A61BB">
        <w:t xml:space="preserve">aurait également pu les conduire à privilégier </w:t>
      </w:r>
      <w:r w:rsidR="00367A53">
        <w:t xml:space="preserve">le parti dit « libéral ». </w:t>
      </w:r>
      <w:r w:rsidR="0056740E">
        <w:t>Maxime Prév</w:t>
      </w:r>
      <w:r w:rsidR="00F56130">
        <w:t>o</w:t>
      </w:r>
      <w:r w:rsidR="0056740E">
        <w:t>t, l</w:t>
      </w:r>
      <w:r w:rsidR="00367A53">
        <w:t xml:space="preserve">e président </w:t>
      </w:r>
      <w:r w:rsidR="0056740E">
        <w:t xml:space="preserve">de </w:t>
      </w:r>
      <w:r w:rsidR="0056740E">
        <w:rPr>
          <w:i/>
          <w:iCs/>
        </w:rPr>
        <w:t>Engagés</w:t>
      </w:r>
      <w:r w:rsidR="0056740E">
        <w:t xml:space="preserve">, n’hésite </w:t>
      </w:r>
      <w:r w:rsidR="00253D5E">
        <w:t>pas non plus</w:t>
      </w:r>
      <w:r w:rsidR="0056740E">
        <w:t xml:space="preserve"> à faire référence au libéralisme social</w:t>
      </w:r>
      <w:r w:rsidR="00F56130">
        <w:rPr>
          <w:rStyle w:val="Appelnotedebasdep"/>
        </w:rPr>
        <w:footnoteReference w:id="1"/>
      </w:r>
      <w:r w:rsidR="006E7AD1">
        <w:t xml:space="preserve">, tandis que les observateurs politiques </w:t>
      </w:r>
      <w:r w:rsidR="00B1110B">
        <w:t xml:space="preserve">estiment que </w:t>
      </w:r>
      <w:r w:rsidR="00B1110B">
        <w:rPr>
          <w:i/>
          <w:iCs/>
        </w:rPr>
        <w:t xml:space="preserve">Les Engagés </w:t>
      </w:r>
      <w:r w:rsidR="00586886">
        <w:t>s’efforcent d’apparaître comme une alternative crédible pour les électeurs libéraux déçus d</w:t>
      </w:r>
      <w:r w:rsidR="007D7ECE">
        <w:t xml:space="preserve">e l’évolution vers une droite plus affirmée </w:t>
      </w:r>
      <w:r w:rsidR="00047FB9">
        <w:t>du MR de Georges-Louis Bouchez</w:t>
      </w:r>
      <w:r w:rsidR="005F3F7D">
        <w:rPr>
          <w:rStyle w:val="Appelnotedebasdep"/>
        </w:rPr>
        <w:footnoteReference w:id="2"/>
      </w:r>
      <w:r w:rsidR="00047FB9">
        <w:t>.</w:t>
      </w:r>
    </w:p>
    <w:p w14:paraId="21AB2D3C" w14:textId="6CACEE7C" w:rsidR="00D12982" w:rsidRPr="00344D17" w:rsidRDefault="00DD6E88" w:rsidP="00DD6E88">
      <w:pPr>
        <w:jc w:val="both"/>
        <w:rPr>
          <w:i/>
          <w:iCs/>
        </w:rPr>
      </w:pPr>
      <w:r>
        <w:t xml:space="preserve">Le </w:t>
      </w:r>
      <w:r w:rsidRPr="00887441">
        <w:rPr>
          <w:i/>
          <w:iCs/>
        </w:rPr>
        <w:t>Manifeste pour une société régénérée</w:t>
      </w:r>
      <w:r w:rsidR="00906460">
        <w:t xml:space="preserve">, </w:t>
      </w:r>
      <w:r w:rsidR="00A90D3D">
        <w:t xml:space="preserve">le texte </w:t>
      </w:r>
      <w:r w:rsidR="00344D17">
        <w:t>détaillant le projet politique des</w:t>
      </w:r>
      <w:r>
        <w:rPr>
          <w:i/>
          <w:iCs/>
        </w:rPr>
        <w:t xml:space="preserve"> Engagés</w:t>
      </w:r>
      <w:r w:rsidR="00E97C94">
        <w:rPr>
          <w:i/>
          <w:iCs/>
        </w:rPr>
        <w:t>,</w:t>
      </w:r>
      <w:r w:rsidR="00E97C94">
        <w:t xml:space="preserve"> ne</w:t>
      </w:r>
      <w:r w:rsidR="00837585">
        <w:t xml:space="preserve"> comprend cepe</w:t>
      </w:r>
      <w:r w:rsidR="00190C0B">
        <w:t>ndant aucune référence au libéralisme social.</w:t>
      </w:r>
      <w:r>
        <w:t xml:space="preserve"> </w:t>
      </w:r>
      <w:r w:rsidR="00EF1299">
        <w:t>Il est vrai que c</w:t>
      </w:r>
      <w:r w:rsidR="000B090B">
        <w:t xml:space="preserve">e manifeste, que j’ai rédigé sous la responsabilité politique de Maxime Prévot, </w:t>
      </w:r>
      <w:r w:rsidR="00EF1299">
        <w:t>est</w:t>
      </w:r>
      <w:r>
        <w:t xml:space="preserve"> construit essentiellement autour de propositions concrètes et d’une description d’un projet de société sans explicitement développer </w:t>
      </w:r>
      <w:r w:rsidR="00503BAC">
        <w:t>le cadre</w:t>
      </w:r>
      <w:r>
        <w:t xml:space="preserve"> philosophique</w:t>
      </w:r>
      <w:r w:rsidR="00503BAC">
        <w:t xml:space="preserve"> dans lequel il s’inscrit</w:t>
      </w:r>
      <w:r>
        <w:t xml:space="preserve">. </w:t>
      </w:r>
      <w:r w:rsidR="00E24DB0">
        <w:t>Je me propose par conséquent de rendre cel</w:t>
      </w:r>
      <w:r w:rsidR="00503BAC">
        <w:t>ui</w:t>
      </w:r>
      <w:r w:rsidR="00E24DB0">
        <w:t>-</w:t>
      </w:r>
      <w:r w:rsidR="008452FA">
        <w:t>ci plus explicite et de clarifier à cette occasion dans quelle mesure la référence au libéralisme social est pertinente.</w:t>
      </w:r>
    </w:p>
    <w:p w14:paraId="35C08C8A" w14:textId="4B200243" w:rsidR="00296E3F" w:rsidRPr="001166D7" w:rsidRDefault="0018547B" w:rsidP="0018547B">
      <w:pPr>
        <w:pStyle w:val="Paragraphedeliste"/>
        <w:numPr>
          <w:ilvl w:val="0"/>
          <w:numId w:val="3"/>
        </w:numPr>
        <w:jc w:val="both"/>
        <w:rPr>
          <w:b/>
          <w:bCs/>
        </w:rPr>
      </w:pPr>
      <w:r w:rsidRPr="001166D7">
        <w:rPr>
          <w:b/>
          <w:bCs/>
        </w:rPr>
        <w:t>Du libéralisme social au projet de son dépassement</w:t>
      </w:r>
    </w:p>
    <w:p w14:paraId="3E4223A9" w14:textId="54A17C8E" w:rsidR="00296E3F" w:rsidRDefault="00E5092C" w:rsidP="00DD6E88">
      <w:pPr>
        <w:jc w:val="both"/>
      </w:pPr>
      <w:r>
        <w:t xml:space="preserve">Loin d’être un oxymore, le libéralisme social est </w:t>
      </w:r>
      <w:r w:rsidR="00603612">
        <w:t>l</w:t>
      </w:r>
      <w:r w:rsidR="00D84E52">
        <w:t xml:space="preserve">a conception du libéralisme dominante en philosophie politique. </w:t>
      </w:r>
      <w:r w:rsidR="00AA5F84">
        <w:t xml:space="preserve">Trouvant son origine chez Mill et Dewey, le libéralisme social s’est développé au début du </w:t>
      </w:r>
      <w:r w:rsidR="00995555">
        <w:t>20</w:t>
      </w:r>
      <w:r w:rsidR="00995555" w:rsidRPr="00995555">
        <w:rPr>
          <w:vertAlign w:val="superscript"/>
        </w:rPr>
        <w:t>ème</w:t>
      </w:r>
      <w:r w:rsidR="00995555">
        <w:t xml:space="preserve"> siècle </w:t>
      </w:r>
      <w:r w:rsidR="00B52CFF">
        <w:t xml:space="preserve">et est marqué par la conviction que la liberté </w:t>
      </w:r>
      <w:r w:rsidR="007B722A">
        <w:t xml:space="preserve">n’est </w:t>
      </w:r>
      <w:r w:rsidR="00D6460C">
        <w:t>pas une réalité naturelle dont l’</w:t>
      </w:r>
      <w:proofErr w:type="spellStart"/>
      <w:r w:rsidR="00D6460C">
        <w:t>Etat</w:t>
      </w:r>
      <w:proofErr w:type="spellEnd"/>
      <w:r w:rsidR="00D6460C">
        <w:t xml:space="preserve"> </w:t>
      </w:r>
      <w:r w:rsidR="007B722A">
        <w:t xml:space="preserve">doit </w:t>
      </w:r>
      <w:r w:rsidR="00D6460C">
        <w:t>seulement garantir la protection</w:t>
      </w:r>
      <w:r w:rsidR="003A3ECF">
        <w:t xml:space="preserve"> et </w:t>
      </w:r>
      <w:r w:rsidR="00CB76E3">
        <w:t xml:space="preserve">par celle </w:t>
      </w:r>
      <w:r w:rsidR="003A3ECF">
        <w:t>que le</w:t>
      </w:r>
      <w:r w:rsidR="00CC36D9">
        <w:t xml:space="preserve"> fonctionnement des marchés s’éloign</w:t>
      </w:r>
      <w:r w:rsidR="00CB76E3">
        <w:t>e</w:t>
      </w:r>
      <w:r w:rsidR="00CC36D9">
        <w:t xml:space="preserve"> des conditions de la concurrence pure et parfaite idéalisées par les partisans du libéralisme économique</w:t>
      </w:r>
      <w:r w:rsidR="00D6460C">
        <w:t>.</w:t>
      </w:r>
      <w:r w:rsidR="00CC36D9">
        <w:t xml:space="preserve"> </w:t>
      </w:r>
      <w:r w:rsidR="002E589E">
        <w:t xml:space="preserve">S’opposant tout autant </w:t>
      </w:r>
      <w:r w:rsidR="008F7103">
        <w:t xml:space="preserve">à la collectivisation des moyens de production, il cherche à définir une troisième voie entre </w:t>
      </w:r>
      <w:r w:rsidR="0010740B">
        <w:t>le libéralisme classique et le socialisme</w:t>
      </w:r>
      <w:r w:rsidR="00E00795">
        <w:t xml:space="preserve"> </w:t>
      </w:r>
      <w:r w:rsidR="00BD09BC">
        <w:t xml:space="preserve">et à </w:t>
      </w:r>
      <w:r w:rsidR="00416B60">
        <w:t>garantir</w:t>
      </w:r>
      <w:r w:rsidR="00BD09BC">
        <w:t xml:space="preserve"> </w:t>
      </w:r>
      <w:r w:rsidR="00416B60">
        <w:t xml:space="preserve">à chaque individu non seulement le respect </w:t>
      </w:r>
      <w:r w:rsidR="007A4019">
        <w:t xml:space="preserve">formel </w:t>
      </w:r>
      <w:r w:rsidR="00416B60">
        <w:t xml:space="preserve">de </w:t>
      </w:r>
      <w:r w:rsidR="007A4019">
        <w:t>s</w:t>
      </w:r>
      <w:r w:rsidR="00416B60">
        <w:t xml:space="preserve">es droits et libertés mais également les ressources </w:t>
      </w:r>
      <w:r w:rsidR="007A4019">
        <w:t>nécessaires pour pouvoir jouir réellement de ceux-ci.</w:t>
      </w:r>
      <w:r w:rsidR="00223EF7">
        <w:t xml:space="preserve"> </w:t>
      </w:r>
      <w:r w:rsidR="00ED4B9D">
        <w:t xml:space="preserve">Le philosophe américain, </w:t>
      </w:r>
      <w:r w:rsidR="007D7E3D">
        <w:t>John Rawls</w:t>
      </w:r>
      <w:r w:rsidR="00313AA9">
        <w:rPr>
          <w:rStyle w:val="Appelnotedebasdep"/>
        </w:rPr>
        <w:footnoteReference w:id="3"/>
      </w:r>
      <w:r w:rsidR="00ED4B9D">
        <w:t>, est devenu à la fin du 20</w:t>
      </w:r>
      <w:r w:rsidR="003115C7" w:rsidRPr="003115C7">
        <w:rPr>
          <w:vertAlign w:val="superscript"/>
        </w:rPr>
        <w:t>e</w:t>
      </w:r>
      <w:r w:rsidR="003115C7">
        <w:t xml:space="preserve"> </w:t>
      </w:r>
      <w:r w:rsidR="00ED4B9D">
        <w:t xml:space="preserve">siècle la référence incontournable </w:t>
      </w:r>
      <w:r w:rsidR="00C04B5D">
        <w:t>de ce libéralisme égalitaire.</w:t>
      </w:r>
      <w:r w:rsidR="0013650F">
        <w:t xml:space="preserve"> Dans le champs politique belge, Paul Janson, l’une des figures historiques </w:t>
      </w:r>
      <w:r w:rsidR="00F95481">
        <w:t xml:space="preserve">du Parti libéral </w:t>
      </w:r>
      <w:r w:rsidR="00EE3372">
        <w:t>du 19</w:t>
      </w:r>
      <w:r w:rsidR="00EE3372" w:rsidRPr="00EE3372">
        <w:rPr>
          <w:vertAlign w:val="superscript"/>
        </w:rPr>
        <w:t>e</w:t>
      </w:r>
      <w:r w:rsidR="00EE3372">
        <w:t xml:space="preserve"> siècle</w:t>
      </w:r>
      <w:r w:rsidR="00A4413F">
        <w:t xml:space="preserve">, y est rattaché. Plus récemment, </w:t>
      </w:r>
      <w:r w:rsidR="00C86215">
        <w:t xml:space="preserve">au sein du MR, </w:t>
      </w:r>
      <w:r w:rsidR="00A4413F">
        <w:t xml:space="preserve">Louis Michel et Richard Miller s’en revendiquaient. </w:t>
      </w:r>
    </w:p>
    <w:p w14:paraId="6F174224" w14:textId="6D809A90" w:rsidR="00CC6C64" w:rsidRDefault="00DF3493" w:rsidP="00DD6E88">
      <w:pPr>
        <w:jc w:val="both"/>
      </w:pPr>
      <w:r>
        <w:t xml:space="preserve">C’est largement en dialogue avec ce libéralisme </w:t>
      </w:r>
      <w:r w:rsidR="00F861C6">
        <w:t>philosophique que j’ai essayé d’offrir une assise philosop</w:t>
      </w:r>
      <w:r w:rsidR="00590B1D">
        <w:t xml:space="preserve">hique à l’humanisme démocratique du </w:t>
      </w:r>
      <w:proofErr w:type="spellStart"/>
      <w:r w:rsidR="00590B1D">
        <w:t>cdH</w:t>
      </w:r>
      <w:proofErr w:type="spellEnd"/>
      <w:r w:rsidR="00590B1D">
        <w:t xml:space="preserve"> dans mon essai </w:t>
      </w:r>
      <w:r w:rsidR="00590B1D">
        <w:rPr>
          <w:i/>
          <w:iCs/>
        </w:rPr>
        <w:t>Le sens du politique</w:t>
      </w:r>
      <w:r w:rsidR="00590B1D">
        <w:t xml:space="preserve">. </w:t>
      </w:r>
      <w:r w:rsidR="00961C8C">
        <w:t>Je présentais l’humanisme démocratique comme un projet de dépassement du libéralisme</w:t>
      </w:r>
      <w:r w:rsidR="00B3286A">
        <w:t>. C</w:t>
      </w:r>
      <w:r w:rsidR="005E1FC1">
        <w:t>onsidérant que « l’avènement du libéralisme politique a permis d’importantes avancées sociales »</w:t>
      </w:r>
      <w:r w:rsidR="00565A6C">
        <w:t xml:space="preserve">, j’estimais </w:t>
      </w:r>
      <w:r w:rsidR="005E1FC1">
        <w:t xml:space="preserve">que </w:t>
      </w:r>
      <w:r w:rsidR="005E1FC1">
        <w:lastRenderedPageBreak/>
        <w:t>désormais « ce</w:t>
      </w:r>
      <w:r w:rsidR="00565A6C">
        <w:t xml:space="preserve"> sont les </w:t>
      </w:r>
      <w:r w:rsidR="00A93405">
        <w:t>insuffisances du libéralisme qui nourrissent les tentations réactionnaires, les appels à des identités fortes</w:t>
      </w:r>
      <w:r w:rsidR="00411283">
        <w:t xml:space="preserve"> et fermées sur elles-mêmes, les intégrismes religieux, les nationalismes xénophobes</w:t>
      </w:r>
      <w:r w:rsidR="00670A4B">
        <w:t xml:space="preserve"> et les populismes politiques. Le même mouvement de progrès social qui a conduit à l’avènement du libéralisme appelle par conséquent à son dépassement. »</w:t>
      </w:r>
      <w:r w:rsidR="00670A4B">
        <w:rPr>
          <w:rStyle w:val="Appelnotedebasdep"/>
        </w:rPr>
        <w:footnoteReference w:id="4"/>
      </w:r>
      <w:r w:rsidR="00961C8C">
        <w:t xml:space="preserve"> </w:t>
      </w:r>
      <w:r w:rsidR="00647129">
        <w:t xml:space="preserve">Alors que les </w:t>
      </w:r>
      <w:r w:rsidR="00796312">
        <w:t>menaces relevées n’ont cessé depuis lors de prendre de l’ampleur, q</w:t>
      </w:r>
      <w:r w:rsidR="00A74DD7">
        <w:t xml:space="preserve">ue reste-t-il de cette ambition dans le Manifeste des </w:t>
      </w:r>
      <w:r w:rsidR="00A74DD7" w:rsidRPr="0079359A">
        <w:rPr>
          <w:i/>
          <w:iCs/>
        </w:rPr>
        <w:t>Engagés</w:t>
      </w:r>
      <w:r w:rsidR="007565D4">
        <w:rPr>
          <w:i/>
          <w:iCs/>
        </w:rPr>
        <w:t> </w:t>
      </w:r>
      <w:r w:rsidR="007565D4" w:rsidRPr="007565D4">
        <w:t>?</w:t>
      </w:r>
      <w:r w:rsidR="0079359A">
        <w:t xml:space="preserve"> </w:t>
      </w:r>
      <w:r w:rsidR="00CC6C64">
        <w:t>D</w:t>
      </w:r>
      <w:r w:rsidR="0079359A">
        <w:t>ès lors qu</w:t>
      </w:r>
      <w:r w:rsidR="008C0281">
        <w:t>’il</w:t>
      </w:r>
      <w:r w:rsidR="0079359A">
        <w:t xml:space="preserve"> </w:t>
      </w:r>
      <w:r w:rsidR="002F786F">
        <w:t xml:space="preserve">est endossé par des personnalités se </w:t>
      </w:r>
      <w:r w:rsidR="00462BA8">
        <w:t>réclamant du libéralisme social</w:t>
      </w:r>
      <w:r w:rsidR="008C0281">
        <w:t>, c</w:t>
      </w:r>
      <w:r w:rsidR="00E12E87">
        <w:t>e</w:t>
      </w:r>
      <w:r w:rsidR="00462BA8">
        <w:t xml:space="preserve"> manifeste</w:t>
      </w:r>
      <w:r w:rsidR="00D9790E">
        <w:t xml:space="preserve"> rompt-il </w:t>
      </w:r>
      <w:r w:rsidR="00D266DB">
        <w:t xml:space="preserve">avec l’humanisme démocratique </w:t>
      </w:r>
      <w:r w:rsidR="00D9790E">
        <w:t xml:space="preserve">ou </w:t>
      </w:r>
      <w:r w:rsidR="00D266DB">
        <w:t xml:space="preserve">le </w:t>
      </w:r>
      <w:r w:rsidR="00D9790E">
        <w:t>prolonge-t-il</w:t>
      </w:r>
      <w:r w:rsidR="00E40211">
        <w:t> ?</w:t>
      </w:r>
      <w:r w:rsidR="00462BA8">
        <w:t xml:space="preserve"> </w:t>
      </w:r>
    </w:p>
    <w:p w14:paraId="0AA2668A" w14:textId="17BA3E5E" w:rsidR="007D5FD5" w:rsidRDefault="00CE2F52" w:rsidP="00451EF9">
      <w:pPr>
        <w:jc w:val="both"/>
      </w:pPr>
      <w:r>
        <w:t>À</w:t>
      </w:r>
      <w:r w:rsidR="00E12E87">
        <w:t xml:space="preserve"> la différence d</w:t>
      </w:r>
      <w:r w:rsidR="00D74FA9">
        <w:t xml:space="preserve">e </w:t>
      </w:r>
      <w:r w:rsidR="00D74FA9">
        <w:rPr>
          <w:i/>
          <w:iCs/>
        </w:rPr>
        <w:t>Le sens du politique</w:t>
      </w:r>
      <w:r w:rsidR="00D74FA9">
        <w:t>, le manifeste n’est pas un ouvrage personnel</w:t>
      </w:r>
      <w:r w:rsidR="00344D17">
        <w:t>. Il</w:t>
      </w:r>
      <w:r w:rsidR="003D6C0D">
        <w:t xml:space="preserve"> constitue la synthèse d</w:t>
      </w:r>
      <w:r w:rsidR="006F362B">
        <w:t xml:space="preserve">es résultats de </w:t>
      </w:r>
      <w:r w:rsidR="006F362B">
        <w:rPr>
          <w:i/>
          <w:iCs/>
        </w:rPr>
        <w:t>Il fera beau demain</w:t>
      </w:r>
      <w:r w:rsidR="006F362B">
        <w:t>, le</w:t>
      </w:r>
      <w:r w:rsidR="003D6C0D">
        <w:t xml:space="preserve"> processus participatif ayant conduit à la création de </w:t>
      </w:r>
      <w:r w:rsidR="003D6C0D">
        <w:rPr>
          <w:i/>
          <w:iCs/>
        </w:rPr>
        <w:t>Les Engagés</w:t>
      </w:r>
      <w:r w:rsidR="006F362B">
        <w:t xml:space="preserve">. </w:t>
      </w:r>
      <w:r w:rsidR="00291094">
        <w:t>Il m’est toutefois revenu d’assurer la cohérence d’ensemble du projet</w:t>
      </w:r>
      <w:r w:rsidR="006329EB">
        <w:t xml:space="preserve"> soumis à l’approbation des adhérents du nouveau mouvement</w:t>
      </w:r>
      <w:r w:rsidR="00387C9E">
        <w:t xml:space="preserve">. </w:t>
      </w:r>
      <w:r w:rsidR="006F4427">
        <w:t>N’étant pas schizophrène</w:t>
      </w:r>
      <w:r w:rsidR="003770DD">
        <w:t>,</w:t>
      </w:r>
      <w:r w:rsidR="009C30D7">
        <w:t xml:space="preserve"> j’ai naturellement essayé de faire droit </w:t>
      </w:r>
      <w:r w:rsidR="00CC5245">
        <w:t xml:space="preserve">aux positions qui ont émergé du processus participatif </w:t>
      </w:r>
      <w:r w:rsidR="00334127">
        <w:t xml:space="preserve">en demeurant cohérent avec l’intention philosophique </w:t>
      </w:r>
      <w:r w:rsidR="00885EAF">
        <w:t xml:space="preserve">de mes propres travaux. </w:t>
      </w:r>
      <w:r w:rsidR="00A81D5A">
        <w:t xml:space="preserve">Il y a incontestablement une rupture entre ce que </w:t>
      </w:r>
      <w:r w:rsidR="00A81D5A">
        <w:rPr>
          <w:i/>
          <w:iCs/>
        </w:rPr>
        <w:t xml:space="preserve">Les Engagés </w:t>
      </w:r>
      <w:r w:rsidR="001618DF">
        <w:t xml:space="preserve">ambitionnent de devenir, un mouvement politique participatif défendant un projet </w:t>
      </w:r>
      <w:r w:rsidR="00092190">
        <w:t xml:space="preserve">centriste </w:t>
      </w:r>
      <w:r w:rsidR="00B5224D">
        <w:t xml:space="preserve">de transformation </w:t>
      </w:r>
      <w:r w:rsidR="008F1C14">
        <w:t xml:space="preserve">– de « régénération » </w:t>
      </w:r>
      <w:r w:rsidR="00C54C10">
        <w:t xml:space="preserve">– </w:t>
      </w:r>
      <w:r w:rsidR="00B5224D">
        <w:t xml:space="preserve">d’un modèle de société jugé </w:t>
      </w:r>
      <w:r w:rsidR="00092190">
        <w:t>épuisé et porteur</w:t>
      </w:r>
      <w:r w:rsidR="00DB3AB3">
        <w:t xml:space="preserve"> </w:t>
      </w:r>
      <w:r w:rsidR="00092190">
        <w:t>de propositions prétendant à une certain radicalité,</w:t>
      </w:r>
      <w:r w:rsidR="001618DF">
        <w:t xml:space="preserve"> </w:t>
      </w:r>
      <w:r w:rsidR="00092190">
        <w:t xml:space="preserve">et ce que le </w:t>
      </w:r>
      <w:proofErr w:type="spellStart"/>
      <w:r w:rsidR="00092190">
        <w:t>cdH</w:t>
      </w:r>
      <w:proofErr w:type="spellEnd"/>
      <w:r w:rsidR="00092190">
        <w:t xml:space="preserve"> était devenu, un parti </w:t>
      </w:r>
      <w:r w:rsidR="0099283B">
        <w:t>spécialisé dans la gestion, doté d</w:t>
      </w:r>
      <w:r w:rsidR="00CB33A5">
        <w:t xml:space="preserve">’une base militante vieillissante et peu active, dont le projet politique avait perdu en lisibilité </w:t>
      </w:r>
      <w:r w:rsidR="008450FC">
        <w:t xml:space="preserve">au gré d’une participation au pouvoir dans des coalitions </w:t>
      </w:r>
      <w:r w:rsidR="00C70167">
        <w:t>au sein d</w:t>
      </w:r>
      <w:r w:rsidR="0033548C">
        <w:t>es</w:t>
      </w:r>
      <w:r w:rsidR="00C70167">
        <w:t>quel</w:t>
      </w:r>
      <w:r w:rsidR="0033548C">
        <w:t>les</w:t>
      </w:r>
      <w:r w:rsidR="00C70167">
        <w:t xml:space="preserve"> il était le parti minoritaire </w:t>
      </w:r>
      <w:r w:rsidR="0012501A">
        <w:t>sans</w:t>
      </w:r>
      <w:r w:rsidR="0033548C">
        <w:t xml:space="preserve"> jouer le jeu de la </w:t>
      </w:r>
      <w:r w:rsidR="0012501A">
        <w:t>« </w:t>
      </w:r>
      <w:proofErr w:type="spellStart"/>
      <w:r w:rsidR="0033548C">
        <w:t>partici</w:t>
      </w:r>
      <w:r w:rsidR="00443DAA">
        <w:t>p</w:t>
      </w:r>
      <w:proofErr w:type="spellEnd"/>
      <w:r w:rsidR="00EA012D">
        <w:t>-opposition</w:t>
      </w:r>
      <w:r w:rsidR="0012501A">
        <w:t> »</w:t>
      </w:r>
      <w:r w:rsidR="00EA012D">
        <w:t xml:space="preserve">. </w:t>
      </w:r>
      <w:r w:rsidR="00AD7DC8">
        <w:t xml:space="preserve">Sur le plan philosophique, </w:t>
      </w:r>
      <w:r w:rsidR="00AA30A6">
        <w:t xml:space="preserve">le </w:t>
      </w:r>
      <w:r w:rsidR="008F1C14">
        <w:t>m</w:t>
      </w:r>
      <w:r w:rsidR="00AA30A6">
        <w:t xml:space="preserve">anifeste s’inscrit davantage dans un rapport d’évolution </w:t>
      </w:r>
      <w:r w:rsidR="002212E8">
        <w:t xml:space="preserve">avec l’humanisme démocratique. </w:t>
      </w:r>
      <w:r w:rsidR="00BB3006">
        <w:t>Comme je vais l’expliciter, le</w:t>
      </w:r>
      <w:r w:rsidR="00E41387">
        <w:t xml:space="preserve"> projet </w:t>
      </w:r>
      <w:r w:rsidR="002212E8">
        <w:t xml:space="preserve">développé </w:t>
      </w:r>
      <w:r w:rsidR="008F1C14">
        <w:t xml:space="preserve">dans le manifeste </w:t>
      </w:r>
      <w:r w:rsidR="00E41387">
        <w:t xml:space="preserve">se démarque par une </w:t>
      </w:r>
      <w:r w:rsidR="004F12B2">
        <w:t>conscience environnementale plus forte</w:t>
      </w:r>
      <w:r w:rsidR="00F00832">
        <w:t>. Cela</w:t>
      </w:r>
      <w:r w:rsidR="004F12B2">
        <w:t xml:space="preserve"> se traduit par un humanisme </w:t>
      </w:r>
      <w:r w:rsidR="00AE251D">
        <w:t>davantage attentif à la vulnérabilité des êtres humains et à leur inscription dans le monde vivant</w:t>
      </w:r>
      <w:r w:rsidR="002F1EEB">
        <w:t xml:space="preserve"> (section 2</w:t>
      </w:r>
      <w:r w:rsidR="00163E8D">
        <w:t>)</w:t>
      </w:r>
      <w:r w:rsidR="00AE251D">
        <w:t>.</w:t>
      </w:r>
      <w:r w:rsidR="00163E8D">
        <w:t xml:space="preserve"> Il s’efforce de mener </w:t>
      </w:r>
      <w:r w:rsidR="00BA7AB5">
        <w:t xml:space="preserve">à son terme le processus de sécularisation déjà à l’œuvre dans les transformations précédentes </w:t>
      </w:r>
      <w:r w:rsidR="00BF12AD">
        <w:t xml:space="preserve">du parti (section </w:t>
      </w:r>
      <w:r w:rsidR="002B6823">
        <w:t>3</w:t>
      </w:r>
      <w:r w:rsidR="00BF12AD">
        <w:t>)</w:t>
      </w:r>
      <w:r w:rsidR="00503192">
        <w:t>.</w:t>
      </w:r>
      <w:r w:rsidR="00AC4637">
        <w:t xml:space="preserve"> </w:t>
      </w:r>
      <w:r w:rsidR="00642B5A">
        <w:t>C</w:t>
      </w:r>
      <w:r w:rsidR="00030B01">
        <w:t xml:space="preserve">e projet politique est marqué par une conception de l’économie où la libre-initiative doit être mise au service du bien-être social et d’une croissance qualitative (section </w:t>
      </w:r>
      <w:r w:rsidR="002B6823">
        <w:t>4</w:t>
      </w:r>
      <w:r w:rsidR="00030B01">
        <w:t>)</w:t>
      </w:r>
      <w:r w:rsidR="003A6E32">
        <w:t xml:space="preserve">, ainsi que par l’aspiration à </w:t>
      </w:r>
      <w:r w:rsidR="00642B5A">
        <w:t>une démocratie</w:t>
      </w:r>
      <w:r w:rsidR="003A6E32">
        <w:t xml:space="preserve"> délibérative et une société participative caractéristique </w:t>
      </w:r>
      <w:r w:rsidR="00451EF9">
        <w:t xml:space="preserve">d’un mouvement centriste et </w:t>
      </w:r>
      <w:r w:rsidR="009E3B6E">
        <w:t>interclassiste</w:t>
      </w:r>
      <w:r w:rsidR="00451EF9">
        <w:t xml:space="preserve"> (section </w:t>
      </w:r>
      <w:r w:rsidR="00FF103F">
        <w:t>5</w:t>
      </w:r>
      <w:r w:rsidR="00451EF9">
        <w:t>).</w:t>
      </w:r>
      <w:r w:rsidR="00B73D04">
        <w:t xml:space="preserve"> Il</w:t>
      </w:r>
      <w:r w:rsidR="00E155AB">
        <w:t xml:space="preserve"> peut être compris comme </w:t>
      </w:r>
      <w:r w:rsidR="00E62D9F">
        <w:t xml:space="preserve">une </w:t>
      </w:r>
      <w:r w:rsidR="0052788C">
        <w:t>version</w:t>
      </w:r>
      <w:r w:rsidR="00E62D9F">
        <w:t xml:space="preserve"> </w:t>
      </w:r>
      <w:r w:rsidR="0052788C">
        <w:t xml:space="preserve">personnaliste </w:t>
      </w:r>
      <w:r w:rsidR="00E62D9F">
        <w:t>d</w:t>
      </w:r>
      <w:r w:rsidR="0052788C">
        <w:t>u</w:t>
      </w:r>
      <w:r w:rsidR="00E62D9F">
        <w:t xml:space="preserve"> libéralisme social </w:t>
      </w:r>
      <w:r w:rsidR="0052788C">
        <w:t>(Conclusion).</w:t>
      </w:r>
    </w:p>
    <w:p w14:paraId="6A09B6F6" w14:textId="1328180B" w:rsidR="00452718" w:rsidRPr="002B2BAA" w:rsidRDefault="00216C49" w:rsidP="008F1C14">
      <w:pPr>
        <w:pStyle w:val="Paragraphedeliste"/>
        <w:numPr>
          <w:ilvl w:val="0"/>
          <w:numId w:val="3"/>
        </w:numPr>
        <w:jc w:val="both"/>
        <w:rPr>
          <w:b/>
          <w:bCs/>
        </w:rPr>
      </w:pPr>
      <w:r w:rsidRPr="002B2BAA">
        <w:rPr>
          <w:b/>
          <w:bCs/>
        </w:rPr>
        <w:t>Un humanisme régénéré</w:t>
      </w:r>
    </w:p>
    <w:p w14:paraId="7DDFFBB8" w14:textId="7B504BB5" w:rsidR="00DD6E88" w:rsidRDefault="00DD6E88" w:rsidP="00DD6E88">
      <w:pPr>
        <w:jc w:val="both"/>
      </w:pPr>
      <w:r>
        <w:t>L’adoption de « régénération » comme concept central du manifeste inscrit celui-ci dans un dialogue critique avec le projet humaniste moderne. S’il continue de se revendiquer de l’humanisme, il aspire à un humanisme régénéré, conscient des dérives technicistes et des désastres écologiques auxquels a pu conduire le phantasme cartésien de rendre les humains « maîtres et possesseurs de la nature ». Les premières pages de l’introduction appellent ainsi à un changement de perspective : « </w:t>
      </w:r>
      <w:r w:rsidRPr="00AE6280">
        <w:t>Faire advenir cette régénération demande que nous changions le</w:t>
      </w:r>
      <w:r>
        <w:t xml:space="preserve"> </w:t>
      </w:r>
      <w:r w:rsidRPr="00AE6280">
        <w:t>regard que nous posons sur nous-mêmes et sur la nature. Nous</w:t>
      </w:r>
      <w:r>
        <w:t xml:space="preserve"> </w:t>
      </w:r>
      <w:r w:rsidRPr="00AE6280">
        <w:t>pensions tout contrôler, maîtriser chaque chose. Nous prétendions</w:t>
      </w:r>
      <w:r>
        <w:t xml:space="preserve"> </w:t>
      </w:r>
      <w:r w:rsidRPr="00AE6280">
        <w:t>nous mettre à l’abri du moindre danger et garantir la protection</w:t>
      </w:r>
      <w:r>
        <w:t xml:space="preserve"> </w:t>
      </w:r>
      <w:r w:rsidRPr="00AE6280">
        <w:t>de chacune et chacun. Nous nous rêvions chênes, nous devons</w:t>
      </w:r>
      <w:r>
        <w:t xml:space="preserve"> </w:t>
      </w:r>
      <w:r w:rsidRPr="00AE6280">
        <w:t xml:space="preserve">nous accepter roseaux. </w:t>
      </w:r>
      <w:r w:rsidR="00CE2F52" w:rsidRPr="00AE6280">
        <w:t>À</w:t>
      </w:r>
      <w:r w:rsidRPr="00AE6280">
        <w:t xml:space="preserve"> l’illusion de la puissance, nous devons</w:t>
      </w:r>
      <w:r>
        <w:t xml:space="preserve"> </w:t>
      </w:r>
      <w:r w:rsidRPr="00AE6280">
        <w:t>substituer la force de celles et de ceux qui, conscients de leur</w:t>
      </w:r>
      <w:r>
        <w:t xml:space="preserve"> </w:t>
      </w:r>
      <w:r w:rsidRPr="00AE6280">
        <w:t>vulnérabilité, ont confiance dans leur capacité à traverser les</w:t>
      </w:r>
      <w:r>
        <w:t xml:space="preserve"> </w:t>
      </w:r>
      <w:r w:rsidRPr="00AE6280">
        <w:t>crises. Plutôt que de nous libérer d’une nature, d’inventer un monde</w:t>
      </w:r>
      <w:r>
        <w:t xml:space="preserve"> </w:t>
      </w:r>
      <w:r w:rsidRPr="00AE6280">
        <w:t>artificiel, d’aspirer à l’immortalité en reliant nos cerveaux à des</w:t>
      </w:r>
      <w:r>
        <w:t xml:space="preserve"> </w:t>
      </w:r>
      <w:r w:rsidRPr="00AE6280">
        <w:t>ordinateurs, de nous transformer en robot</w:t>
      </w:r>
      <w:r>
        <w:t>s</w:t>
      </w:r>
      <w:r w:rsidRPr="00AE6280">
        <w:t xml:space="preserve"> et d’oublier que notre</w:t>
      </w:r>
      <w:r>
        <w:t xml:space="preserve"> </w:t>
      </w:r>
      <w:r w:rsidRPr="00AE6280">
        <w:t xml:space="preserve">humanité </w:t>
      </w:r>
      <w:r w:rsidRPr="00AE6280">
        <w:lastRenderedPageBreak/>
        <w:t>réside d’abord dans notre capacité à nous émouvoir,</w:t>
      </w:r>
      <w:r>
        <w:t xml:space="preserve"> </w:t>
      </w:r>
      <w:r w:rsidRPr="00AE6280">
        <w:t>nous voulons redécouvrir notre appartenance à l’ensemble du</w:t>
      </w:r>
      <w:r>
        <w:t xml:space="preserve"> </w:t>
      </w:r>
      <w:r w:rsidRPr="00AE6280">
        <w:t>vivant et valoriser notre enracinement dans la nature</w:t>
      </w:r>
      <w:r>
        <w:t xml:space="preserve"> »</w:t>
      </w:r>
      <w:r>
        <w:rPr>
          <w:rStyle w:val="Appelnotedebasdep"/>
        </w:rPr>
        <w:footnoteReference w:id="5"/>
      </w:r>
      <w:r>
        <w:t xml:space="preserve">. </w:t>
      </w:r>
    </w:p>
    <w:p w14:paraId="14C8C8DE" w14:textId="7207376E" w:rsidR="00DD6E88" w:rsidRDefault="00DD6E88" w:rsidP="00DD6E88">
      <w:pPr>
        <w:jc w:val="both"/>
      </w:pPr>
      <w:r>
        <w:t xml:space="preserve">La prise de conscience que le défi climatique, et plus largement environnemental, impose une modification non seulement de notre rapport à la nature, mais aussi de notre compréhension de nous-mêmes, est certainement l’un des accents les plus forts du manifeste. On ne </w:t>
      </w:r>
      <w:r w:rsidR="006E0458">
        <w:t>solutionnera</w:t>
      </w:r>
      <w:r>
        <w:t xml:space="preserve"> pas la crise environnementale en considérant celle-ci comme un ensemble de problèmes pouvant être résolus grâce à des avancées scientifiques et techniques uniquement. C’est pourquoi le manifeste invite à concevoir la nature non comme un ensemble de ressources à exploiter et de forces mécaniques à maîtriser, mais comme une réalité vivante dont nous faisons partie et dont on doit prendre soin. La régénération est d’ailleurs cette capacité propre au vivant de se reconstituer, de s’auto-renouveler.   </w:t>
      </w:r>
    </w:p>
    <w:p w14:paraId="75CEAC69" w14:textId="09F5E2A6" w:rsidR="00DD6E88" w:rsidRDefault="00DD6E88" w:rsidP="00DD6E88">
      <w:pPr>
        <w:jc w:val="both"/>
      </w:pPr>
      <w:r>
        <w:t xml:space="preserve">La régénération de la société se fonde dès lors premièrement sur l’interdépendance des êtres humains entre eux mais aussi avec la nature. </w:t>
      </w:r>
      <w:r w:rsidR="00E85304">
        <w:t>Contrai</w:t>
      </w:r>
      <w:r w:rsidR="00F54173">
        <w:t>r</w:t>
      </w:r>
      <w:r w:rsidR="00E85304">
        <w:t xml:space="preserve">ement au libéralisme classique qui valorise </w:t>
      </w:r>
      <w:r>
        <w:t xml:space="preserve">l’indépendance individuelle </w:t>
      </w:r>
      <w:r w:rsidR="00F54173">
        <w:t>et qui estime que</w:t>
      </w:r>
      <w:r>
        <w:t xml:space="preserve"> chacun est libre de rechercher la maximisation de ses préférences personnelles tant que l’égale liberté des autres est respectée, la reconnaissance de cette interdépendance rend les êtres humains mutuellement responsables du bien-être commun et de la préservation du milieu naturel. Comme la pandémie nous l’a rappelée mais aussi comme l’illustre le réchauffement climatique, faire société ne se limite pas à assurer une juste coexistence des libertés individuelles. Cela requiert aussi d’agir en commun afin de préserver les conditions d’une vie de qualité. Les rapports sociaux ne sont pas seulement des rapports de concurrence pour des ressources rares, ni même des rapports de collaboration mutuellement intéressés, mais aussi des rapports d’association afin d’atteindre des objectifs communs. La formule popularisée lors du confinement « prendre soin de soi et des autres » – ainsi que de la nature, précise le manifeste –, n’est pas un simple slogan, mais un véritable projet de société</w:t>
      </w:r>
      <w:r w:rsidR="000E38D9">
        <w:rPr>
          <w:rStyle w:val="Appelnotedebasdep"/>
        </w:rPr>
        <w:footnoteReference w:id="6"/>
      </w:r>
      <w:r w:rsidR="000E38D9">
        <w:t xml:space="preserve">. </w:t>
      </w:r>
      <w:r>
        <w:t xml:space="preserve">L’attention au vivant s’impose dès lors comme la première priorité du nouveau mouvement et explique l’importance accordée tant aux enjeux environnementaux qu’aux questions de santé. Il </w:t>
      </w:r>
      <w:r w:rsidR="00EE545B">
        <w:t>s’agit</w:t>
      </w:r>
      <w:r>
        <w:t xml:space="preserve"> de rendre droit aux fragilités des êtres humains et de reconnaître que la vulnérabilité est intrinsèque au vivant, comme le révèle de manière paradigmatique le vieillissement et la perte d’autonomie progressive qu’il signifie. </w:t>
      </w:r>
    </w:p>
    <w:p w14:paraId="14B92817" w14:textId="76CA3D2F" w:rsidR="00DD6E88" w:rsidRDefault="00DD6E88" w:rsidP="00DD6E88">
      <w:pPr>
        <w:jc w:val="both"/>
      </w:pPr>
      <w:r>
        <w:t xml:space="preserve">Le manifeste témoigne </w:t>
      </w:r>
      <w:r w:rsidR="00216C49">
        <w:t>donc</w:t>
      </w:r>
      <w:r>
        <w:t xml:space="preserve"> d’une volonté de réappropriation du projet moderne d’autonomie individuelle et collective qui a trop souvent été confondu, en particulier depuis la révolution industrielle, avec celui de maîtrise rationnelle de la nature</w:t>
      </w:r>
      <w:r>
        <w:rPr>
          <w:rStyle w:val="Appelnotedebasdep"/>
        </w:rPr>
        <w:footnoteReference w:id="7"/>
      </w:r>
      <w:r>
        <w:t xml:space="preserve"> mais aussi de l’humain au risque d’oublier que, si nous sommes des êtres doués de raison, nous sommes également des êtres finis, incarnés dans des corps et appartenant au vivant. </w:t>
      </w:r>
      <w:r w:rsidR="00CE2F52" w:rsidRPr="00CE2F52">
        <w:t>Il s’agit de prendre conscience de l’inachèvement de la raison, de percevoir qu’elle n’est pas un outil</w:t>
      </w:r>
      <w:r w:rsidR="00CE2F52">
        <w:t xml:space="preserve">, </w:t>
      </w:r>
      <w:r>
        <w:t>de prendre conscience de son inachèvement, de percevoir aussi qu’elle n’est pas un outil de domination et d’exploitation, mais de développement et de culture. Loin de voir dans la nature une norme à laquelle il faudrait se conformer, le manifeste invite implicitement à dépasser l’opposition nature-culture au profit d’une triade nature-culture-facture. Alors que la « facture » – comme dans « manufacture » – renvoie à une logique de fabrication d’un monde artificiel appelé à se substituer au monde naturel et décrirait une forme de dérive contemporaine du projet moderne, la culture correspond au travail de la nature afin de favoriser le développement en son sein de ce qu’elle a de meilleur. Il n’est d’ailleurs pas anodin que le même terme désigne le travail de la terre et celui de l’esprit.</w:t>
      </w:r>
    </w:p>
    <w:p w14:paraId="494B23EB" w14:textId="409E735D" w:rsidR="008C0A21" w:rsidRDefault="00DD6E88" w:rsidP="00DD6E88">
      <w:pPr>
        <w:jc w:val="both"/>
      </w:pPr>
      <w:r>
        <w:lastRenderedPageBreak/>
        <w:t xml:space="preserve">La régénération de la culture souhaitée dans le manifeste dépasse donc largement celle des arts et lettres pour renouer avec l’idéal humaniste d’un épanouissement du vivant éclairé par les lumières d’une raison appelée à évaluer, malgré son irréductible faillibilité, ce qui en chacun de nous comme dans la nature mérite ou non d’être cultivé. L’éducation s’impose comme une valeur centrale dès lors qu’elle donne accès aux ressources nécessaires au développement personnel mais aussi à une socialisation partagée autour de valeurs communes qui ne sont jamais définitivement données, mais toujours en perpétuelle évolution et discussion. Le manifeste esquisse par conséquent une troisième voie entre un conservatisme </w:t>
      </w:r>
      <w:proofErr w:type="spellStart"/>
      <w:r>
        <w:t>communautarien</w:t>
      </w:r>
      <w:proofErr w:type="spellEnd"/>
      <w:r>
        <w:t xml:space="preserve"> entendant fonder la société sur un héritage culturel devant être préservé et un multiculturalisme particulariste se contentant de prendre acte de la diversité des cultures au sein de la société et de vouloir en assurer une coexistence pacifique. Cette troisième voie est celle d’un universalisme interculturel s’efforçant de mettre les cultures en dialogue afin de favoriser un enrichissement mutuel dans une recherche collective d’un projet commun autour duquel faire société.</w:t>
      </w:r>
    </w:p>
    <w:p w14:paraId="42143833" w14:textId="6BD20325" w:rsidR="008C0A21" w:rsidRPr="002B2BAA" w:rsidRDefault="00AB6223" w:rsidP="008F1C14">
      <w:pPr>
        <w:pStyle w:val="Paragraphedeliste"/>
        <w:numPr>
          <w:ilvl w:val="0"/>
          <w:numId w:val="3"/>
        </w:numPr>
        <w:jc w:val="both"/>
        <w:rPr>
          <w:b/>
          <w:bCs/>
        </w:rPr>
      </w:pPr>
      <w:r w:rsidRPr="002B2BAA">
        <w:rPr>
          <w:b/>
          <w:bCs/>
        </w:rPr>
        <w:t>Un personnalisme sécularisé</w:t>
      </w:r>
    </w:p>
    <w:p w14:paraId="15083999" w14:textId="11BE57FA" w:rsidR="00AB6223" w:rsidRDefault="00D269CC" w:rsidP="00AB6223">
      <w:pPr>
        <w:jc w:val="both"/>
        <w:rPr>
          <w:lang w:val="fr-FR"/>
        </w:rPr>
      </w:pPr>
      <w:r>
        <w:t>Ce r</w:t>
      </w:r>
      <w:r w:rsidR="00A71EFF">
        <w:t>efus du conservatisme</w:t>
      </w:r>
      <w:r>
        <w:t xml:space="preserve"> inscrit l</w:t>
      </w:r>
      <w:r w:rsidR="00AB6223">
        <w:rPr>
          <w:lang w:val="fr-FR"/>
        </w:rPr>
        <w:t xml:space="preserve">e </w:t>
      </w:r>
      <w:r w:rsidR="00AB6223" w:rsidRPr="00F32B43">
        <w:rPr>
          <w:i/>
          <w:iCs/>
          <w:lang w:val="fr-FR"/>
        </w:rPr>
        <w:t>Manifeste pour une société régénérée</w:t>
      </w:r>
      <w:r w:rsidR="00AB6223">
        <w:rPr>
          <w:lang w:val="fr-FR"/>
        </w:rPr>
        <w:t xml:space="preserve"> et la transformation du </w:t>
      </w:r>
      <w:proofErr w:type="spellStart"/>
      <w:r w:rsidR="00AB6223">
        <w:rPr>
          <w:lang w:val="fr-FR"/>
        </w:rPr>
        <w:t>cdH</w:t>
      </w:r>
      <w:proofErr w:type="spellEnd"/>
      <w:r w:rsidR="00AB6223">
        <w:rPr>
          <w:lang w:val="fr-FR"/>
        </w:rPr>
        <w:t xml:space="preserve"> en </w:t>
      </w:r>
      <w:r w:rsidR="00AB6223">
        <w:rPr>
          <w:i/>
          <w:iCs/>
          <w:lang w:val="fr-FR"/>
        </w:rPr>
        <w:t>Les Engagés</w:t>
      </w:r>
      <w:r w:rsidR="00AB6223">
        <w:rPr>
          <w:lang w:val="fr-FR"/>
        </w:rPr>
        <w:t xml:space="preserve"> dans l</w:t>
      </w:r>
      <w:r w:rsidR="00BB1B11">
        <w:rPr>
          <w:lang w:val="fr-FR"/>
        </w:rPr>
        <w:t>e prolongement de l</w:t>
      </w:r>
      <w:r w:rsidR="00AB6223">
        <w:rPr>
          <w:lang w:val="fr-FR"/>
        </w:rPr>
        <w:t xml:space="preserve">a longue histoire de la sécularisation de la </w:t>
      </w:r>
      <w:proofErr w:type="spellStart"/>
      <w:r w:rsidR="00AB6223">
        <w:rPr>
          <w:lang w:val="fr-FR"/>
        </w:rPr>
        <w:t>démocratie-chrétienne</w:t>
      </w:r>
      <w:proofErr w:type="spellEnd"/>
      <w:r w:rsidR="00AB6223">
        <w:rPr>
          <w:lang w:val="fr-FR"/>
        </w:rPr>
        <w:t>. C</w:t>
      </w:r>
      <w:proofErr w:type="spellStart"/>
      <w:r w:rsidR="00AB6223">
        <w:t>elle-ci</w:t>
      </w:r>
      <w:proofErr w:type="spellEnd"/>
      <w:r w:rsidR="00AB6223">
        <w:t xml:space="preserve">, comme le souligne Wouter </w:t>
      </w:r>
      <w:proofErr w:type="spellStart"/>
      <w:r w:rsidR="00AB6223">
        <w:t>Beke</w:t>
      </w:r>
      <w:proofErr w:type="spellEnd"/>
      <w:r w:rsidR="00AB6223">
        <w:t>, « s’est émancipée du conservatisme et s’est construite comme force et acteur politiques autonomes »</w:t>
      </w:r>
      <w:r w:rsidR="00AB6223">
        <w:rPr>
          <w:rStyle w:val="Appelnotedebasdep"/>
        </w:rPr>
        <w:footnoteReference w:id="8"/>
      </w:r>
      <w:r w:rsidR="00AB6223">
        <w:t xml:space="preserve"> en vue de défendre les intérêts de l’</w:t>
      </w:r>
      <w:proofErr w:type="spellStart"/>
      <w:r w:rsidR="00AB6223">
        <w:t>Eglise</w:t>
      </w:r>
      <w:proofErr w:type="spellEnd"/>
      <w:r w:rsidR="00AB6223">
        <w:t xml:space="preserve"> avant de trouver dans le personnalisme une idéologie spécifique. Au lendemain de la seconde guerre mondiale, la disparition du Bloc catholique et la création du Parti social-chrétien témoignaient déjà de la volonté de s’affranchir d’une forme de subordination à l’</w:t>
      </w:r>
      <w:proofErr w:type="spellStart"/>
      <w:r w:rsidR="00AB6223">
        <w:t>Eglise</w:t>
      </w:r>
      <w:proofErr w:type="spellEnd"/>
      <w:r w:rsidR="00AB6223">
        <w:t xml:space="preserve"> catholique pour privilégier la primauté de la personne humaine et la promotion d’une troisième voie permettant de dépasser l’opposition entre socialisme et libéralisme, ce qui a conduit Pascal </w:t>
      </w:r>
      <w:proofErr w:type="spellStart"/>
      <w:r w:rsidR="00AB6223">
        <w:t>Delwit</w:t>
      </w:r>
      <w:proofErr w:type="spellEnd"/>
      <w:r w:rsidR="00AB6223">
        <w:t xml:space="preserve"> à écrire que « le nouveau parti qui voit le jour à la fin de l’année 1945 est un parti non confessionnel dont la référence est désormais le personnalisme »</w:t>
      </w:r>
      <w:r w:rsidR="00AB6223">
        <w:rPr>
          <w:rStyle w:val="Appelnotedebasdep"/>
        </w:rPr>
        <w:footnoteReference w:id="9"/>
      </w:r>
      <w:r w:rsidR="00AB6223">
        <w:t xml:space="preserve">. Un demi-siècle plus tard, la naissance du </w:t>
      </w:r>
      <w:r w:rsidR="00AB6223" w:rsidRPr="00CD5995">
        <w:rPr>
          <w:i/>
          <w:iCs/>
        </w:rPr>
        <w:t>Centre démocrate humaniste</w:t>
      </w:r>
      <w:r w:rsidR="00AB6223">
        <w:t xml:space="preserve"> marque l’abandon de la référence chrétienne et une volonté d’ouverture aux personnes de toutes les convictions philosophiques, tout en présentant, à l’article premier de ses statuts,</w:t>
      </w:r>
      <w:r w:rsidR="00AB6223" w:rsidRPr="00D211C9">
        <w:t xml:space="preserve"> </w:t>
      </w:r>
      <w:r w:rsidR="00AB6223">
        <w:t>l’humanisme démocratique comme « </w:t>
      </w:r>
      <w:r w:rsidR="00AB6223" w:rsidRPr="00D211C9">
        <w:rPr>
          <w:lang w:val="fr-FR"/>
        </w:rPr>
        <w:t>inspiré du courant</w:t>
      </w:r>
      <w:r w:rsidR="00AB6223">
        <w:rPr>
          <w:lang w:val="fr-FR"/>
        </w:rPr>
        <w:t xml:space="preserve"> </w:t>
      </w:r>
      <w:r w:rsidR="00AB6223" w:rsidRPr="00D211C9">
        <w:rPr>
          <w:lang w:val="fr-FR"/>
        </w:rPr>
        <w:t>personnaliste hérité notamment de l’humanisme chrétien</w:t>
      </w:r>
      <w:r w:rsidR="00AB6223">
        <w:rPr>
          <w:lang w:val="fr-FR"/>
        </w:rPr>
        <w:t xml:space="preserve"> ». En 2022, les statuts de </w:t>
      </w:r>
      <w:r w:rsidR="00AB6223">
        <w:rPr>
          <w:i/>
          <w:iCs/>
          <w:lang w:val="fr-FR"/>
        </w:rPr>
        <w:t>Les Engagés</w:t>
      </w:r>
      <w:r w:rsidR="00AB6223">
        <w:rPr>
          <w:lang w:val="fr-FR"/>
        </w:rPr>
        <w:t xml:space="preserve"> font eux l’impasse sur toute référence au christianisme, à la </w:t>
      </w:r>
      <w:proofErr w:type="spellStart"/>
      <w:r w:rsidR="00AB6223">
        <w:rPr>
          <w:lang w:val="fr-FR"/>
        </w:rPr>
        <w:t>démocratie-chrétienne</w:t>
      </w:r>
      <w:proofErr w:type="spellEnd"/>
      <w:r w:rsidR="00AB6223">
        <w:rPr>
          <w:lang w:val="fr-FR"/>
        </w:rPr>
        <w:t xml:space="preserve"> ou au personnalisme. </w:t>
      </w:r>
    </w:p>
    <w:p w14:paraId="0578703B" w14:textId="6D10AD0B" w:rsidR="00AB6223" w:rsidRDefault="00AB6223" w:rsidP="00AB6223">
      <w:pPr>
        <w:jc w:val="both"/>
        <w:rPr>
          <w:lang w:val="fr-FR"/>
        </w:rPr>
      </w:pPr>
      <w:r>
        <w:rPr>
          <w:lang w:val="fr-FR"/>
        </w:rPr>
        <w:t xml:space="preserve">Cet abandon a suscité de nombreuses incompréhensions dans les milieux chrétiens demeurés proches du </w:t>
      </w:r>
      <w:proofErr w:type="spellStart"/>
      <w:r>
        <w:rPr>
          <w:lang w:val="fr-FR"/>
        </w:rPr>
        <w:t>cdH</w:t>
      </w:r>
      <w:proofErr w:type="spellEnd"/>
      <w:r>
        <w:rPr>
          <w:lang w:val="fr-FR"/>
        </w:rPr>
        <w:t>. Comme j’ai pu le préciser ailleurs, il s’expliquait par la volonté que le nouveau mouvement ne puisse pas « </w:t>
      </w:r>
      <w:r>
        <w:t xml:space="preserve">être compris comme un mouvement essentiellement de chrétiens, aussi ouvert soit-il aux personnes d’autres convictions, mais où celles-ci resteraient en quelque sorte des invités », ainsi que par la conviction que des principes au cœur du projet personnaliste comme « l’attention à la personne et à l’environnement, le souhait de permettre à chacun de donner le meilleur de lui-même, la conviction que liberté et responsabilité vont de pair, l’importance de la participation citoyenne et de l’engagement associatif, le principe de subsidiarité et la défense de la concertation sociale ou encore la reconnaissance que l’interrogation sur le sens de l’existence est essentielle à notre </w:t>
      </w:r>
      <w:r>
        <w:lastRenderedPageBreak/>
        <w:t>épanouissement »</w:t>
      </w:r>
      <w:r>
        <w:rPr>
          <w:rStyle w:val="Appelnotedebasdep"/>
        </w:rPr>
        <w:footnoteReference w:id="10"/>
      </w:r>
      <w:r>
        <w:t xml:space="preserve"> pouvaient être partagés par des citoyens n’ayant aucune proximité avec le christianisme. </w:t>
      </w:r>
      <w:r>
        <w:rPr>
          <w:lang w:val="fr-FR"/>
        </w:rPr>
        <w:t xml:space="preserve">Il s’inscrivait ainsi dans le prolongement d’un mouvement bien plus ancien qui a mené à l’émergence progressive d’un personnalisme sécularisé qui peut trouver des références dans toute l’histoire de la philosophie d’Aristote à Ricoeur, Arendt ou Habermas. Il s’agit en quelque sorte de dépasser l’opposition parfois superficielle entre la philosophie chrétienne et l’humanisme laïque en prenant conscience qu’ils trouvent des sources communes dans la philosophie grecque. </w:t>
      </w:r>
    </w:p>
    <w:p w14:paraId="78763151" w14:textId="2B267903" w:rsidR="00AB6223" w:rsidRDefault="00AB6223" w:rsidP="00AB6223">
      <w:pPr>
        <w:jc w:val="both"/>
        <w:rPr>
          <w:lang w:val="fr-FR"/>
        </w:rPr>
      </w:pPr>
      <w:r>
        <w:rPr>
          <w:lang w:val="fr-FR"/>
        </w:rPr>
        <w:t>Cette sécularisation de l’anthropologie personnaliste implique néanmoins un déplacement majeur sur l’axe diachronique. Il ne peut plus s’agir de se référer à une vérité déjà donnée et à des valeurs partagées par une communauté de croyants. La question du sens demeure centrale, mais elle est désormais irréductiblement ouverte. Elle est un horizon vers lequel tendre, un avenir à construire, non un héritage à conserver. Similairement, les valeurs partagées seront celles qu’une communauté politique souhaitera se donner en vue de faire société ensemble</w:t>
      </w:r>
      <w:r w:rsidR="00D95C85">
        <w:rPr>
          <w:lang w:val="fr-FR"/>
        </w:rPr>
        <w:t>, valeurs qu’elle ne cherchera pas à imposer à ceux qui ne se recon</w:t>
      </w:r>
      <w:r w:rsidR="00753825">
        <w:rPr>
          <w:lang w:val="fr-FR"/>
        </w:rPr>
        <w:t>n</w:t>
      </w:r>
      <w:r w:rsidR="00D95C85">
        <w:rPr>
          <w:lang w:val="fr-FR"/>
        </w:rPr>
        <w:t>aîtront pas en e</w:t>
      </w:r>
      <w:r w:rsidR="00753825">
        <w:rPr>
          <w:lang w:val="fr-FR"/>
        </w:rPr>
        <w:t xml:space="preserve">lles et </w:t>
      </w:r>
      <w:r w:rsidR="00D95C85">
        <w:rPr>
          <w:lang w:val="fr-FR"/>
        </w:rPr>
        <w:t>q</w:t>
      </w:r>
      <w:r>
        <w:rPr>
          <w:lang w:val="fr-FR"/>
        </w:rPr>
        <w:t xml:space="preserve">u’elle réinterrogera constamment. Dans une société plurielle, vouloir unir autour d’un passé commun ne peut qu’exclure les citoyens </w:t>
      </w:r>
      <w:r w:rsidRPr="008A5411">
        <w:rPr>
          <w:lang w:val="fr-FR"/>
        </w:rPr>
        <w:t>dont l’héritage est différent.</w:t>
      </w:r>
      <w:r w:rsidRPr="003F56E2">
        <w:rPr>
          <w:lang w:val="fr-FR"/>
        </w:rPr>
        <w:t xml:space="preserve"> Seul </w:t>
      </w:r>
      <w:r w:rsidRPr="008A5411">
        <w:rPr>
          <w:lang w:val="fr-FR"/>
        </w:rPr>
        <w:t xml:space="preserve">un projet nourri de la diversité des histoires de celles et ceux qui </w:t>
      </w:r>
      <w:r w:rsidRPr="003F56E2">
        <w:rPr>
          <w:lang w:val="fr-FR"/>
        </w:rPr>
        <w:t>composent la communauté politique peut être suffisamment inclusif pour rassembler et favoriser la cohésion sociale.</w:t>
      </w:r>
    </w:p>
    <w:p w14:paraId="44950F5D" w14:textId="66EAFD25" w:rsidR="00216C49" w:rsidRPr="002B2BAA" w:rsidRDefault="00216C49" w:rsidP="008F1C14">
      <w:pPr>
        <w:pStyle w:val="Paragraphedeliste"/>
        <w:numPr>
          <w:ilvl w:val="0"/>
          <w:numId w:val="3"/>
        </w:numPr>
        <w:jc w:val="both"/>
        <w:rPr>
          <w:b/>
          <w:bCs/>
        </w:rPr>
      </w:pPr>
      <w:r w:rsidRPr="002B2BAA">
        <w:rPr>
          <w:b/>
          <w:bCs/>
        </w:rPr>
        <w:t>« Mieux plutôt que plus</w:t>
      </w:r>
      <w:r w:rsidR="00CB0747">
        <w:rPr>
          <w:b/>
          <w:bCs/>
        </w:rPr>
        <w:t> »</w:t>
      </w:r>
      <w:r w:rsidRPr="002B2BAA">
        <w:rPr>
          <w:b/>
          <w:bCs/>
        </w:rPr>
        <w:t> </w:t>
      </w:r>
    </w:p>
    <w:p w14:paraId="726D5D71" w14:textId="66145C1C" w:rsidR="00284F3E" w:rsidRDefault="005B678A" w:rsidP="00284F3E">
      <w:pPr>
        <w:jc w:val="both"/>
      </w:pPr>
      <w:r>
        <w:t xml:space="preserve">Comme le libéralisme social, le personnalisme démocrate-chrétien se concevait comme une troisième voie entre capitalisme et collectivisme. </w:t>
      </w:r>
      <w:r w:rsidR="00BD5BBD">
        <w:t xml:space="preserve">La vision de l’économie </w:t>
      </w:r>
      <w:r w:rsidR="00912075">
        <w:t xml:space="preserve">développée dans le manifeste, </w:t>
      </w:r>
      <w:r w:rsidR="00482E6F">
        <w:t>ou</w:t>
      </w:r>
      <w:r w:rsidR="00912075">
        <w:t xml:space="preserve"> antérieurement celle de l’humanisme démocratique, reste </w:t>
      </w:r>
      <w:r w:rsidR="00AD6156">
        <w:t>marquée par l’aspiration à une écono</w:t>
      </w:r>
      <w:r w:rsidR="00CE501B">
        <w:t>mie de marché au service du bien-être</w:t>
      </w:r>
      <w:r w:rsidR="00603D62">
        <w:t> : favorable à la propriété privée et à la li</w:t>
      </w:r>
      <w:r w:rsidR="001A619E">
        <w:t xml:space="preserve">bre-initiative mais consciente des imperfections du marché et que toute activité économique n’est pas positive en soi. </w:t>
      </w:r>
      <w:r w:rsidR="00E81464">
        <w:t xml:space="preserve">Non seulement le marché </w:t>
      </w:r>
      <w:r w:rsidR="00E979A2">
        <w:t xml:space="preserve">laissé à lui-même favorise la concentration du capital </w:t>
      </w:r>
      <w:r w:rsidR="00664616">
        <w:t xml:space="preserve">au sein d’un nombre réduit d’entreprises dominantes, plutôt que la concurrence entre une grande diversité de petits producteurs, mais </w:t>
      </w:r>
      <w:r w:rsidR="00B45776">
        <w:t xml:space="preserve">il n’intègre pas non plus les effets indirects sur la collectivité des échanges privés, </w:t>
      </w:r>
      <w:r w:rsidR="001F2E1C">
        <w:t xml:space="preserve">dont notamment la pollution. </w:t>
      </w:r>
      <w:r w:rsidR="00C079D2">
        <w:t xml:space="preserve">Le développement économique doit ainsi </w:t>
      </w:r>
      <w:r w:rsidR="00F62AD9">
        <w:t xml:space="preserve">être subordonné au </w:t>
      </w:r>
      <w:r w:rsidR="006631F2">
        <w:t>respect des limites environnementales et subordonné à sa véritable finalité, le bien-être social.</w:t>
      </w:r>
    </w:p>
    <w:p w14:paraId="27987D39" w14:textId="02800883" w:rsidR="00DD6E88" w:rsidRDefault="000A4EF1" w:rsidP="00DD6E88">
      <w:pPr>
        <w:jc w:val="both"/>
      </w:pPr>
      <w:r>
        <w:t>Concevoir</w:t>
      </w:r>
      <w:r w:rsidR="00C8541B">
        <w:t>, comme le propose le manifeste,</w:t>
      </w:r>
      <w:r>
        <w:t xml:space="preserve"> la nature comme une réalité vivante qu’il importe de cultiver plutôt que comme un ensemble de ressources susceptibles d’être exploitées</w:t>
      </w:r>
      <w:r w:rsidR="001737A2">
        <w:t xml:space="preserve"> </w:t>
      </w:r>
      <w:r>
        <w:t xml:space="preserve">bouscule la compréhension de la manière dont </w:t>
      </w:r>
      <w:r w:rsidR="001737A2">
        <w:t>l’économie</w:t>
      </w:r>
      <w:r>
        <w:t xml:space="preserve"> peut c</w:t>
      </w:r>
      <w:r w:rsidR="001737A2">
        <w:t>ontribuer à la</w:t>
      </w:r>
      <w:r>
        <w:t xml:space="preserve"> prospérité collective</w:t>
      </w:r>
      <w:r w:rsidR="004151EC">
        <w:t>.</w:t>
      </w:r>
      <w:r>
        <w:t xml:space="preserve"> </w:t>
      </w:r>
      <w:r w:rsidR="00DD6E88">
        <w:t xml:space="preserve">Dans un monde fini, s’il n’est pas possible de compenser l’épuisement des ressources naturelles en leur substituant un capital technologique, une croissance infinie n’a aucun sens. Le concept même de régénération et l’insistance sur la nécessité de prendre soin de la nature impliquent d’inscrire le développement économique dans les capacités de renouvellement de la planète, comme l’illustre la référence à la théorie du donut de Kate </w:t>
      </w:r>
      <w:proofErr w:type="spellStart"/>
      <w:r w:rsidR="00DD6E88">
        <w:t>Raworth</w:t>
      </w:r>
      <w:proofErr w:type="spellEnd"/>
      <w:r w:rsidR="00DD6E88">
        <w:rPr>
          <w:rStyle w:val="Appelnotedebasdep"/>
        </w:rPr>
        <w:footnoteReference w:id="11"/>
      </w:r>
      <w:r w:rsidR="00DD6E88">
        <w:t xml:space="preserve">. En appeler à la décroissance ne peut cependant que prêter au malentendu tant l’enjeu n’est pas simplement de continuer à se comporter de la même manière mais au ralenti. La question est bien davantage celle du contenu de la croissance. Il s’agit plus précisément de sortir du paradigme d’une croissance purement quantitative au profit d’une </w:t>
      </w:r>
      <w:r w:rsidR="00DD6E88">
        <w:lastRenderedPageBreak/>
        <w:t>conception plus qualitative de celle-ci. Le manifeste invite ainsi à repenser la manière dont nous appréhendons le progrès en privilégiant « mieux plutôt que plus »</w:t>
      </w:r>
      <w:r w:rsidR="00DD6E88">
        <w:rPr>
          <w:rStyle w:val="Appelnotedebasdep"/>
        </w:rPr>
        <w:footnoteReference w:id="12"/>
      </w:r>
      <w:r w:rsidR="00DD6E88">
        <w:t>.</w:t>
      </w:r>
    </w:p>
    <w:p w14:paraId="04C1F3A0" w14:textId="3BBBD226" w:rsidR="00216C49" w:rsidRDefault="00DD6E88" w:rsidP="00216C49">
      <w:pPr>
        <w:jc w:val="both"/>
      </w:pPr>
      <w:r>
        <w:t>Le déplacement est plus significatif que ce qu’un simple slogan peut le suggérer. Il ne s’agit pas seulement de rendre la croissance soutenable en imposant des normes de durabilité plus contraignantes et en prenant conscience</w:t>
      </w:r>
      <w:r w:rsidRPr="005C23DA">
        <w:t xml:space="preserve"> </w:t>
      </w:r>
      <w:r>
        <w:t xml:space="preserve">que toute interaction économique a un impact sur les capacités de régénération de la nature. L’ « internalisation des externalités », pour l’exprimer en termes économiques, est certes indispensable et requiert la fixation d’une valeur monétaire à cet impact, via un système de taxes ou de quotas, afin d’inciter </w:t>
      </w:r>
      <w:r w:rsidR="00F74E36">
        <w:t>les agents économiques</w:t>
      </w:r>
      <w:r>
        <w:t xml:space="preserve"> à prendre en compte les conséquences collectives de leurs activités économiques. Des premiers pas en ce sens sont faits pour les émissions carbone. Mais, selon le manifeste, une telle approche doit être complétée par une responsabilisation de l’ensemble des agents économiques, notamment des entreprises dont la finalité première doit être la production d’un bien et d’un service contribuant positivement au bien-être collectif, de sorte que la recherche du profit, aussi légitime soit-elle, ne doit pas se faire au détriment de cette finalité. On retrouve ici l’idée selon laquelle l’interdépendance sociale requiert de chaque personne qu’elle prenne part à un projet collectif qui ne se limite pas à la production et la répartition d’un ensemble sans cesse plus grand de ressources, mais qui s’efforce de favoriser une vie de qualité. </w:t>
      </w:r>
      <w:r w:rsidR="00446A1B">
        <w:t>L’appel à une croissance qualitative</w:t>
      </w:r>
      <w:r w:rsidR="00531ECA">
        <w:t xml:space="preserve"> invite aussi à s’interroger sur le rôle du marketing et de la publicité </w:t>
      </w:r>
      <w:r w:rsidR="00675194">
        <w:t xml:space="preserve">sur la formation de nos préférences. </w:t>
      </w:r>
      <w:r w:rsidR="00B9439D">
        <w:t xml:space="preserve">La création artificielle de désirs </w:t>
      </w:r>
      <w:r w:rsidR="00395252">
        <w:t xml:space="preserve">afin de nous pousser à la consommation n’est pas source de </w:t>
      </w:r>
      <w:r w:rsidR="00446A1B">
        <w:t>bien-être et de satisfaction, mais d’envie et de frustration.</w:t>
      </w:r>
      <w:r w:rsidR="00B93305">
        <w:t xml:space="preserve"> </w:t>
      </w:r>
      <w:r w:rsidR="0081083C">
        <w:t xml:space="preserve">Mettre </w:t>
      </w:r>
      <w:r w:rsidR="00C34310">
        <w:t>des freins</w:t>
      </w:r>
      <w:r w:rsidR="0081083C">
        <w:t xml:space="preserve"> au consumérisme </w:t>
      </w:r>
      <w:r w:rsidR="00BE14DB">
        <w:t>frénétique ne signifierait pas nous condamner à la frugalité</w:t>
      </w:r>
      <w:r w:rsidR="008D2EF3">
        <w:t>, mais rendre au consommateur la maîtrise de ses désirs</w:t>
      </w:r>
      <w:r w:rsidR="00BE14DB">
        <w:t xml:space="preserve">. </w:t>
      </w:r>
      <w:r w:rsidR="00446A1B">
        <w:t xml:space="preserve"> </w:t>
      </w:r>
    </w:p>
    <w:p w14:paraId="09192FB2" w14:textId="31057D4D" w:rsidR="00DD6E88" w:rsidRDefault="00DD6E88" w:rsidP="00DD6E88">
      <w:pPr>
        <w:jc w:val="both"/>
      </w:pPr>
      <w:r>
        <w:t>L’</w:t>
      </w:r>
      <w:proofErr w:type="spellStart"/>
      <w:r>
        <w:t>Etat</w:t>
      </w:r>
      <w:proofErr w:type="spellEnd"/>
      <w:r>
        <w:t xml:space="preserve"> a également un rôle central à jouer afin de favoriser une croissance qualitative. Loin d’être une question de simple technique comptable, l’indicateur choisi pour mesurer la croissance détermine la nature de celle-ci. Le manifeste plaide ainsi logiquement pour l’adoption d’indicateurs alternatifs au seul PIB. L’</w:t>
      </w:r>
      <w:proofErr w:type="spellStart"/>
      <w:r>
        <w:t>Etat</w:t>
      </w:r>
      <w:proofErr w:type="spellEnd"/>
      <w:r>
        <w:t xml:space="preserve"> est aussi appelé à jouer un rôle déterminant afin de dépasser la tendance du marché à privilégier le court-terme et soutenir les investissements nécessaires, notamment, à une transition énergétique. Enfin, le manifeste s’oppose à la volonté de généraliser à l’échelle mondiale le libre-échange au sein d’un marché intégré. Cette volonté, supposée favoriser la croissance économique, se heurte aux réalités géopolitiques comme aux limites écologiques. Le manifeste aspire au contraire à un système économique plus résilient parce que construit autour de pôles économiques échangeant certes entre eux mais disposant de l’autonomie stratégique suffisante pour conserver une réelle souveraineté politique et être en mesure de satisfaire les besoins fondamentaux de</w:t>
      </w:r>
      <w:r w:rsidR="00E67315">
        <w:t>s</w:t>
      </w:r>
      <w:r>
        <w:t xml:space="preserve"> populations qui habitent en leur sein. </w:t>
      </w:r>
    </w:p>
    <w:p w14:paraId="1C1B347F" w14:textId="0BCE542E" w:rsidR="001A1550" w:rsidRPr="002B2BAA" w:rsidRDefault="00216C49" w:rsidP="001A1550">
      <w:pPr>
        <w:pStyle w:val="Paragraphedeliste"/>
        <w:numPr>
          <w:ilvl w:val="0"/>
          <w:numId w:val="3"/>
        </w:numPr>
        <w:jc w:val="both"/>
        <w:rPr>
          <w:b/>
          <w:iCs/>
          <w:lang w:val="fr-FR"/>
        </w:rPr>
      </w:pPr>
      <w:r w:rsidRPr="002B2BAA">
        <w:rPr>
          <w:b/>
          <w:bCs/>
        </w:rPr>
        <w:t>Une démocratie du bien commun</w:t>
      </w:r>
      <w:r w:rsidR="001A1550">
        <w:rPr>
          <w:b/>
          <w:bCs/>
        </w:rPr>
        <w:t xml:space="preserve"> et </w:t>
      </w:r>
      <w:r w:rsidR="001A1550">
        <w:rPr>
          <w:b/>
          <w:iCs/>
          <w:lang w:val="fr-FR"/>
        </w:rPr>
        <w:t>u</w:t>
      </w:r>
      <w:r w:rsidR="001A1550" w:rsidRPr="002B2BAA">
        <w:rPr>
          <w:b/>
          <w:iCs/>
          <w:lang w:val="fr-FR"/>
        </w:rPr>
        <w:t>ne société de participation</w:t>
      </w:r>
    </w:p>
    <w:p w14:paraId="26477371" w14:textId="4E756A96" w:rsidR="00DD6E88" w:rsidRDefault="00511DFD" w:rsidP="00DD6E88">
      <w:pPr>
        <w:jc w:val="both"/>
      </w:pPr>
      <w:r>
        <w:t xml:space="preserve">La conception de l’économie </w:t>
      </w:r>
      <w:r w:rsidR="00616E98">
        <w:t>développée dans l</w:t>
      </w:r>
      <w:r w:rsidR="00031689">
        <w:t>e</w:t>
      </w:r>
      <w:r w:rsidR="00DD6E88">
        <w:t xml:space="preserve"> manifeste des </w:t>
      </w:r>
      <w:r w:rsidR="00DD6E88" w:rsidRPr="00031689">
        <w:rPr>
          <w:i/>
          <w:iCs/>
        </w:rPr>
        <w:t>Engagés</w:t>
      </w:r>
      <w:r w:rsidR="00DD6E88">
        <w:t xml:space="preserve"> illustre </w:t>
      </w:r>
      <w:r w:rsidR="00616E98">
        <w:t>le</w:t>
      </w:r>
      <w:r w:rsidR="00DD6E88">
        <w:t xml:space="preserve"> pluralisme institutionnel</w:t>
      </w:r>
      <w:r w:rsidR="00616E98">
        <w:t xml:space="preserve"> propre à un projet centriste</w:t>
      </w:r>
      <w:r w:rsidR="00DD6E88">
        <w:t>. La coordination sociale n’est pas assurée par une source privilégiée. Le marché présente trop d’imperfections pour que son libre jeu permette d’atteindre un optimum social. L’</w:t>
      </w:r>
      <w:proofErr w:type="spellStart"/>
      <w:r w:rsidR="00DD6E88">
        <w:t>Etat</w:t>
      </w:r>
      <w:proofErr w:type="spellEnd"/>
      <w:r w:rsidR="00DD6E88">
        <w:t xml:space="preserve"> ne peut être assimilé à une autorité omnisciente et bienveillante garante de l’intérêt général. Les citoyens ne sont pas des êtres vertueux soucieux uniquement du bien commun, bien commun qu’ils ne sont d’ailleurs pas pleinement en capacité d’identifier. La nature n’est pas non plus un ordre idéal dont il faudrait préserver l’harmonie. Mais le marché, l’</w:t>
      </w:r>
      <w:proofErr w:type="spellStart"/>
      <w:r w:rsidR="00DD6E88">
        <w:t>Etat</w:t>
      </w:r>
      <w:proofErr w:type="spellEnd"/>
      <w:r w:rsidR="00DD6E88">
        <w:t xml:space="preserve">, les valeurs et la nature influencent les préférences et comportements des agents. Ils constituent autant de leviers de coordination sociale pouvant tout aussi bien </w:t>
      </w:r>
      <w:r w:rsidR="003B779D">
        <w:t xml:space="preserve">être </w:t>
      </w:r>
      <w:r w:rsidR="00DD6E88">
        <w:t xml:space="preserve">complémentaires que se faire mutuellement </w:t>
      </w:r>
      <w:r w:rsidR="00DD6E88">
        <w:lastRenderedPageBreak/>
        <w:t>contrepoids. Ce pluralisme institutionnel se veut ainsi une réponse à la faillibilité de nos jugements et au contexte d’incertitude dans lequel les décisions doivent être prises.</w:t>
      </w:r>
    </w:p>
    <w:p w14:paraId="1E247D3C" w14:textId="5987C2AD" w:rsidR="00DD6E88" w:rsidRDefault="00DD6E88" w:rsidP="00DD6E88">
      <w:pPr>
        <w:jc w:val="both"/>
      </w:pPr>
      <w:r>
        <w:t xml:space="preserve">Cette faillibilité et cette incertitude s’opposent également à toute prétention à définir de manière péremptoire ce que « mieux » veut dire. Le bien commun est une idée susceptible d’orienter nos comportements, non une réalité qu’il est possible de décrire précisément. Indépendamment du contenu d’une conception particulière du bien commun, l’attitude d’une personne qui entend agir en vue de ce qu’il estime être le </w:t>
      </w:r>
      <w:r w:rsidR="00CE2F52">
        <w:t>b</w:t>
      </w:r>
      <w:r>
        <w:t>ien commun diffère fondamentalement de celle d’un individu qui entend maximiser la satisfaction de ses préférences personnelles. Similairement, une communauté politique qui s’interroge sur les critères d’une croissance qualitative et sur les éléments constitutifs d’une prospérité commune ne peut être confondue avec une société qui se conçoit comme un ensemble d’individus se coordonnant pour produire et se répartir des ressources. La régénération attendue de la prospérité appelle ainsi une régénération de la démocratie comprise non comme un instrument de régulation des intérêts particuliers mais comme le lieu d’une délibération sur le bien commun, ainsi qu’à la régénération du pacte social autour duquel les citoyens entendent faire société.</w:t>
      </w:r>
    </w:p>
    <w:p w14:paraId="12B62E27" w14:textId="77777777" w:rsidR="009D462C" w:rsidRDefault="00DD6E88" w:rsidP="00DD6E88">
      <w:pPr>
        <w:jc w:val="both"/>
      </w:pPr>
      <w:r>
        <w:t xml:space="preserve">La volonté de redonner confiance dans l’action politique était déjà au centre de </w:t>
      </w:r>
      <w:r>
        <w:rPr>
          <w:i/>
          <w:iCs/>
        </w:rPr>
        <w:t xml:space="preserve">Il fera beau demain </w:t>
      </w:r>
      <w:r>
        <w:t xml:space="preserve">le processus de refondation qui a conduit à l’adoption du manifeste et à la transformation du </w:t>
      </w:r>
      <w:proofErr w:type="spellStart"/>
      <w:r>
        <w:t>cdH</w:t>
      </w:r>
      <w:proofErr w:type="spellEnd"/>
      <w:r>
        <w:t xml:space="preserve"> en </w:t>
      </w:r>
      <w:r>
        <w:rPr>
          <w:i/>
          <w:iCs/>
        </w:rPr>
        <w:t xml:space="preserve">Les Engagés. </w:t>
      </w:r>
      <w:r>
        <w:t xml:space="preserve">Elle est également le fil conducteur d’une régénération de la démocratie qui identifie l’idéal démocratique à la capacité pour une communauté politique de définir la société dans laquelle elle veut vivre. Le manifeste est ainsi sous-tendu par la volonté de restaurer la confiance dans la démocratie en rendant celle-ci plus délibérative et plus participative. </w:t>
      </w:r>
    </w:p>
    <w:p w14:paraId="78E52FB3" w14:textId="3770BD09" w:rsidR="00DD6E88" w:rsidRDefault="009D462C" w:rsidP="00DD6E88">
      <w:pPr>
        <w:jc w:val="both"/>
      </w:pPr>
      <w:r>
        <w:t xml:space="preserve">Contrairement à la conception </w:t>
      </w:r>
      <w:r w:rsidR="00D172B9">
        <w:t>– socialiste notamment</w:t>
      </w:r>
      <w:r w:rsidR="006B4F56">
        <w:rPr>
          <w:rStyle w:val="Appelnotedebasdep"/>
        </w:rPr>
        <w:footnoteReference w:id="13"/>
      </w:r>
      <w:r w:rsidR="00D172B9">
        <w:t xml:space="preserve"> – du politique comme étant le </w:t>
      </w:r>
      <w:r w:rsidR="00CC0B3C">
        <w:t xml:space="preserve">lieu du conflit social entre des intérêts individuels ou collectifs fondamentalement opposés, </w:t>
      </w:r>
      <w:r w:rsidR="00CB387F">
        <w:t xml:space="preserve">la </w:t>
      </w:r>
      <w:r w:rsidR="00D70B83">
        <w:t>démocratie</w:t>
      </w:r>
      <w:r w:rsidR="00CB387F">
        <w:t xml:space="preserve"> délibérative </w:t>
      </w:r>
      <w:r w:rsidR="00DD6E88">
        <w:t>favorise l’échange d’arguments et la recherche du consensus plutôt qu</w:t>
      </w:r>
      <w:r w:rsidR="00CB387F">
        <w:t>e</w:t>
      </w:r>
      <w:r w:rsidR="00DD6E88">
        <w:t xml:space="preserve"> les rapports de force. Il ne s’agit pas de nier ceux-ci ni la réalité des divergences d’intérêts mais de </w:t>
      </w:r>
      <w:r w:rsidR="009852A9">
        <w:t>s’efforcer de</w:t>
      </w:r>
      <w:r w:rsidR="00DD6E88">
        <w:t xml:space="preserve"> les transcender </w:t>
      </w:r>
      <w:r w:rsidR="00A95D10">
        <w:t>a</w:t>
      </w:r>
      <w:r w:rsidR="00031689">
        <w:t>utant que possible</w:t>
      </w:r>
      <w:r w:rsidR="009852A9">
        <w:t>.</w:t>
      </w:r>
      <w:r w:rsidR="00DD6E88">
        <w:t xml:space="preserve"> </w:t>
      </w:r>
      <w:r w:rsidR="00C04B18">
        <w:t xml:space="preserve">Si, </w:t>
      </w:r>
      <w:r w:rsidR="00C04B18" w:rsidRPr="007B4BEC">
        <w:rPr>
          <w:i/>
          <w:iCs/>
        </w:rPr>
        <w:t>in fine</w:t>
      </w:r>
      <w:r w:rsidR="00C04B18">
        <w:t>, la prise de décision opposera malgré tout une majorité à une minorité, l’objectif est de</w:t>
      </w:r>
      <w:r w:rsidR="00DD6E88">
        <w:t xml:space="preserve"> construire</w:t>
      </w:r>
      <w:r w:rsidR="00C04B18">
        <w:t xml:space="preserve"> cett</w:t>
      </w:r>
      <w:r w:rsidR="00DD6E88">
        <w:t xml:space="preserve">e majorité en rassemblant autour d’une position partagée plutôt qu’en créant une alliance contre un adversaire commun. Le recours à des dispositifs participatifs, comme des référendums réguliers sur le modèle suisse ou des assemblées tirées au sort, ainsi que des modifications du système électoral afin de </w:t>
      </w:r>
      <w:r w:rsidR="006323E5">
        <w:t>donner plus de</w:t>
      </w:r>
      <w:r w:rsidR="00DD6E88">
        <w:t xml:space="preserve"> pouvoir </w:t>
      </w:r>
      <w:r w:rsidR="006323E5">
        <w:t xml:space="preserve">aux </w:t>
      </w:r>
      <w:r w:rsidR="00DD6E88">
        <w:t xml:space="preserve">électeurs, doivent contribuer à renforcer la dimension délibérative du débat démocratique, mais aussi favoriser l’appropriation par les citoyens des décisions politiques. </w:t>
      </w:r>
    </w:p>
    <w:p w14:paraId="0C32DF6C" w14:textId="41F57D05" w:rsidR="001A1550" w:rsidRDefault="00DD6E88" w:rsidP="00DD6E88">
      <w:pPr>
        <w:jc w:val="both"/>
        <w:rPr>
          <w:bCs/>
          <w:iCs/>
          <w:lang w:val="fr-FR"/>
        </w:rPr>
      </w:pPr>
      <w:r>
        <w:t xml:space="preserve">Si les citoyens doivent pouvoir se reconnaître comme co-auteurs des lois, le manifeste souligne également la nécessité de leur démontrer que l’action politique conserve une réelle efficacité. </w:t>
      </w:r>
      <w:r w:rsidR="004C4718">
        <w:rPr>
          <w:bCs/>
          <w:iCs/>
          <w:lang w:val="fr-FR"/>
        </w:rPr>
        <w:t>Il</w:t>
      </w:r>
      <w:r>
        <w:rPr>
          <w:bCs/>
          <w:iCs/>
          <w:lang w:val="fr-FR"/>
        </w:rPr>
        <w:t xml:space="preserve"> </w:t>
      </w:r>
      <w:r w:rsidR="002F4B80">
        <w:rPr>
          <w:bCs/>
          <w:iCs/>
          <w:lang w:val="fr-FR"/>
        </w:rPr>
        <w:t>invite</w:t>
      </w:r>
      <w:r>
        <w:rPr>
          <w:bCs/>
          <w:iCs/>
          <w:lang w:val="fr-FR"/>
        </w:rPr>
        <w:t xml:space="preserve"> à surmonter </w:t>
      </w:r>
      <w:r>
        <w:rPr>
          <w:lang w:val="fr-FR"/>
        </w:rPr>
        <w:t xml:space="preserve">le court-termisme politique en développant en dialogue avec des experts, les corps intermédiaires et des acteurs de terrain </w:t>
      </w:r>
      <w:r w:rsidRPr="00611183">
        <w:rPr>
          <w:lang w:val="fr-FR"/>
        </w:rPr>
        <w:t>des plans d’action sur dix ans</w:t>
      </w:r>
      <w:r>
        <w:rPr>
          <w:lang w:val="fr-FR"/>
        </w:rPr>
        <w:t xml:space="preserve"> qui permettrait de se projeter au-delà des cycles électoraux et des changements de majorités, mais aussi à simplifier les institutions belges et à renforcer le pouvoir politique de l’Union européenne appelée à devenir une fédération, tandis que la Commission devrait être transformée en un authentique gouvernement européen.</w:t>
      </w:r>
      <w:r w:rsidRPr="0010773A">
        <w:rPr>
          <w:bCs/>
          <w:iCs/>
          <w:lang w:val="fr-FR"/>
        </w:rPr>
        <w:t xml:space="preserve"> </w:t>
      </w:r>
      <w:r>
        <w:rPr>
          <w:bCs/>
          <w:iCs/>
          <w:lang w:val="fr-FR"/>
        </w:rPr>
        <w:t>Les citoyens ne retrouveront confiance dans l’action politique que si celle-ci apparaît en mesure d’</w:t>
      </w:r>
      <w:r w:rsidRPr="002A1F45">
        <w:rPr>
          <w:bCs/>
          <w:iCs/>
          <w:lang w:val="fr-FR"/>
        </w:rPr>
        <w:t>apporter une réponse aux grandes mutations de nos sociétés </w:t>
      </w:r>
      <w:r>
        <w:rPr>
          <w:bCs/>
          <w:iCs/>
          <w:lang w:val="fr-FR"/>
        </w:rPr>
        <w:t>–</w:t>
      </w:r>
      <w:r w:rsidRPr="002A1F45">
        <w:rPr>
          <w:bCs/>
          <w:iCs/>
          <w:lang w:val="fr-FR"/>
        </w:rPr>
        <w:t xml:space="preserve"> le dérèglement climatique, la numérisation de </w:t>
      </w:r>
      <w:r w:rsidRPr="002A1F45">
        <w:rPr>
          <w:bCs/>
          <w:iCs/>
          <w:lang w:val="fr-FR"/>
        </w:rPr>
        <w:lastRenderedPageBreak/>
        <w:t>l’économie et des relations sociales, le vieillissement de la population</w:t>
      </w:r>
      <w:r>
        <w:rPr>
          <w:bCs/>
          <w:iCs/>
          <w:lang w:val="fr-FR"/>
        </w:rPr>
        <w:t>, le financement de la sécurité sociale</w:t>
      </w:r>
      <w:r w:rsidRPr="002A1F45">
        <w:rPr>
          <w:bCs/>
          <w:iCs/>
          <w:lang w:val="fr-FR"/>
        </w:rPr>
        <w:t>...</w:t>
      </w:r>
      <w:r>
        <w:rPr>
          <w:bCs/>
          <w:iCs/>
          <w:lang w:val="fr-FR"/>
        </w:rPr>
        <w:t xml:space="preserve"> – et de rendre possible la poursuite collective d’un bien commun.</w:t>
      </w:r>
    </w:p>
    <w:p w14:paraId="653A3093" w14:textId="38D8C83C" w:rsidR="001F059E" w:rsidRDefault="00DD6E88" w:rsidP="00DD6E88">
      <w:pPr>
        <w:jc w:val="both"/>
        <w:rPr>
          <w:lang w:val="fr-FR"/>
        </w:rPr>
      </w:pPr>
      <w:r>
        <w:rPr>
          <w:lang w:val="fr-FR"/>
        </w:rPr>
        <w:t xml:space="preserve">C’est ainsi avec le modèle de la société de consommation que le manifeste </w:t>
      </w:r>
      <w:r w:rsidR="004F1112">
        <w:rPr>
          <w:lang w:val="fr-FR"/>
        </w:rPr>
        <w:t>propose de</w:t>
      </w:r>
      <w:r>
        <w:rPr>
          <w:lang w:val="fr-FR"/>
        </w:rPr>
        <w:t xml:space="preserve"> rompre au profit d’une société de participation. Le bien commun n’est plus identifié à la production la plus abondante possible de ressources afin de permettre à chaque individu de maximiser la satisfaction de ses préférences personnelles, mais dans la création d’une société à laquelle chaque personne a le sentiment de pouvoir prendre part en étant reconnue pour sa contribution au bien-être partagé. La participation apparaît à la fois comme un droit puisqu’il s’agit d’assurer à chacun une place dans la société, notamment en garantissant un socle social permettant la satisfaction de ses besoins fondamentaux, complété d’une assurance sociale protégeant contre les aléas de la vie comme la perte d</w:t>
      </w:r>
      <w:r w:rsidR="00856AB4">
        <w:rPr>
          <w:lang w:val="fr-FR"/>
        </w:rPr>
        <w:t xml:space="preserve">e son </w:t>
      </w:r>
      <w:r>
        <w:rPr>
          <w:lang w:val="fr-FR"/>
        </w:rPr>
        <w:t>emploi, ainsi qu’en luttant contre les discriminations que celles-ci soient liées à l’origine, la culture, le genre, l’orientation sexuelle ou le handicap. Mais elle est aussi une responsabilité et il est dès lors attendu de chacun de chercher à se réaliser au travers de projets positifs non seulement pour soi mais également pour les autres, que ce soit via son travail, un engagement citoyen ou en prenant soin de ses proches.</w:t>
      </w:r>
      <w:r w:rsidR="009C088C">
        <w:rPr>
          <w:lang w:val="fr-FR"/>
        </w:rPr>
        <w:t xml:space="preserve"> </w:t>
      </w:r>
    </w:p>
    <w:p w14:paraId="11002891" w14:textId="03FD961E" w:rsidR="00DD6E88" w:rsidRPr="001A1550" w:rsidRDefault="009C088C" w:rsidP="00DD6E88">
      <w:pPr>
        <w:jc w:val="both"/>
        <w:rPr>
          <w:bCs/>
          <w:iCs/>
          <w:lang w:val="fr-FR"/>
        </w:rPr>
      </w:pPr>
      <w:r>
        <w:rPr>
          <w:lang w:val="fr-FR"/>
        </w:rPr>
        <w:t xml:space="preserve">Cette double dimension de la participation </w:t>
      </w:r>
      <w:r w:rsidR="003B2BE0">
        <w:rPr>
          <w:lang w:val="fr-FR"/>
        </w:rPr>
        <w:t>se concrétise</w:t>
      </w:r>
      <w:r w:rsidR="008923F9">
        <w:rPr>
          <w:lang w:val="fr-FR"/>
        </w:rPr>
        <w:t xml:space="preserve"> notamment</w:t>
      </w:r>
      <w:r w:rsidR="003B2BE0">
        <w:rPr>
          <w:lang w:val="fr-FR"/>
        </w:rPr>
        <w:t xml:space="preserve"> dans </w:t>
      </w:r>
      <w:r w:rsidR="001F059E">
        <w:rPr>
          <w:lang w:val="fr-FR"/>
        </w:rPr>
        <w:t xml:space="preserve">la proposition d’instaurer </w:t>
      </w:r>
      <w:r w:rsidR="001F059E">
        <w:t>un « droit à l’emploi » imposant à l’</w:t>
      </w:r>
      <w:proofErr w:type="spellStart"/>
      <w:r w:rsidR="001F059E">
        <w:t>Etat</w:t>
      </w:r>
      <w:proofErr w:type="spellEnd"/>
      <w:r w:rsidR="001C2B4C">
        <w:t xml:space="preserve"> </w:t>
      </w:r>
      <w:r w:rsidR="001F059E">
        <w:t>de proposer à tout demandeur d’emploi</w:t>
      </w:r>
      <w:r w:rsidR="001C2B4C">
        <w:t>, au terme de deux années de chômage,</w:t>
      </w:r>
      <w:r w:rsidR="001F059E">
        <w:t xml:space="preserve"> « un travail d’utilité publique dans le secteur public ou associatif » afin d’éviter de le « faire tomber dans la dépendance »</w:t>
      </w:r>
      <w:r w:rsidR="001F059E">
        <w:rPr>
          <w:rStyle w:val="Appelnotedebasdep"/>
        </w:rPr>
        <w:footnoteReference w:id="14"/>
      </w:r>
      <w:r w:rsidR="00F03082">
        <w:t xml:space="preserve">, combinée au souhait de limiter </w:t>
      </w:r>
      <w:r w:rsidR="001F059E">
        <w:t>les allocations de chômage</w:t>
      </w:r>
      <w:r w:rsidR="00F03082">
        <w:t xml:space="preserve"> </w:t>
      </w:r>
      <w:r w:rsidR="001F059E">
        <w:t>dans le temps</w:t>
      </w:r>
      <w:r w:rsidR="00F03082">
        <w:t xml:space="preserve"> </w:t>
      </w:r>
      <w:r w:rsidR="008923F9">
        <w:t>en cas de refus de l’emploi proposé</w:t>
      </w:r>
      <w:r w:rsidR="00F03082">
        <w:t>.</w:t>
      </w:r>
      <w:r w:rsidR="008923F9">
        <w:t xml:space="preserve"> </w:t>
      </w:r>
      <w:r w:rsidR="00703ED3">
        <w:t xml:space="preserve">Elle explique également pourquoi le revenu de participation </w:t>
      </w:r>
      <w:r w:rsidR="00D7385E">
        <w:t xml:space="preserve">défendu dans le manifeste, soit un revenu de base de 600 euros, n’est pas une allocation universelle </w:t>
      </w:r>
      <w:r w:rsidR="00A5034A">
        <w:t>et</w:t>
      </w:r>
      <w:r w:rsidR="006D57E6">
        <w:t xml:space="preserve"> </w:t>
      </w:r>
      <w:r w:rsidR="00C406E5">
        <w:t>que la réalisation d’une activité socialement utile est attendue en contrepartie.</w:t>
      </w:r>
    </w:p>
    <w:p w14:paraId="0F182542" w14:textId="7E9BA573" w:rsidR="00DD6E88" w:rsidRPr="005F5F3C" w:rsidRDefault="005F5F3C" w:rsidP="005F5F3C">
      <w:pPr>
        <w:ind w:left="360"/>
        <w:jc w:val="both"/>
        <w:rPr>
          <w:b/>
          <w:iCs/>
          <w:lang w:val="fr-FR"/>
        </w:rPr>
      </w:pPr>
      <w:r>
        <w:rPr>
          <w:b/>
          <w:iCs/>
          <w:lang w:val="fr-FR"/>
        </w:rPr>
        <w:t xml:space="preserve">Conclusion - </w:t>
      </w:r>
      <w:r w:rsidR="006677AD" w:rsidRPr="005F5F3C">
        <w:rPr>
          <w:b/>
          <w:iCs/>
          <w:lang w:val="fr-FR"/>
        </w:rPr>
        <w:t>Un libéralisme de la personne</w:t>
      </w:r>
    </w:p>
    <w:p w14:paraId="2085C16D" w14:textId="273E4DD9" w:rsidR="00D6254D" w:rsidRDefault="00DD6E88" w:rsidP="00DD6E88">
      <w:pPr>
        <w:jc w:val="both"/>
      </w:pPr>
      <w:r>
        <w:t>L</w:t>
      </w:r>
      <w:r w:rsidR="00E94DF7">
        <w:t xml:space="preserve">e </w:t>
      </w:r>
      <w:r w:rsidR="00C72B3D" w:rsidRPr="00C72B3D">
        <w:rPr>
          <w:i/>
          <w:iCs/>
        </w:rPr>
        <w:t>M</w:t>
      </w:r>
      <w:r w:rsidR="00E94DF7" w:rsidRPr="00C72B3D">
        <w:rPr>
          <w:i/>
          <w:iCs/>
        </w:rPr>
        <w:t>anifeste</w:t>
      </w:r>
      <w:r w:rsidR="00C72B3D" w:rsidRPr="00C72B3D">
        <w:rPr>
          <w:i/>
          <w:iCs/>
        </w:rPr>
        <w:t xml:space="preserve"> pour une société régénérée</w:t>
      </w:r>
      <w:r w:rsidR="00C72B3D">
        <w:t xml:space="preserve"> des </w:t>
      </w:r>
      <w:r w:rsidR="00C72B3D" w:rsidRPr="00C72B3D">
        <w:rPr>
          <w:i/>
          <w:iCs/>
        </w:rPr>
        <w:t>Engagés</w:t>
      </w:r>
      <w:r w:rsidR="00E94DF7">
        <w:t xml:space="preserve"> est traversé par l</w:t>
      </w:r>
      <w:r>
        <w:t>’insistance sur l’interdépendance fondamentale entre les êtres humains et sur la nécessité de faire société autour d’une même aspiration au bien commun</w:t>
      </w:r>
      <w:r w:rsidR="00E94DF7">
        <w:t>. Cela lui confère</w:t>
      </w:r>
      <w:r>
        <w:t xml:space="preserve"> des accents</w:t>
      </w:r>
      <w:r w:rsidR="00647CB0">
        <w:t xml:space="preserve"> que philosophiquement on qualifierait d</w:t>
      </w:r>
      <w:r w:rsidR="00B55097">
        <w:t>avantage d</w:t>
      </w:r>
      <w:r w:rsidR="00647CB0">
        <w:t>e</w:t>
      </w:r>
      <w:r>
        <w:t xml:space="preserve"> républicains</w:t>
      </w:r>
      <w:r w:rsidR="00B55097">
        <w:t xml:space="preserve"> que de libéraux</w:t>
      </w:r>
      <w:r w:rsidR="009B5667">
        <w:t xml:space="preserve">, accents que j’estimais </w:t>
      </w:r>
      <w:r w:rsidR="00DC60FB">
        <w:t>déjà présents dans l’humanisme démocratique</w:t>
      </w:r>
      <w:r w:rsidR="009B5667">
        <w:rPr>
          <w:rStyle w:val="Appelnotedebasdep"/>
        </w:rPr>
        <w:footnoteReference w:id="15"/>
      </w:r>
      <w:r>
        <w:t xml:space="preserve">. </w:t>
      </w:r>
      <w:r w:rsidR="007E5959">
        <w:t>Dans le champ socio-politique</w:t>
      </w:r>
      <w:r w:rsidR="00A714E9">
        <w:t>, la</w:t>
      </w:r>
      <w:r>
        <w:t xml:space="preserve"> référence républicaine ne peut toutefois que faire naître de nombreux malentendus tant elle a une signification différente</w:t>
      </w:r>
      <w:r w:rsidR="0044138B">
        <w:t xml:space="preserve"> qu’</w:t>
      </w:r>
      <w:r>
        <w:t xml:space="preserve">en philosophie. Le républicanisme philosophique, contrairement à ce </w:t>
      </w:r>
      <w:r w:rsidR="00F23FF2">
        <w:t>qu’on</w:t>
      </w:r>
      <w:r>
        <w:t xml:space="preserve"> pourrait légitiment croire, n’implique pas nécessairement le rejet de la monarchie – à tout le moins d’une monarchie constitutionnelle – et il n’a guère de points communs avec les partis se définissant comme républicains, que ce soit en France ou aux Etats-Unis. Dans l’histoire de la philosophie, le républicanisme représente plutôt le refus d’une conception de la démocratie comme</w:t>
      </w:r>
      <w:r w:rsidR="002501D6">
        <w:t xml:space="preserve"> le</w:t>
      </w:r>
      <w:r>
        <w:t xml:space="preserve"> lieu du juste équilibre entre les intérêts privés. La </w:t>
      </w:r>
      <w:proofErr w:type="spellStart"/>
      <w:r>
        <w:rPr>
          <w:i/>
          <w:iCs/>
        </w:rPr>
        <w:t>res</w:t>
      </w:r>
      <w:proofErr w:type="spellEnd"/>
      <w:r>
        <w:rPr>
          <w:i/>
          <w:iCs/>
        </w:rPr>
        <w:t xml:space="preserve"> publica</w:t>
      </w:r>
      <w:r>
        <w:t xml:space="preserve"> est cette activité publique qui consiste dans la recherche d’un bien commun transcendant le conflit entre les intérêts privés. Le républicanisme rejette également une conception de la liberté réduite à la possibilité pour l’individu de faire ce qu’il souhaite en étant préservé des interférences d’autres personnes. La liberté consiste plutôt à n’être soumis qu’à ses propres lois.  Sur le plan politique, cela implique de pouvoir participer, directement ou indirectement, à leur élaboration. Mais cela signifie aussi sur le plan moral, conformément au concept kantien d’autonomie, de n’agir qu’en suivant des principes dont on pourrait souhaiter qu’ils constituent des lois respectées par </w:t>
      </w:r>
      <w:r w:rsidR="00A409C0">
        <w:t>tous</w:t>
      </w:r>
      <w:r>
        <w:t xml:space="preserve">, </w:t>
      </w:r>
      <w:r>
        <w:lastRenderedPageBreak/>
        <w:t>ou, selon la Règle d’or chrétienne, en s’abstenant de faire à autrui ce qu’on ne souhaiterait pas qu’il nous fasse</w:t>
      </w:r>
      <w:r w:rsidR="00B22AD1">
        <w:rPr>
          <w:rStyle w:val="Appelnotedebasdep"/>
        </w:rPr>
        <w:footnoteReference w:id="16"/>
      </w:r>
      <w:r>
        <w:t xml:space="preserve">. </w:t>
      </w:r>
    </w:p>
    <w:p w14:paraId="50B648A3" w14:textId="725DED72" w:rsidR="00115F1D" w:rsidRDefault="00115F1D" w:rsidP="00115F1D">
      <w:pPr>
        <w:jc w:val="both"/>
      </w:pPr>
      <w:r>
        <w:t xml:space="preserve">Ce républicanisme philosophique est-il un libéralisme ? Il ne l’est pas si on entend par libéralisme la doctrine qui défend la liberté d’un individu se définissant indépendamment des autres individus, un individu dont la liberté n’est limitée que par celle des autres et qui, tant qu’il respecte l’égale liberté de chacun, peut chercher à satisfaire ses intérêts propres sans se soucier du bien commun. Le républicanisme est par contre un libéralisme s’il dépasse cette conception de la liberté pour privilégier la liberté de la personne qui est toujours déjà en relation avec les autres, une personne consciente de son interdépendance avec les autres êtres humains et l’ensemble du vivant, </w:t>
      </w:r>
      <w:r w:rsidR="00E5710C">
        <w:t>une personne</w:t>
      </w:r>
      <w:r>
        <w:t xml:space="preserve"> qui s’efforce de se réaliser en contribuant positivement au bien-être commun.  On pourra donc indifféremment le considérer comme un dépassement du libéralisme individualiste ou comme un libéralisme personnaliste.</w:t>
      </w:r>
    </w:p>
    <w:p w14:paraId="56F658D8" w14:textId="4729851A" w:rsidR="006761CD" w:rsidRDefault="00115F1D" w:rsidP="00115F1D">
      <w:pPr>
        <w:jc w:val="both"/>
      </w:pPr>
      <w:r>
        <w:t xml:space="preserve">Ce libéralisme personnaliste est nécessairement social. </w:t>
      </w:r>
      <w:r w:rsidR="00ED6D4D">
        <w:t>Il est social parce qu</w:t>
      </w:r>
      <w:r w:rsidR="00FC0F5D">
        <w:t xml:space="preserve">e comme tout libéralisme social, il a cœur de garantir à chaque personne non seulement un ensemble de droits et de libertés mais également </w:t>
      </w:r>
      <w:r w:rsidR="00B21FF8">
        <w:t xml:space="preserve">les ressources nécessaires à l’exercice de ceux-ci. Il </w:t>
      </w:r>
      <w:r w:rsidR="00947216">
        <w:t xml:space="preserve">est </w:t>
      </w:r>
      <w:r w:rsidR="00B21FF8">
        <w:t>également social parce que l</w:t>
      </w:r>
      <w:r>
        <w:t xml:space="preserve">’interdépendance entre les êtres humains signifie que la liberté n’est pas une réalité individuelle, mais une conquête collective, un bien commun dont il faut prendre soin collectivement. Chaque personne ne peut jouir de ses libertés si les conditions de son exercice, et notamment le cadre environnemental – pensons au réchauffement climatique – ou sanitaire – pensons à la pandémie – et, a fortiori, la sécurité physique, sont mises à mal par le comportement des autres individus. </w:t>
      </w:r>
    </w:p>
    <w:p w14:paraId="7C0D7B0A" w14:textId="40CEAE6F" w:rsidR="00115F1D" w:rsidRDefault="00115F1D" w:rsidP="00115F1D">
      <w:pPr>
        <w:jc w:val="both"/>
      </w:pPr>
      <w:r>
        <w:t xml:space="preserve">La dernière régénération développée dans le manifeste, celle des libertés, requiert dès lors que chacune et chacun exerce son libre-arbitre dans la conscience de sa responsabilité collective, de l’impact de </w:t>
      </w:r>
      <w:r w:rsidR="00E46254">
        <w:t>s</w:t>
      </w:r>
      <w:r w:rsidR="00EF4CF9">
        <w:t>es actes</w:t>
      </w:r>
      <w:r>
        <w:t xml:space="preserve"> sur les autres, mais aussi sur la nature, l’ensemble du vivant et les générations futures. Ce n’est que lorsque la liberté individuelle est exercée avec l’intention de contribuer au bien-être commun que l’épanouissement de chacun est possible. La forme précise de cette contribution dépendra de la personnalité de chacun. Il n’y a d’ailleurs nul besoin de s’entendre sur ce qui constitue réellement le bien-être commun. Celui-ci, comme déjà souligné, est bien davantage une Idée régulatrice qu’une réalité concrète. Ce qui importe c’est la différence d’intention entre l’individu qui ne se préoccupe que de ses propres préférences et la personne qui entend donner sens à son existence et définir son identité en prenant part à un tissu de relations sociales et en ayant conscience de sa responsabilité personnelle au sein de celui-ci.</w:t>
      </w:r>
    </w:p>
    <w:p w14:paraId="2C362911" w14:textId="3AA68A0C" w:rsidR="00115F1D" w:rsidRDefault="00115F1D" w:rsidP="00115F1D">
      <w:pPr>
        <w:jc w:val="both"/>
      </w:pPr>
      <w:r>
        <w:t>« La liberté de la personne est la liberté de découvrir elle-même sa vocation et d'adopter librement les moyens de la réaliser. Elle n'est pas une liberté d'abstention, mais une liberté d'engagement » écrivait Mounier il y a près d’un siècle</w:t>
      </w:r>
      <w:r w:rsidR="00EA3B78">
        <w:rPr>
          <w:rStyle w:val="Appelnotedebasdep"/>
        </w:rPr>
        <w:footnoteReference w:id="17"/>
      </w:r>
      <w:r>
        <w:t>. L’engagement réconcilie ainsi libéralisme social et personnalisme.</w:t>
      </w:r>
    </w:p>
    <w:p w14:paraId="1458295A" w14:textId="77777777" w:rsidR="00E24444" w:rsidRDefault="00E24444"/>
    <w:sectPr w:rsidR="00E244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5137" w14:textId="77777777" w:rsidR="001B763E" w:rsidRDefault="001B763E" w:rsidP="00DD6E88">
      <w:pPr>
        <w:spacing w:after="0" w:line="240" w:lineRule="auto"/>
      </w:pPr>
      <w:r>
        <w:separator/>
      </w:r>
    </w:p>
  </w:endnote>
  <w:endnote w:type="continuationSeparator" w:id="0">
    <w:p w14:paraId="732D5A01" w14:textId="77777777" w:rsidR="001B763E" w:rsidRDefault="001B763E" w:rsidP="00DD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971883"/>
      <w:docPartObj>
        <w:docPartGallery w:val="Page Numbers (Bottom of Page)"/>
        <w:docPartUnique/>
      </w:docPartObj>
    </w:sdtPr>
    <w:sdtEndPr/>
    <w:sdtContent>
      <w:p w14:paraId="04952F80" w14:textId="6FB91329" w:rsidR="00C645CA" w:rsidRDefault="00C645CA">
        <w:pPr>
          <w:pStyle w:val="Pieddepage"/>
          <w:jc w:val="right"/>
        </w:pPr>
        <w:r>
          <w:fldChar w:fldCharType="begin"/>
        </w:r>
        <w:r>
          <w:instrText>PAGE   \* MERGEFORMAT</w:instrText>
        </w:r>
        <w:r>
          <w:fldChar w:fldCharType="separate"/>
        </w:r>
        <w:r>
          <w:rPr>
            <w:lang w:val="fr-FR"/>
          </w:rPr>
          <w:t>2</w:t>
        </w:r>
        <w:r>
          <w:fldChar w:fldCharType="end"/>
        </w:r>
      </w:p>
    </w:sdtContent>
  </w:sdt>
  <w:p w14:paraId="6C806582" w14:textId="77777777" w:rsidR="00C645CA" w:rsidRDefault="00C645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5EBF" w14:textId="77777777" w:rsidR="001B763E" w:rsidRDefault="001B763E" w:rsidP="00DD6E88">
      <w:pPr>
        <w:spacing w:after="0" w:line="240" w:lineRule="auto"/>
      </w:pPr>
      <w:r>
        <w:separator/>
      </w:r>
    </w:p>
  </w:footnote>
  <w:footnote w:type="continuationSeparator" w:id="0">
    <w:p w14:paraId="56BE5784" w14:textId="77777777" w:rsidR="001B763E" w:rsidRDefault="001B763E" w:rsidP="00DD6E88">
      <w:pPr>
        <w:spacing w:after="0" w:line="240" w:lineRule="auto"/>
      </w:pPr>
      <w:r>
        <w:continuationSeparator/>
      </w:r>
    </w:p>
  </w:footnote>
  <w:footnote w:id="1">
    <w:p w14:paraId="5AEA7856" w14:textId="7CC92B15" w:rsidR="00F56130" w:rsidRPr="00CE2F52" w:rsidRDefault="00F56130" w:rsidP="008D18EA">
      <w:pPr>
        <w:pStyle w:val="Titre1"/>
        <w:spacing w:before="0" w:line="240" w:lineRule="auto"/>
        <w:jc w:val="both"/>
        <w:rPr>
          <w:sz w:val="18"/>
          <w:szCs w:val="18"/>
        </w:rPr>
      </w:pPr>
      <w:r w:rsidRPr="00CE2F52">
        <w:rPr>
          <w:rStyle w:val="Appelnotedebasdep"/>
          <w:rFonts w:asciiTheme="minorHAnsi" w:eastAsiaTheme="minorHAnsi" w:hAnsiTheme="minorHAnsi" w:cstheme="minorBidi"/>
          <w:color w:val="auto"/>
          <w:sz w:val="18"/>
          <w:szCs w:val="18"/>
        </w:rPr>
        <w:footnoteRef/>
      </w:r>
      <w:r w:rsidRPr="00CE2F52">
        <w:rPr>
          <w:rStyle w:val="Appelnotedebasdep"/>
          <w:rFonts w:asciiTheme="minorHAnsi" w:eastAsiaTheme="minorHAnsi" w:hAnsiTheme="minorHAnsi" w:cstheme="minorBidi"/>
          <w:color w:val="auto"/>
          <w:sz w:val="18"/>
          <w:szCs w:val="18"/>
        </w:rPr>
        <w:t xml:space="preserve"> </w:t>
      </w:r>
      <w:r w:rsidR="003C4896" w:rsidRPr="00CE2F52">
        <w:rPr>
          <w:rStyle w:val="Appelnotedebasdep"/>
          <w:rFonts w:asciiTheme="minorHAnsi" w:eastAsiaTheme="minorHAnsi" w:hAnsiTheme="minorHAnsi" w:cstheme="minorBidi"/>
          <w:color w:val="auto"/>
          <w:sz w:val="18"/>
          <w:szCs w:val="18"/>
          <w:vertAlign w:val="baseline"/>
        </w:rPr>
        <w:t>S. A., «</w:t>
      </w:r>
      <w:r w:rsidR="003C4896" w:rsidRPr="00CE2F52">
        <w:rPr>
          <w:sz w:val="18"/>
          <w:szCs w:val="18"/>
        </w:rPr>
        <w:t> </w:t>
      </w:r>
      <w:r w:rsidR="003C4896" w:rsidRPr="00CE2F52">
        <w:rPr>
          <w:rFonts w:asciiTheme="minorHAnsi" w:eastAsiaTheme="minorHAnsi" w:hAnsiTheme="minorHAnsi" w:cstheme="minorBidi"/>
          <w:color w:val="auto"/>
          <w:sz w:val="18"/>
          <w:szCs w:val="18"/>
        </w:rPr>
        <w:t xml:space="preserve">Prévot: </w:t>
      </w:r>
      <w:r w:rsidR="001F1648" w:rsidRPr="00CE2F52">
        <w:rPr>
          <w:rFonts w:asciiTheme="minorHAnsi" w:eastAsiaTheme="minorHAnsi" w:hAnsiTheme="minorHAnsi" w:cstheme="minorBidi"/>
          <w:color w:val="auto"/>
          <w:sz w:val="18"/>
          <w:szCs w:val="18"/>
        </w:rPr>
        <w:t>‘</w:t>
      </w:r>
      <w:r w:rsidR="003C4896" w:rsidRPr="00CE2F52">
        <w:rPr>
          <w:rFonts w:asciiTheme="minorHAnsi" w:eastAsiaTheme="minorHAnsi" w:hAnsiTheme="minorHAnsi" w:cstheme="minorBidi"/>
          <w:color w:val="auto"/>
          <w:sz w:val="18"/>
          <w:szCs w:val="18"/>
        </w:rPr>
        <w:t xml:space="preserve">À la </w:t>
      </w:r>
      <w:proofErr w:type="spellStart"/>
      <w:r w:rsidR="003C4896" w:rsidRPr="00CE2F52">
        <w:rPr>
          <w:rFonts w:asciiTheme="minorHAnsi" w:eastAsiaTheme="minorHAnsi" w:hAnsiTheme="minorHAnsi" w:cstheme="minorBidi"/>
          <w:color w:val="auto"/>
          <w:sz w:val="18"/>
          <w:szCs w:val="18"/>
        </w:rPr>
        <w:t>trumpisation</w:t>
      </w:r>
      <w:proofErr w:type="spellEnd"/>
      <w:r w:rsidR="003C4896" w:rsidRPr="00CE2F52">
        <w:rPr>
          <w:rFonts w:asciiTheme="minorHAnsi" w:eastAsiaTheme="minorHAnsi" w:hAnsiTheme="minorHAnsi" w:cstheme="minorBidi"/>
          <w:color w:val="auto"/>
          <w:sz w:val="18"/>
          <w:szCs w:val="18"/>
        </w:rPr>
        <w:t xml:space="preserve"> du MR, nous préférons le libéralisme social de l’effort et du cœur</w:t>
      </w:r>
      <w:r w:rsidR="001F1648" w:rsidRPr="00CE2F52">
        <w:rPr>
          <w:rFonts w:asciiTheme="minorHAnsi" w:eastAsiaTheme="minorHAnsi" w:hAnsiTheme="minorHAnsi" w:cstheme="minorBidi"/>
          <w:color w:val="auto"/>
          <w:sz w:val="18"/>
          <w:szCs w:val="18"/>
        </w:rPr>
        <w:t>’ »</w:t>
      </w:r>
      <w:r w:rsidR="009A4ABA" w:rsidRPr="00CE2F52">
        <w:rPr>
          <w:rFonts w:asciiTheme="minorHAnsi" w:eastAsiaTheme="minorHAnsi" w:hAnsiTheme="minorHAnsi" w:cstheme="minorBidi"/>
          <w:color w:val="auto"/>
          <w:sz w:val="18"/>
          <w:szCs w:val="18"/>
        </w:rPr>
        <w:t xml:space="preserve">, </w:t>
      </w:r>
      <w:r w:rsidR="00894ADF" w:rsidRPr="00CE2F52">
        <w:rPr>
          <w:rFonts w:asciiTheme="minorHAnsi" w:eastAsiaTheme="minorHAnsi" w:hAnsiTheme="minorHAnsi" w:cstheme="minorBidi"/>
          <w:i/>
          <w:iCs/>
          <w:color w:val="auto"/>
          <w:sz w:val="18"/>
          <w:szCs w:val="18"/>
        </w:rPr>
        <w:t>7</w:t>
      </w:r>
      <w:r w:rsidR="00453A61" w:rsidRPr="00CE2F52">
        <w:rPr>
          <w:rFonts w:asciiTheme="minorHAnsi" w:eastAsiaTheme="minorHAnsi" w:hAnsiTheme="minorHAnsi" w:cstheme="minorBidi"/>
          <w:i/>
          <w:iCs/>
          <w:color w:val="auto"/>
          <w:sz w:val="18"/>
          <w:szCs w:val="18"/>
        </w:rPr>
        <w:t xml:space="preserve"> sur 7</w:t>
      </w:r>
      <w:r w:rsidR="00453A61" w:rsidRPr="00CE2F52">
        <w:rPr>
          <w:rFonts w:asciiTheme="minorHAnsi" w:eastAsiaTheme="minorHAnsi" w:hAnsiTheme="minorHAnsi" w:cstheme="minorBidi"/>
          <w:color w:val="auto"/>
          <w:sz w:val="18"/>
          <w:szCs w:val="18"/>
        </w:rPr>
        <w:t>, 12 février 2023</w:t>
      </w:r>
      <w:r w:rsidR="00E94B63" w:rsidRPr="00CE2F52">
        <w:rPr>
          <w:rFonts w:asciiTheme="minorHAnsi" w:eastAsiaTheme="minorHAnsi" w:hAnsiTheme="minorHAnsi" w:cstheme="minorBidi"/>
          <w:color w:val="auto"/>
          <w:sz w:val="18"/>
          <w:szCs w:val="18"/>
        </w:rPr>
        <w:t xml:space="preserve">, </w:t>
      </w:r>
      <w:hyperlink r:id="rId1" w:history="1">
        <w:r w:rsidR="00E8007E" w:rsidRPr="00CE2F52">
          <w:rPr>
            <w:rStyle w:val="Lienhypertexte"/>
            <w:rFonts w:asciiTheme="minorHAnsi" w:eastAsiaTheme="minorHAnsi" w:hAnsiTheme="minorHAnsi" w:cstheme="minorBidi"/>
            <w:sz w:val="18"/>
            <w:szCs w:val="18"/>
          </w:rPr>
          <w:t>https://www.7sur7.be/belgique/prevot-a-la-trumpisation-du-mr-nous-preferons-le-liberalisme-social-de-leffort-et-du-coeur~a82da44d/</w:t>
        </w:r>
      </w:hyperlink>
      <w:r w:rsidR="00E8007E" w:rsidRPr="00CE2F52">
        <w:rPr>
          <w:rFonts w:asciiTheme="minorHAnsi" w:eastAsiaTheme="minorHAnsi" w:hAnsiTheme="minorHAnsi" w:cstheme="minorBidi"/>
          <w:color w:val="auto"/>
          <w:sz w:val="18"/>
          <w:szCs w:val="18"/>
        </w:rPr>
        <w:t xml:space="preserve"> </w:t>
      </w:r>
    </w:p>
  </w:footnote>
  <w:footnote w:id="2">
    <w:p w14:paraId="5B6437C3" w14:textId="71DD1A4A" w:rsidR="005F3F7D" w:rsidRPr="00CE2F52" w:rsidRDefault="005F3F7D" w:rsidP="008D18EA">
      <w:pPr>
        <w:pStyle w:val="Notedebasdepage"/>
        <w:jc w:val="both"/>
        <w:rPr>
          <w:sz w:val="18"/>
          <w:szCs w:val="18"/>
        </w:rPr>
      </w:pPr>
      <w:r w:rsidRPr="00CE2F52">
        <w:rPr>
          <w:rStyle w:val="Appelnotedebasdep"/>
          <w:sz w:val="18"/>
          <w:szCs w:val="18"/>
        </w:rPr>
        <w:footnoteRef/>
      </w:r>
      <w:r w:rsidR="002F25FE" w:rsidRPr="00CE2F52">
        <w:rPr>
          <w:sz w:val="18"/>
          <w:szCs w:val="18"/>
        </w:rPr>
        <w:t xml:space="preserve"> </w:t>
      </w:r>
      <w:proofErr w:type="spellStart"/>
      <w:r w:rsidR="004827BF" w:rsidRPr="00CE2F52">
        <w:rPr>
          <w:sz w:val="18"/>
          <w:szCs w:val="18"/>
        </w:rPr>
        <w:t>Henne</w:t>
      </w:r>
      <w:proofErr w:type="spellEnd"/>
      <w:r w:rsidR="004827BF" w:rsidRPr="00CE2F52">
        <w:rPr>
          <w:sz w:val="18"/>
          <w:szCs w:val="18"/>
        </w:rPr>
        <w:t>,</w:t>
      </w:r>
      <w:r w:rsidR="00164D08" w:rsidRPr="00CE2F52">
        <w:rPr>
          <w:sz w:val="18"/>
          <w:szCs w:val="18"/>
        </w:rPr>
        <w:t xml:space="preserve"> </w:t>
      </w:r>
      <w:r w:rsidR="004827BF" w:rsidRPr="00CE2F52">
        <w:rPr>
          <w:sz w:val="18"/>
          <w:szCs w:val="18"/>
        </w:rPr>
        <w:t>B.,</w:t>
      </w:r>
      <w:r w:rsidR="0036379E" w:rsidRPr="00CE2F52">
        <w:rPr>
          <w:sz w:val="18"/>
          <w:szCs w:val="18"/>
        </w:rPr>
        <w:t> </w:t>
      </w:r>
      <w:r w:rsidR="00164D08" w:rsidRPr="00CE2F52">
        <w:rPr>
          <w:sz w:val="18"/>
          <w:szCs w:val="18"/>
        </w:rPr>
        <w:t>« </w:t>
      </w:r>
      <w:r w:rsidR="0036379E" w:rsidRPr="00CE2F52">
        <w:rPr>
          <w:sz w:val="18"/>
          <w:szCs w:val="18"/>
        </w:rPr>
        <w:t>Les Engagés :</w:t>
      </w:r>
      <w:r w:rsidR="005836BF" w:rsidRPr="00CE2F52">
        <w:rPr>
          <w:sz w:val="18"/>
          <w:szCs w:val="18"/>
        </w:rPr>
        <w:t xml:space="preserve"> </w:t>
      </w:r>
      <w:r w:rsidR="0036379E" w:rsidRPr="00CE2F52">
        <w:rPr>
          <w:sz w:val="18"/>
          <w:szCs w:val="18"/>
        </w:rPr>
        <w:t xml:space="preserve">la bataille du centre droit », </w:t>
      </w:r>
      <w:r w:rsidR="000E09F1" w:rsidRPr="00CE2F52">
        <w:rPr>
          <w:i/>
          <w:iCs/>
          <w:sz w:val="18"/>
          <w:szCs w:val="18"/>
        </w:rPr>
        <w:t>RTBF</w:t>
      </w:r>
      <w:r w:rsidR="00167874" w:rsidRPr="00CE2F52">
        <w:rPr>
          <w:sz w:val="18"/>
          <w:szCs w:val="18"/>
        </w:rPr>
        <w:t>,</w:t>
      </w:r>
      <w:r w:rsidR="00AB18E1" w:rsidRPr="00CE2F52">
        <w:rPr>
          <w:sz w:val="18"/>
          <w:szCs w:val="18"/>
        </w:rPr>
        <w:t xml:space="preserve"> 19 septembre 2023,</w:t>
      </w:r>
      <w:r w:rsidR="00167874" w:rsidRPr="00CE2F52">
        <w:rPr>
          <w:sz w:val="18"/>
          <w:szCs w:val="18"/>
        </w:rPr>
        <w:t xml:space="preserve"> </w:t>
      </w:r>
      <w:hyperlink r:id="rId2" w:history="1">
        <w:r w:rsidR="00167874" w:rsidRPr="00CE2F52">
          <w:rPr>
            <w:rStyle w:val="Lienhypertexte"/>
            <w:sz w:val="18"/>
            <w:szCs w:val="18"/>
          </w:rPr>
          <w:t>https://www.rtbf.be/article/les-engages-la-bataille-du-centre-droit-11258223</w:t>
        </w:r>
      </w:hyperlink>
      <w:r w:rsidR="00167874" w:rsidRPr="00CE2F52">
        <w:rPr>
          <w:sz w:val="18"/>
          <w:szCs w:val="18"/>
        </w:rPr>
        <w:t xml:space="preserve">; </w:t>
      </w:r>
      <w:r w:rsidR="00DF5978" w:rsidRPr="00CE2F52">
        <w:rPr>
          <w:sz w:val="18"/>
          <w:szCs w:val="18"/>
        </w:rPr>
        <w:t>Dumont, M</w:t>
      </w:r>
      <w:r w:rsidR="00DF5978" w:rsidRPr="00CE2F52">
        <w:rPr>
          <w:i/>
          <w:iCs/>
          <w:sz w:val="18"/>
          <w:szCs w:val="18"/>
        </w:rPr>
        <w:t>.</w:t>
      </w:r>
      <w:r w:rsidR="00374D68" w:rsidRPr="00CE2F52">
        <w:rPr>
          <w:i/>
          <w:iCs/>
          <w:sz w:val="18"/>
          <w:szCs w:val="18"/>
        </w:rPr>
        <w:t xml:space="preserve">, </w:t>
      </w:r>
      <w:r w:rsidR="00374D68" w:rsidRPr="00CE2F52">
        <w:rPr>
          <w:sz w:val="18"/>
          <w:szCs w:val="18"/>
        </w:rPr>
        <w:t xml:space="preserve">« Les Engagés </w:t>
      </w:r>
      <w:r w:rsidR="004827BF" w:rsidRPr="00CE2F52">
        <w:rPr>
          <w:sz w:val="18"/>
          <w:szCs w:val="18"/>
        </w:rPr>
        <w:t>ressuscités</w:t>
      </w:r>
      <w:r w:rsidR="00374D68" w:rsidRPr="00CE2F52">
        <w:rPr>
          <w:sz w:val="18"/>
          <w:szCs w:val="18"/>
        </w:rPr>
        <w:t>, le miracle de Georges-Louis Bouchez</w:t>
      </w:r>
      <w:r w:rsidR="004827BF" w:rsidRPr="00CE2F52">
        <w:rPr>
          <w:sz w:val="18"/>
          <w:szCs w:val="18"/>
        </w:rPr>
        <w:t> »,</w:t>
      </w:r>
      <w:r w:rsidR="00374D68" w:rsidRPr="00CE2F52">
        <w:rPr>
          <w:sz w:val="18"/>
          <w:szCs w:val="18"/>
        </w:rPr>
        <w:t xml:space="preserve"> </w:t>
      </w:r>
      <w:r w:rsidR="00167874" w:rsidRPr="00CE2F52">
        <w:rPr>
          <w:i/>
          <w:iCs/>
          <w:sz w:val="18"/>
          <w:szCs w:val="18"/>
        </w:rPr>
        <w:t>Télé Sambre</w:t>
      </w:r>
      <w:r w:rsidR="00167874" w:rsidRPr="00CE2F52">
        <w:rPr>
          <w:sz w:val="18"/>
          <w:szCs w:val="18"/>
        </w:rPr>
        <w:t xml:space="preserve">, </w:t>
      </w:r>
      <w:r w:rsidR="004827BF" w:rsidRPr="00CE2F52">
        <w:rPr>
          <w:sz w:val="18"/>
          <w:szCs w:val="18"/>
        </w:rPr>
        <w:t xml:space="preserve">02 octobre 2023, </w:t>
      </w:r>
      <w:hyperlink r:id="rId3" w:history="1">
        <w:r w:rsidR="00250D17" w:rsidRPr="00CE2F52">
          <w:rPr>
            <w:rStyle w:val="Lienhypertexte"/>
            <w:sz w:val="18"/>
            <w:szCs w:val="18"/>
          </w:rPr>
          <w:t>https://www.telesambre.be/edito-les-engages-ressuscites-le-miracle-de-georges-louis-bouchez</w:t>
        </w:r>
      </w:hyperlink>
      <w:r w:rsidR="00250D17" w:rsidRPr="00CE2F52">
        <w:rPr>
          <w:sz w:val="18"/>
          <w:szCs w:val="18"/>
        </w:rPr>
        <w:t xml:space="preserve"> </w:t>
      </w:r>
    </w:p>
  </w:footnote>
  <w:footnote w:id="3">
    <w:p w14:paraId="49814A6B" w14:textId="7D7D41DC" w:rsidR="00313AA9" w:rsidRPr="00CE2F52" w:rsidRDefault="00313AA9">
      <w:pPr>
        <w:pStyle w:val="Notedebasdepage"/>
        <w:rPr>
          <w:sz w:val="18"/>
          <w:szCs w:val="18"/>
        </w:rPr>
      </w:pPr>
      <w:r w:rsidRPr="00CE2F52">
        <w:rPr>
          <w:rStyle w:val="Appelnotedebasdep"/>
          <w:sz w:val="18"/>
          <w:szCs w:val="18"/>
        </w:rPr>
        <w:footnoteRef/>
      </w:r>
      <w:r w:rsidRPr="00CE2F52">
        <w:rPr>
          <w:sz w:val="18"/>
          <w:szCs w:val="18"/>
        </w:rPr>
        <w:t xml:space="preserve"> Rawls, J., </w:t>
      </w:r>
      <w:r w:rsidRPr="00CE2F52">
        <w:rPr>
          <w:i/>
          <w:iCs/>
          <w:sz w:val="18"/>
          <w:szCs w:val="18"/>
        </w:rPr>
        <w:t>Théorie de la justice</w:t>
      </w:r>
      <w:r w:rsidRPr="00CE2F52">
        <w:rPr>
          <w:sz w:val="18"/>
          <w:szCs w:val="18"/>
        </w:rPr>
        <w:t xml:space="preserve">, </w:t>
      </w:r>
      <w:r w:rsidR="000437F3" w:rsidRPr="00CE2F52">
        <w:rPr>
          <w:sz w:val="18"/>
          <w:szCs w:val="18"/>
        </w:rPr>
        <w:t xml:space="preserve">Paris, Seuil, </w:t>
      </w:r>
      <w:r w:rsidR="0075040B" w:rsidRPr="00CE2F52">
        <w:rPr>
          <w:sz w:val="18"/>
          <w:szCs w:val="18"/>
        </w:rPr>
        <w:t>1987</w:t>
      </w:r>
      <w:r w:rsidR="00465FD7" w:rsidRPr="00CE2F52">
        <w:rPr>
          <w:sz w:val="18"/>
          <w:szCs w:val="18"/>
        </w:rPr>
        <w:t xml:space="preserve"> et </w:t>
      </w:r>
      <w:r w:rsidR="00465FD7" w:rsidRPr="00CE2F52">
        <w:rPr>
          <w:i/>
          <w:iCs/>
          <w:sz w:val="18"/>
          <w:szCs w:val="18"/>
        </w:rPr>
        <w:t>Libéralisme politique</w:t>
      </w:r>
      <w:r w:rsidR="00465FD7" w:rsidRPr="00CE2F52">
        <w:rPr>
          <w:sz w:val="18"/>
          <w:szCs w:val="18"/>
        </w:rPr>
        <w:t xml:space="preserve">, Paris, PUF, 2001. </w:t>
      </w:r>
    </w:p>
  </w:footnote>
  <w:footnote w:id="4">
    <w:p w14:paraId="13184F32" w14:textId="3F99C6AB" w:rsidR="00670A4B" w:rsidRPr="00CE2F52" w:rsidRDefault="00670A4B">
      <w:pPr>
        <w:pStyle w:val="Notedebasdepage"/>
        <w:rPr>
          <w:sz w:val="18"/>
          <w:szCs w:val="18"/>
        </w:rPr>
      </w:pPr>
      <w:r w:rsidRPr="00CE2F52">
        <w:rPr>
          <w:rStyle w:val="Appelnotedebasdep"/>
          <w:sz w:val="18"/>
          <w:szCs w:val="18"/>
        </w:rPr>
        <w:footnoteRef/>
      </w:r>
      <w:r w:rsidRPr="00CE2F52">
        <w:rPr>
          <w:sz w:val="18"/>
          <w:szCs w:val="18"/>
        </w:rPr>
        <w:t xml:space="preserve"> </w:t>
      </w:r>
      <w:r w:rsidR="009A62EB" w:rsidRPr="00CE2F52">
        <w:rPr>
          <w:sz w:val="18"/>
          <w:szCs w:val="18"/>
        </w:rPr>
        <w:t xml:space="preserve">de Briey, L., </w:t>
      </w:r>
      <w:r w:rsidR="009A62EB" w:rsidRPr="00CE2F52">
        <w:rPr>
          <w:i/>
          <w:iCs/>
          <w:sz w:val="18"/>
          <w:szCs w:val="18"/>
        </w:rPr>
        <w:t>Le sens du politique</w:t>
      </w:r>
      <w:r w:rsidR="009A62EB" w:rsidRPr="00CE2F52">
        <w:rPr>
          <w:sz w:val="18"/>
          <w:szCs w:val="18"/>
        </w:rPr>
        <w:t>, Wavre, Mardaga, 2009, p. 249.</w:t>
      </w:r>
    </w:p>
  </w:footnote>
  <w:footnote w:id="5">
    <w:p w14:paraId="5A281F37" w14:textId="3FB4A540" w:rsidR="00DD6E88" w:rsidRPr="00B719D3" w:rsidRDefault="00DD6E88" w:rsidP="00DD6E88">
      <w:pPr>
        <w:pStyle w:val="Notedebasdepage"/>
        <w:rPr>
          <w:sz w:val="18"/>
          <w:szCs w:val="18"/>
        </w:rPr>
      </w:pPr>
      <w:r w:rsidRPr="00CE2F52">
        <w:rPr>
          <w:rStyle w:val="Appelnotedebasdep"/>
          <w:sz w:val="18"/>
          <w:szCs w:val="18"/>
        </w:rPr>
        <w:footnoteRef/>
      </w:r>
      <w:r w:rsidRPr="00B719D3">
        <w:rPr>
          <w:sz w:val="18"/>
          <w:szCs w:val="18"/>
        </w:rPr>
        <w:t xml:space="preserve"> </w:t>
      </w:r>
      <w:r w:rsidR="00CE2F52" w:rsidRPr="00B719D3">
        <w:rPr>
          <w:sz w:val="18"/>
          <w:szCs w:val="18"/>
        </w:rPr>
        <w:t xml:space="preserve">de Briey, L., Prévot, M., Manifeste pour une société régénérée, Luc Pire, Bruxelles, 2022, </w:t>
      </w:r>
      <w:r w:rsidRPr="00B719D3">
        <w:rPr>
          <w:sz w:val="18"/>
          <w:szCs w:val="18"/>
        </w:rPr>
        <w:t>p. 18-19.</w:t>
      </w:r>
    </w:p>
  </w:footnote>
  <w:footnote w:id="6">
    <w:p w14:paraId="793347F8" w14:textId="0BC1DFC9" w:rsidR="000E38D9" w:rsidRPr="00B719D3" w:rsidRDefault="000E38D9">
      <w:pPr>
        <w:pStyle w:val="Notedebasdepage"/>
        <w:rPr>
          <w:sz w:val="18"/>
          <w:szCs w:val="18"/>
        </w:rPr>
      </w:pPr>
      <w:r w:rsidRPr="00CE2F52">
        <w:rPr>
          <w:rStyle w:val="Appelnotedebasdep"/>
          <w:sz w:val="18"/>
          <w:szCs w:val="18"/>
        </w:rPr>
        <w:footnoteRef/>
      </w:r>
      <w:r w:rsidRPr="00B719D3">
        <w:rPr>
          <w:sz w:val="18"/>
          <w:szCs w:val="18"/>
        </w:rPr>
        <w:t xml:space="preserve"> de Briey. L., Prévot, M., </w:t>
      </w:r>
      <w:r w:rsidRPr="00B719D3">
        <w:rPr>
          <w:i/>
          <w:iCs/>
          <w:sz w:val="18"/>
          <w:szCs w:val="18"/>
        </w:rPr>
        <w:t xml:space="preserve">op. </w:t>
      </w:r>
      <w:proofErr w:type="spellStart"/>
      <w:r w:rsidRPr="00B719D3">
        <w:rPr>
          <w:i/>
          <w:iCs/>
          <w:sz w:val="18"/>
          <w:szCs w:val="18"/>
        </w:rPr>
        <w:t>cit</w:t>
      </w:r>
      <w:proofErr w:type="spellEnd"/>
      <w:r w:rsidRPr="00B719D3">
        <w:rPr>
          <w:i/>
          <w:iCs/>
          <w:sz w:val="18"/>
          <w:szCs w:val="18"/>
        </w:rPr>
        <w:t>.</w:t>
      </w:r>
      <w:r w:rsidRPr="00B719D3">
        <w:rPr>
          <w:sz w:val="18"/>
          <w:szCs w:val="18"/>
        </w:rPr>
        <w:t>, p. 16.</w:t>
      </w:r>
    </w:p>
  </w:footnote>
  <w:footnote w:id="7">
    <w:p w14:paraId="50426BC1" w14:textId="77777777" w:rsidR="00DD6E88" w:rsidRPr="00CE2F52" w:rsidRDefault="00DD6E88" w:rsidP="00DD6E88">
      <w:pPr>
        <w:pStyle w:val="Notedebasdepage"/>
        <w:rPr>
          <w:sz w:val="18"/>
          <w:szCs w:val="18"/>
        </w:rPr>
      </w:pPr>
      <w:r w:rsidRPr="00CE2F52">
        <w:rPr>
          <w:rStyle w:val="Appelnotedebasdep"/>
          <w:sz w:val="18"/>
          <w:szCs w:val="18"/>
        </w:rPr>
        <w:footnoteRef/>
      </w:r>
      <w:r w:rsidRPr="00CE2F52">
        <w:rPr>
          <w:sz w:val="18"/>
          <w:szCs w:val="18"/>
        </w:rPr>
        <w:t xml:space="preserve"> </w:t>
      </w:r>
      <w:bookmarkStart w:id="0" w:name="_Hlk146720286"/>
      <w:proofErr w:type="spellStart"/>
      <w:r w:rsidRPr="00CE2F52">
        <w:rPr>
          <w:sz w:val="18"/>
          <w:szCs w:val="18"/>
        </w:rPr>
        <w:t>Audier</w:t>
      </w:r>
      <w:proofErr w:type="spellEnd"/>
      <w:r w:rsidRPr="00CE2F52">
        <w:rPr>
          <w:sz w:val="18"/>
          <w:szCs w:val="18"/>
        </w:rPr>
        <w:t xml:space="preserve">, S., </w:t>
      </w:r>
      <w:r w:rsidRPr="00CE2F52">
        <w:rPr>
          <w:i/>
          <w:iCs/>
          <w:sz w:val="18"/>
          <w:szCs w:val="18"/>
        </w:rPr>
        <w:t>La cité écologique. Pour un éco-républicanisme</w:t>
      </w:r>
      <w:r w:rsidRPr="00CE2F52">
        <w:rPr>
          <w:sz w:val="18"/>
          <w:szCs w:val="18"/>
        </w:rPr>
        <w:t>¸ Paris, La Découverte, 2020</w:t>
      </w:r>
      <w:bookmarkEnd w:id="0"/>
      <w:r w:rsidRPr="00CE2F52">
        <w:rPr>
          <w:sz w:val="18"/>
          <w:szCs w:val="18"/>
        </w:rPr>
        <w:t>, p. 652.</w:t>
      </w:r>
    </w:p>
  </w:footnote>
  <w:footnote w:id="8">
    <w:p w14:paraId="11C8E0F7" w14:textId="77777777" w:rsidR="00AB6223" w:rsidRPr="00CE2F52" w:rsidRDefault="00AB6223" w:rsidP="00AB6223">
      <w:pPr>
        <w:pStyle w:val="Notedebasdepage"/>
        <w:jc w:val="both"/>
        <w:rPr>
          <w:sz w:val="18"/>
          <w:szCs w:val="18"/>
        </w:rPr>
      </w:pPr>
      <w:r w:rsidRPr="00CE2F52">
        <w:rPr>
          <w:rStyle w:val="Appelnotedebasdep"/>
          <w:sz w:val="18"/>
          <w:szCs w:val="18"/>
        </w:rPr>
        <w:footnoteRef/>
      </w:r>
      <w:r w:rsidRPr="00CE2F52">
        <w:rPr>
          <w:sz w:val="18"/>
          <w:szCs w:val="18"/>
        </w:rPr>
        <w:t xml:space="preserve"> </w:t>
      </w:r>
      <w:proofErr w:type="spellStart"/>
      <w:r w:rsidRPr="00CE2F52">
        <w:rPr>
          <w:sz w:val="18"/>
          <w:szCs w:val="18"/>
        </w:rPr>
        <w:t>Beke</w:t>
      </w:r>
      <w:proofErr w:type="spellEnd"/>
      <w:r w:rsidRPr="00CE2F52">
        <w:rPr>
          <w:sz w:val="18"/>
          <w:szCs w:val="18"/>
        </w:rPr>
        <w:t xml:space="preserve">, W., « L’identité démocrate chrétienne. </w:t>
      </w:r>
      <w:proofErr w:type="spellStart"/>
      <w:r w:rsidRPr="00CE2F52">
        <w:rPr>
          <w:sz w:val="18"/>
          <w:szCs w:val="18"/>
        </w:rPr>
        <w:t>Etapes</w:t>
      </w:r>
      <w:proofErr w:type="spellEnd"/>
      <w:r w:rsidRPr="00CE2F52">
        <w:rPr>
          <w:sz w:val="18"/>
          <w:szCs w:val="18"/>
        </w:rPr>
        <w:t xml:space="preserve"> dans un processus d’émancipation en relation avec le conservatisme » in </w:t>
      </w:r>
      <w:proofErr w:type="spellStart"/>
      <w:r w:rsidRPr="00CE2F52">
        <w:rPr>
          <w:sz w:val="18"/>
          <w:szCs w:val="18"/>
        </w:rPr>
        <w:t>Delwit</w:t>
      </w:r>
      <w:proofErr w:type="spellEnd"/>
      <w:r w:rsidRPr="00CE2F52">
        <w:rPr>
          <w:sz w:val="18"/>
          <w:szCs w:val="18"/>
        </w:rPr>
        <w:t xml:space="preserve">, P., (éd.), </w:t>
      </w:r>
      <w:r w:rsidRPr="00CE2F52">
        <w:rPr>
          <w:i/>
          <w:iCs/>
          <w:sz w:val="18"/>
          <w:szCs w:val="18"/>
        </w:rPr>
        <w:t>Démocraties chrétiennes et conservatismes en Europe. Une nouvelle convergence ?</w:t>
      </w:r>
      <w:r w:rsidRPr="00CE2F52">
        <w:rPr>
          <w:sz w:val="18"/>
          <w:szCs w:val="18"/>
        </w:rPr>
        <w:t xml:space="preserve"> » Paris, </w:t>
      </w:r>
      <w:proofErr w:type="spellStart"/>
      <w:r w:rsidRPr="00CE2F52">
        <w:rPr>
          <w:sz w:val="18"/>
          <w:szCs w:val="18"/>
        </w:rPr>
        <w:t>Editions</w:t>
      </w:r>
      <w:proofErr w:type="spellEnd"/>
      <w:r w:rsidRPr="00CE2F52">
        <w:rPr>
          <w:sz w:val="18"/>
          <w:szCs w:val="18"/>
        </w:rPr>
        <w:t xml:space="preserve"> de l’Université de Bruxelles (Sociologie politique), 2003, p. 25. </w:t>
      </w:r>
    </w:p>
  </w:footnote>
  <w:footnote w:id="9">
    <w:p w14:paraId="626B0FF0" w14:textId="74FF24DD" w:rsidR="00AB6223" w:rsidRPr="00CE2F52" w:rsidRDefault="00AB6223" w:rsidP="00AB6223">
      <w:pPr>
        <w:pStyle w:val="Notedebasdepage"/>
        <w:jc w:val="both"/>
        <w:rPr>
          <w:sz w:val="18"/>
          <w:szCs w:val="18"/>
        </w:rPr>
      </w:pPr>
      <w:r w:rsidRPr="00CE2F52">
        <w:rPr>
          <w:rStyle w:val="Appelnotedebasdep"/>
          <w:sz w:val="18"/>
          <w:szCs w:val="18"/>
        </w:rPr>
        <w:footnoteRef/>
      </w:r>
      <w:r w:rsidRPr="00CE2F52">
        <w:rPr>
          <w:sz w:val="18"/>
          <w:szCs w:val="18"/>
        </w:rPr>
        <w:t xml:space="preserve"> </w:t>
      </w:r>
      <w:proofErr w:type="spellStart"/>
      <w:r w:rsidRPr="00CE2F52">
        <w:rPr>
          <w:sz w:val="18"/>
          <w:szCs w:val="18"/>
        </w:rPr>
        <w:t>Delwit</w:t>
      </w:r>
      <w:proofErr w:type="spellEnd"/>
      <w:r w:rsidRPr="00CE2F52">
        <w:rPr>
          <w:sz w:val="18"/>
          <w:szCs w:val="18"/>
        </w:rPr>
        <w:t xml:space="preserve">, P., « Du parti catholique au Centre démocrate humaniste. Les questionnements de la démocratie chrétienne en Belgique francophone » in </w:t>
      </w:r>
      <w:proofErr w:type="spellStart"/>
      <w:r w:rsidRPr="00CE2F52">
        <w:rPr>
          <w:sz w:val="18"/>
          <w:szCs w:val="18"/>
        </w:rPr>
        <w:t>Delwit</w:t>
      </w:r>
      <w:proofErr w:type="spellEnd"/>
      <w:r w:rsidRPr="00CE2F52">
        <w:rPr>
          <w:sz w:val="18"/>
          <w:szCs w:val="18"/>
        </w:rPr>
        <w:t xml:space="preserve">, </w:t>
      </w:r>
      <w:r w:rsidR="00F33C36" w:rsidRPr="00CE2F52">
        <w:rPr>
          <w:sz w:val="18"/>
          <w:szCs w:val="18"/>
        </w:rPr>
        <w:t>P</w:t>
      </w:r>
      <w:r w:rsidRPr="00CE2F52">
        <w:rPr>
          <w:sz w:val="18"/>
          <w:szCs w:val="18"/>
        </w:rPr>
        <w:t xml:space="preserve">. (éd.), </w:t>
      </w:r>
      <w:r w:rsidRPr="00CE2F52">
        <w:rPr>
          <w:i/>
          <w:iCs/>
          <w:sz w:val="18"/>
          <w:szCs w:val="18"/>
        </w:rPr>
        <w:t xml:space="preserve">op. </w:t>
      </w:r>
      <w:proofErr w:type="spellStart"/>
      <w:r w:rsidRPr="00CE2F52">
        <w:rPr>
          <w:i/>
          <w:iCs/>
          <w:sz w:val="18"/>
          <w:szCs w:val="18"/>
        </w:rPr>
        <w:t>cit</w:t>
      </w:r>
      <w:proofErr w:type="spellEnd"/>
      <w:r w:rsidRPr="00CE2F52">
        <w:rPr>
          <w:i/>
          <w:iCs/>
          <w:sz w:val="18"/>
          <w:szCs w:val="18"/>
        </w:rPr>
        <w:t>.</w:t>
      </w:r>
      <w:r w:rsidRPr="00CE2F52">
        <w:rPr>
          <w:sz w:val="18"/>
          <w:szCs w:val="18"/>
        </w:rPr>
        <w:t xml:space="preserve"> p. 207.</w:t>
      </w:r>
    </w:p>
  </w:footnote>
  <w:footnote w:id="10">
    <w:p w14:paraId="404F4A78" w14:textId="06338026" w:rsidR="00AB6223" w:rsidRPr="00CE2F52" w:rsidRDefault="00AB6223" w:rsidP="002769D8">
      <w:pPr>
        <w:pStyle w:val="Titre1"/>
        <w:spacing w:before="0" w:line="240" w:lineRule="auto"/>
        <w:jc w:val="both"/>
        <w:rPr>
          <w:sz w:val="18"/>
          <w:szCs w:val="18"/>
        </w:rPr>
      </w:pPr>
      <w:r w:rsidRPr="00CE2F52">
        <w:rPr>
          <w:rFonts w:asciiTheme="minorHAnsi" w:eastAsiaTheme="minorHAnsi" w:hAnsiTheme="minorHAnsi" w:cstheme="minorBidi"/>
          <w:color w:val="auto"/>
          <w:sz w:val="18"/>
          <w:szCs w:val="18"/>
          <w:vertAlign w:val="superscript"/>
        </w:rPr>
        <w:footnoteRef/>
      </w:r>
      <w:r w:rsidRPr="00CE2F52">
        <w:rPr>
          <w:rFonts w:asciiTheme="minorHAnsi" w:eastAsiaTheme="minorHAnsi" w:hAnsiTheme="minorHAnsi" w:cstheme="minorBidi"/>
          <w:color w:val="auto"/>
          <w:sz w:val="18"/>
          <w:szCs w:val="18"/>
        </w:rPr>
        <w:t xml:space="preserve"> </w:t>
      </w:r>
      <w:proofErr w:type="spellStart"/>
      <w:r w:rsidR="0076189D" w:rsidRPr="00CE2F52">
        <w:rPr>
          <w:rFonts w:asciiTheme="minorHAnsi" w:eastAsiaTheme="minorHAnsi" w:hAnsiTheme="minorHAnsi" w:cstheme="minorBidi"/>
          <w:color w:val="auto"/>
          <w:sz w:val="18"/>
          <w:szCs w:val="18"/>
        </w:rPr>
        <w:t>Delco</w:t>
      </w:r>
      <w:r w:rsidR="002769D8" w:rsidRPr="00CE2F52">
        <w:rPr>
          <w:rFonts w:asciiTheme="minorHAnsi" w:eastAsiaTheme="minorHAnsi" w:hAnsiTheme="minorHAnsi" w:cstheme="minorBidi"/>
          <w:color w:val="auto"/>
          <w:sz w:val="18"/>
          <w:szCs w:val="18"/>
        </w:rPr>
        <w:t>r</w:t>
      </w:r>
      <w:r w:rsidR="0076189D" w:rsidRPr="00CE2F52">
        <w:rPr>
          <w:rFonts w:asciiTheme="minorHAnsi" w:eastAsiaTheme="minorHAnsi" w:hAnsiTheme="minorHAnsi" w:cstheme="minorBidi"/>
          <w:color w:val="auto"/>
          <w:sz w:val="18"/>
          <w:szCs w:val="18"/>
        </w:rPr>
        <w:t>ps</w:t>
      </w:r>
      <w:proofErr w:type="spellEnd"/>
      <w:r w:rsidR="0076189D" w:rsidRPr="00CE2F52">
        <w:rPr>
          <w:rFonts w:asciiTheme="minorHAnsi" w:eastAsiaTheme="minorHAnsi" w:hAnsiTheme="minorHAnsi" w:cstheme="minorBidi"/>
          <w:color w:val="auto"/>
          <w:sz w:val="18"/>
          <w:szCs w:val="18"/>
        </w:rPr>
        <w:t>, V., «</w:t>
      </w:r>
      <w:r w:rsidR="0076189D" w:rsidRPr="00CE2F52">
        <w:rPr>
          <w:sz w:val="18"/>
          <w:szCs w:val="18"/>
        </w:rPr>
        <w:t> </w:t>
      </w:r>
      <w:r w:rsidR="0076189D" w:rsidRPr="00CE2F52">
        <w:rPr>
          <w:rFonts w:asciiTheme="minorHAnsi" w:eastAsiaTheme="minorHAnsi" w:hAnsiTheme="minorHAnsi" w:cstheme="minorBidi"/>
          <w:color w:val="auto"/>
          <w:sz w:val="18"/>
          <w:szCs w:val="18"/>
        </w:rPr>
        <w:t xml:space="preserve">Laurent de Briey: ‘Si l’on construit un mouvement sur un passé, on exclut forcément’ », </w:t>
      </w:r>
      <w:proofErr w:type="spellStart"/>
      <w:r w:rsidR="0076189D" w:rsidRPr="00CE2F52">
        <w:rPr>
          <w:rFonts w:asciiTheme="minorHAnsi" w:eastAsiaTheme="minorHAnsi" w:hAnsiTheme="minorHAnsi" w:cstheme="minorBidi"/>
          <w:i/>
          <w:iCs/>
          <w:color w:val="auto"/>
          <w:sz w:val="18"/>
          <w:szCs w:val="18"/>
        </w:rPr>
        <w:t>Cathobel</w:t>
      </w:r>
      <w:proofErr w:type="spellEnd"/>
      <w:r w:rsidR="002769D8" w:rsidRPr="00CE2F52">
        <w:rPr>
          <w:rFonts w:asciiTheme="minorHAnsi" w:eastAsiaTheme="minorHAnsi" w:hAnsiTheme="minorHAnsi" w:cstheme="minorBidi"/>
          <w:color w:val="auto"/>
          <w:sz w:val="18"/>
          <w:szCs w:val="18"/>
        </w:rPr>
        <w:t>, 01 juin 2022,</w:t>
      </w:r>
      <w:r w:rsidR="002769D8" w:rsidRPr="00CE2F52">
        <w:rPr>
          <w:sz w:val="18"/>
          <w:szCs w:val="18"/>
        </w:rPr>
        <w:t xml:space="preserve"> </w:t>
      </w:r>
      <w:r w:rsidRPr="00CE2F52">
        <w:rPr>
          <w:rFonts w:asciiTheme="minorHAnsi" w:eastAsiaTheme="minorHAnsi" w:hAnsiTheme="minorHAnsi" w:cstheme="minorBidi"/>
          <w:color w:val="auto"/>
          <w:sz w:val="18"/>
          <w:szCs w:val="18"/>
        </w:rPr>
        <w:t>https://www.cathobel.be/2022/06/laurent-de-briey-si-lon-construit-un-mouvement-sur-un-passe-on-exclut-forcement/</w:t>
      </w:r>
    </w:p>
  </w:footnote>
  <w:footnote w:id="11">
    <w:p w14:paraId="1F2C9EBC" w14:textId="77777777" w:rsidR="00DD6E88" w:rsidRPr="00B719D3" w:rsidRDefault="00DD6E88" w:rsidP="00DD6E88">
      <w:pPr>
        <w:pStyle w:val="Notedebasdepage"/>
        <w:jc w:val="both"/>
        <w:rPr>
          <w:sz w:val="18"/>
          <w:szCs w:val="18"/>
        </w:rPr>
      </w:pPr>
      <w:r w:rsidRPr="00CE2F52">
        <w:rPr>
          <w:rStyle w:val="Appelnotedebasdep"/>
          <w:sz w:val="18"/>
          <w:szCs w:val="18"/>
        </w:rPr>
        <w:footnoteRef/>
      </w:r>
      <w:r w:rsidRPr="00B719D3">
        <w:rPr>
          <w:sz w:val="18"/>
          <w:szCs w:val="18"/>
        </w:rPr>
        <w:t xml:space="preserve"> </w:t>
      </w:r>
      <w:proofErr w:type="spellStart"/>
      <w:r w:rsidRPr="00B719D3">
        <w:rPr>
          <w:sz w:val="18"/>
          <w:szCs w:val="18"/>
        </w:rPr>
        <w:t>Raworth</w:t>
      </w:r>
      <w:proofErr w:type="spellEnd"/>
      <w:r w:rsidRPr="00B719D3">
        <w:rPr>
          <w:sz w:val="18"/>
          <w:szCs w:val="18"/>
        </w:rPr>
        <w:t xml:space="preserve">, K., </w:t>
      </w:r>
      <w:r w:rsidRPr="00B719D3">
        <w:rPr>
          <w:i/>
          <w:iCs/>
          <w:sz w:val="18"/>
          <w:szCs w:val="18"/>
        </w:rPr>
        <w:t xml:space="preserve">Doughnut </w:t>
      </w:r>
      <w:proofErr w:type="spellStart"/>
      <w:r w:rsidRPr="00B719D3">
        <w:rPr>
          <w:i/>
          <w:iCs/>
          <w:sz w:val="18"/>
          <w:szCs w:val="18"/>
        </w:rPr>
        <w:t>Economics</w:t>
      </w:r>
      <w:proofErr w:type="spellEnd"/>
      <w:r w:rsidRPr="00B719D3">
        <w:rPr>
          <w:i/>
          <w:iCs/>
          <w:sz w:val="18"/>
          <w:szCs w:val="18"/>
        </w:rPr>
        <w:t xml:space="preserve">: </w:t>
      </w:r>
      <w:proofErr w:type="spellStart"/>
      <w:r w:rsidRPr="00B719D3">
        <w:rPr>
          <w:i/>
          <w:iCs/>
          <w:sz w:val="18"/>
          <w:szCs w:val="18"/>
        </w:rPr>
        <w:t>seven</w:t>
      </w:r>
      <w:proofErr w:type="spellEnd"/>
      <w:r w:rsidRPr="00B719D3">
        <w:rPr>
          <w:i/>
          <w:iCs/>
          <w:sz w:val="18"/>
          <w:szCs w:val="18"/>
        </w:rPr>
        <w:t xml:space="preserve"> </w:t>
      </w:r>
      <w:proofErr w:type="spellStart"/>
      <w:r w:rsidRPr="00B719D3">
        <w:rPr>
          <w:i/>
          <w:iCs/>
          <w:sz w:val="18"/>
          <w:szCs w:val="18"/>
        </w:rPr>
        <w:t>ways</w:t>
      </w:r>
      <w:proofErr w:type="spellEnd"/>
      <w:r w:rsidRPr="00B719D3">
        <w:rPr>
          <w:i/>
          <w:iCs/>
          <w:sz w:val="18"/>
          <w:szCs w:val="18"/>
        </w:rPr>
        <w:t xml:space="preserve"> to </w:t>
      </w:r>
      <w:proofErr w:type="spellStart"/>
      <w:r w:rsidRPr="00B719D3">
        <w:rPr>
          <w:i/>
          <w:iCs/>
          <w:sz w:val="18"/>
          <w:szCs w:val="18"/>
        </w:rPr>
        <w:t>think</w:t>
      </w:r>
      <w:proofErr w:type="spellEnd"/>
      <w:r w:rsidRPr="00B719D3">
        <w:rPr>
          <w:i/>
          <w:iCs/>
          <w:sz w:val="18"/>
          <w:szCs w:val="18"/>
        </w:rPr>
        <w:t xml:space="preserve"> like a 21st century </w:t>
      </w:r>
      <w:proofErr w:type="spellStart"/>
      <w:r w:rsidRPr="00B719D3">
        <w:rPr>
          <w:i/>
          <w:iCs/>
          <w:sz w:val="18"/>
          <w:szCs w:val="18"/>
        </w:rPr>
        <w:t>economist</w:t>
      </w:r>
      <w:proofErr w:type="spellEnd"/>
      <w:r w:rsidRPr="00B719D3">
        <w:rPr>
          <w:sz w:val="18"/>
          <w:szCs w:val="18"/>
        </w:rPr>
        <w:t xml:space="preserve">, London, Penguin </w:t>
      </w:r>
      <w:proofErr w:type="spellStart"/>
      <w:r w:rsidRPr="00B719D3">
        <w:rPr>
          <w:sz w:val="18"/>
          <w:szCs w:val="18"/>
        </w:rPr>
        <w:t>Random</w:t>
      </w:r>
      <w:proofErr w:type="spellEnd"/>
      <w:r w:rsidRPr="00B719D3">
        <w:rPr>
          <w:sz w:val="18"/>
          <w:szCs w:val="18"/>
        </w:rPr>
        <w:t xml:space="preserve"> House, 2017</w:t>
      </w:r>
    </w:p>
  </w:footnote>
  <w:footnote w:id="12">
    <w:p w14:paraId="0DD2610D" w14:textId="77777777" w:rsidR="00DD6E88" w:rsidRPr="00B719D3" w:rsidRDefault="00DD6E88" w:rsidP="00DD6E88">
      <w:pPr>
        <w:pStyle w:val="Notedebasdepage"/>
        <w:rPr>
          <w:sz w:val="18"/>
          <w:szCs w:val="18"/>
        </w:rPr>
      </w:pPr>
      <w:r w:rsidRPr="00CE2F52">
        <w:rPr>
          <w:rStyle w:val="Appelnotedebasdep"/>
          <w:sz w:val="18"/>
          <w:szCs w:val="18"/>
        </w:rPr>
        <w:footnoteRef/>
      </w:r>
      <w:r w:rsidRPr="00B719D3">
        <w:rPr>
          <w:sz w:val="18"/>
          <w:szCs w:val="18"/>
        </w:rPr>
        <w:t xml:space="preserve"> de Briey. L., Prévot, M., </w:t>
      </w:r>
      <w:r w:rsidRPr="00B719D3">
        <w:rPr>
          <w:i/>
          <w:iCs/>
          <w:sz w:val="18"/>
          <w:szCs w:val="18"/>
        </w:rPr>
        <w:t xml:space="preserve">op. </w:t>
      </w:r>
      <w:proofErr w:type="spellStart"/>
      <w:r w:rsidRPr="00B719D3">
        <w:rPr>
          <w:i/>
          <w:iCs/>
          <w:sz w:val="18"/>
          <w:szCs w:val="18"/>
        </w:rPr>
        <w:t>cit</w:t>
      </w:r>
      <w:proofErr w:type="spellEnd"/>
      <w:r w:rsidRPr="00B719D3">
        <w:rPr>
          <w:i/>
          <w:iCs/>
          <w:sz w:val="18"/>
          <w:szCs w:val="18"/>
        </w:rPr>
        <w:t>.</w:t>
      </w:r>
      <w:r w:rsidRPr="00B719D3">
        <w:rPr>
          <w:sz w:val="18"/>
          <w:szCs w:val="18"/>
        </w:rPr>
        <w:t>, p. 89.</w:t>
      </w:r>
    </w:p>
  </w:footnote>
  <w:footnote w:id="13">
    <w:p w14:paraId="0C63DFED" w14:textId="32631307" w:rsidR="00930BC4" w:rsidRPr="00CE2F52" w:rsidRDefault="006B4F56" w:rsidP="004C4718">
      <w:pPr>
        <w:pStyle w:val="Notedebasdepage"/>
        <w:jc w:val="both"/>
        <w:rPr>
          <w:sz w:val="18"/>
          <w:szCs w:val="18"/>
        </w:rPr>
      </w:pPr>
      <w:r w:rsidRPr="00CE2F52">
        <w:rPr>
          <w:rStyle w:val="Appelnotedebasdep"/>
          <w:sz w:val="18"/>
          <w:szCs w:val="18"/>
        </w:rPr>
        <w:footnoteRef/>
      </w:r>
      <w:r w:rsidRPr="00CE2F52">
        <w:rPr>
          <w:sz w:val="18"/>
          <w:szCs w:val="18"/>
        </w:rPr>
        <w:t xml:space="preserve"> Cela transparaît encore clairement dans le livre de Paul Magnette, </w:t>
      </w:r>
      <w:r w:rsidRPr="00CE2F52">
        <w:rPr>
          <w:i/>
          <w:iCs/>
          <w:sz w:val="18"/>
          <w:szCs w:val="18"/>
        </w:rPr>
        <w:t>La vie large. Manifest</w:t>
      </w:r>
      <w:r w:rsidR="009D3C8D" w:rsidRPr="00CE2F52">
        <w:rPr>
          <w:i/>
          <w:iCs/>
          <w:sz w:val="18"/>
          <w:szCs w:val="18"/>
        </w:rPr>
        <w:t>e</w:t>
      </w:r>
      <w:r w:rsidRPr="00CE2F52">
        <w:rPr>
          <w:i/>
          <w:iCs/>
          <w:sz w:val="18"/>
          <w:szCs w:val="18"/>
        </w:rPr>
        <w:t xml:space="preserve"> </w:t>
      </w:r>
      <w:proofErr w:type="spellStart"/>
      <w:r w:rsidRPr="00CE2F52">
        <w:rPr>
          <w:i/>
          <w:iCs/>
          <w:sz w:val="18"/>
          <w:szCs w:val="18"/>
        </w:rPr>
        <w:t>écosocialiste</w:t>
      </w:r>
      <w:proofErr w:type="spellEnd"/>
      <w:r w:rsidRPr="00CE2F52">
        <w:rPr>
          <w:sz w:val="18"/>
          <w:szCs w:val="18"/>
        </w:rPr>
        <w:t xml:space="preserve">, </w:t>
      </w:r>
      <w:r w:rsidR="00BC121C" w:rsidRPr="00CE2F52">
        <w:rPr>
          <w:sz w:val="18"/>
          <w:szCs w:val="18"/>
        </w:rPr>
        <w:t>Paris, La Découverte, 2022.</w:t>
      </w:r>
      <w:r w:rsidR="00446CD7" w:rsidRPr="00CE2F52">
        <w:rPr>
          <w:sz w:val="18"/>
          <w:szCs w:val="18"/>
        </w:rPr>
        <w:t xml:space="preserve"> </w:t>
      </w:r>
      <w:r w:rsidR="00536762" w:rsidRPr="00CE2F52">
        <w:rPr>
          <w:sz w:val="18"/>
          <w:szCs w:val="18"/>
        </w:rPr>
        <w:t>J</w:t>
      </w:r>
      <w:r w:rsidR="008156D3" w:rsidRPr="00CE2F52">
        <w:rPr>
          <w:sz w:val="18"/>
          <w:szCs w:val="18"/>
        </w:rPr>
        <w:t xml:space="preserve">e </w:t>
      </w:r>
      <w:r w:rsidR="00536762" w:rsidRPr="00CE2F52">
        <w:rPr>
          <w:sz w:val="18"/>
          <w:szCs w:val="18"/>
        </w:rPr>
        <w:t xml:space="preserve">confronte la stratégie de transition écologique proposée par Magnette et celle </w:t>
      </w:r>
      <w:r w:rsidR="008156D3" w:rsidRPr="00CE2F52">
        <w:rPr>
          <w:sz w:val="18"/>
          <w:szCs w:val="18"/>
        </w:rPr>
        <w:t>développée dans le Manifeste dans de Briey,</w:t>
      </w:r>
      <w:r w:rsidR="007B0E19" w:rsidRPr="00CE2F52">
        <w:rPr>
          <w:sz w:val="18"/>
          <w:szCs w:val="18"/>
        </w:rPr>
        <w:t xml:space="preserve"> L.,</w:t>
      </w:r>
      <w:r w:rsidR="008156D3" w:rsidRPr="00CE2F52">
        <w:rPr>
          <w:sz w:val="18"/>
          <w:szCs w:val="18"/>
        </w:rPr>
        <w:t xml:space="preserve"> « Lutte des classes ou rassemblement interclassi</w:t>
      </w:r>
      <w:r w:rsidR="00961650" w:rsidRPr="00CE2F52">
        <w:rPr>
          <w:sz w:val="18"/>
          <w:szCs w:val="18"/>
        </w:rPr>
        <w:t xml:space="preserve">ste. Deux stratégies pour une transition écologique » in </w:t>
      </w:r>
      <w:r w:rsidR="00961650" w:rsidRPr="00E32573">
        <w:rPr>
          <w:i/>
          <w:iCs/>
          <w:sz w:val="18"/>
          <w:szCs w:val="18"/>
        </w:rPr>
        <w:t>Esprit</w:t>
      </w:r>
      <w:r w:rsidR="00DF68E1" w:rsidRPr="00CE2F52">
        <w:rPr>
          <w:sz w:val="18"/>
          <w:szCs w:val="18"/>
        </w:rPr>
        <w:t xml:space="preserve">, janvier 2024, </w:t>
      </w:r>
      <w:hyperlink r:id="rId4" w:history="1">
        <w:r w:rsidR="00CE2F52" w:rsidRPr="001F1F0A">
          <w:rPr>
            <w:rStyle w:val="Lienhypertexte"/>
            <w:sz w:val="18"/>
            <w:szCs w:val="18"/>
          </w:rPr>
          <w:t>https://esprit.presse.fr/actualites/laurent-de-briey/lutte-des-classes-ou-rassemblement-interclassiste-deux-strategies-pour-une-transition-ecologiq</w:t>
        </w:r>
        <w:r w:rsidR="00CE2F52" w:rsidRPr="001F1F0A">
          <w:rPr>
            <w:rStyle w:val="Lienhypertexte"/>
            <w:sz w:val="18"/>
            <w:szCs w:val="18"/>
          </w:rPr>
          <w:t>u</w:t>
        </w:r>
        <w:r w:rsidR="00CE2F52" w:rsidRPr="001F1F0A">
          <w:rPr>
            <w:rStyle w:val="Lienhypertexte"/>
            <w:sz w:val="18"/>
            <w:szCs w:val="18"/>
          </w:rPr>
          <w:t>e-44968</w:t>
        </w:r>
      </w:hyperlink>
    </w:p>
  </w:footnote>
  <w:footnote w:id="14">
    <w:p w14:paraId="6940EFE7" w14:textId="77777777" w:rsidR="001F059E" w:rsidRPr="00CE2F52" w:rsidRDefault="001F059E" w:rsidP="001F059E">
      <w:pPr>
        <w:pStyle w:val="Notedebasdepage"/>
        <w:rPr>
          <w:sz w:val="18"/>
          <w:szCs w:val="18"/>
        </w:rPr>
      </w:pPr>
      <w:r w:rsidRPr="00CE2F52">
        <w:rPr>
          <w:rStyle w:val="Appelnotedebasdep"/>
          <w:sz w:val="18"/>
          <w:szCs w:val="18"/>
        </w:rPr>
        <w:footnoteRef/>
      </w:r>
      <w:r w:rsidRPr="00CE2F52">
        <w:rPr>
          <w:sz w:val="18"/>
          <w:szCs w:val="18"/>
        </w:rPr>
        <w:t xml:space="preserve"> de Briey, L., Prévot, M., </w:t>
      </w:r>
      <w:r w:rsidRPr="00CE2F52">
        <w:rPr>
          <w:i/>
          <w:iCs/>
          <w:sz w:val="18"/>
          <w:szCs w:val="18"/>
        </w:rPr>
        <w:t xml:space="preserve">op. </w:t>
      </w:r>
      <w:proofErr w:type="spellStart"/>
      <w:r w:rsidRPr="00CE2F52">
        <w:rPr>
          <w:i/>
          <w:iCs/>
          <w:sz w:val="18"/>
          <w:szCs w:val="18"/>
        </w:rPr>
        <w:t>cit</w:t>
      </w:r>
      <w:proofErr w:type="spellEnd"/>
      <w:r w:rsidRPr="00CE2F52">
        <w:rPr>
          <w:i/>
          <w:iCs/>
          <w:sz w:val="18"/>
          <w:szCs w:val="18"/>
        </w:rPr>
        <w:t>.</w:t>
      </w:r>
      <w:r w:rsidRPr="00CE2F52">
        <w:rPr>
          <w:sz w:val="18"/>
          <w:szCs w:val="18"/>
        </w:rPr>
        <w:t>, p. 144.</w:t>
      </w:r>
    </w:p>
  </w:footnote>
  <w:footnote w:id="15">
    <w:p w14:paraId="74588E4B" w14:textId="1ECB8FE0" w:rsidR="009B5667" w:rsidRPr="00CE2F52" w:rsidRDefault="009B5667">
      <w:pPr>
        <w:pStyle w:val="Notedebasdepage"/>
        <w:rPr>
          <w:sz w:val="18"/>
          <w:szCs w:val="18"/>
        </w:rPr>
      </w:pPr>
      <w:r w:rsidRPr="00CE2F52">
        <w:rPr>
          <w:rStyle w:val="Appelnotedebasdep"/>
          <w:sz w:val="18"/>
          <w:szCs w:val="18"/>
        </w:rPr>
        <w:footnoteRef/>
      </w:r>
      <w:r w:rsidRPr="00CE2F52">
        <w:rPr>
          <w:sz w:val="18"/>
          <w:szCs w:val="18"/>
        </w:rPr>
        <w:t xml:space="preserve"> Voir de Briey, L., </w:t>
      </w:r>
      <w:r w:rsidRPr="00CE2F52">
        <w:rPr>
          <w:i/>
          <w:iCs/>
          <w:sz w:val="18"/>
          <w:szCs w:val="18"/>
        </w:rPr>
        <w:t>Le sens du politique</w:t>
      </w:r>
      <w:r w:rsidRPr="00CE2F52">
        <w:rPr>
          <w:sz w:val="18"/>
          <w:szCs w:val="18"/>
        </w:rPr>
        <w:t xml:space="preserve">, op. </w:t>
      </w:r>
      <w:proofErr w:type="spellStart"/>
      <w:r w:rsidRPr="00CE2F52">
        <w:rPr>
          <w:sz w:val="18"/>
          <w:szCs w:val="18"/>
        </w:rPr>
        <w:t>cit</w:t>
      </w:r>
      <w:proofErr w:type="spellEnd"/>
      <w:r w:rsidRPr="00CE2F52">
        <w:rPr>
          <w:sz w:val="18"/>
          <w:szCs w:val="18"/>
        </w:rPr>
        <w:t xml:space="preserve">., p. </w:t>
      </w:r>
      <w:r w:rsidR="0029173E" w:rsidRPr="00CE2F52">
        <w:rPr>
          <w:sz w:val="18"/>
          <w:szCs w:val="18"/>
        </w:rPr>
        <w:t>9.</w:t>
      </w:r>
    </w:p>
  </w:footnote>
  <w:footnote w:id="16">
    <w:p w14:paraId="60D690FF" w14:textId="51DA4468" w:rsidR="00B22AD1" w:rsidRPr="00CE2F52" w:rsidRDefault="00B22AD1" w:rsidP="00B22AD1">
      <w:pPr>
        <w:spacing w:after="0" w:line="240" w:lineRule="auto"/>
        <w:jc w:val="both"/>
        <w:rPr>
          <w:sz w:val="18"/>
          <w:szCs w:val="18"/>
        </w:rPr>
      </w:pPr>
      <w:r w:rsidRPr="00CE2F52">
        <w:rPr>
          <w:sz w:val="18"/>
          <w:szCs w:val="18"/>
          <w:vertAlign w:val="superscript"/>
        </w:rPr>
        <w:footnoteRef/>
      </w:r>
      <w:r w:rsidRPr="00CE2F52">
        <w:rPr>
          <w:sz w:val="18"/>
          <w:szCs w:val="18"/>
        </w:rPr>
        <w:t xml:space="preserve"> Le républicanisme connaît un regain d’intérêt important depuis une trentaine d’année et les travaux historiographique de </w:t>
      </w:r>
      <w:proofErr w:type="spellStart"/>
      <w:r w:rsidR="00C645CA" w:rsidRPr="00CE2F52">
        <w:rPr>
          <w:sz w:val="18"/>
          <w:szCs w:val="18"/>
        </w:rPr>
        <w:t>Pocock</w:t>
      </w:r>
      <w:proofErr w:type="spellEnd"/>
      <w:r w:rsidR="00C645CA" w:rsidRPr="00CE2F52">
        <w:rPr>
          <w:sz w:val="18"/>
          <w:szCs w:val="18"/>
        </w:rPr>
        <w:t xml:space="preserve"> et </w:t>
      </w:r>
      <w:r w:rsidRPr="00CE2F52">
        <w:rPr>
          <w:sz w:val="18"/>
          <w:szCs w:val="18"/>
        </w:rPr>
        <w:t>Skinner</w:t>
      </w:r>
      <w:r w:rsidR="00C645CA" w:rsidRPr="00CE2F52">
        <w:rPr>
          <w:sz w:val="18"/>
          <w:szCs w:val="18"/>
        </w:rPr>
        <w:t xml:space="preserve"> : </w:t>
      </w:r>
      <w:proofErr w:type="spellStart"/>
      <w:r w:rsidR="005344F6" w:rsidRPr="00CE2F52">
        <w:rPr>
          <w:sz w:val="18"/>
          <w:szCs w:val="18"/>
        </w:rPr>
        <w:t>Pocock</w:t>
      </w:r>
      <w:proofErr w:type="spellEnd"/>
      <w:r w:rsidR="005344F6" w:rsidRPr="00CE2F52">
        <w:rPr>
          <w:sz w:val="18"/>
          <w:szCs w:val="18"/>
        </w:rPr>
        <w:t xml:space="preserve">, J. G. A., </w:t>
      </w:r>
      <w:r w:rsidR="005344F6" w:rsidRPr="00CE2F52">
        <w:rPr>
          <w:i/>
          <w:iCs/>
          <w:sz w:val="18"/>
          <w:szCs w:val="18"/>
        </w:rPr>
        <w:t>Le moment machiavélien. La pensée politique et la tradition républicaine atlantique</w:t>
      </w:r>
      <w:r w:rsidR="005344F6" w:rsidRPr="00CE2F52">
        <w:rPr>
          <w:sz w:val="18"/>
          <w:szCs w:val="18"/>
        </w:rPr>
        <w:t xml:space="preserve">, Paris, PUF (Léviathan), 1997 et Skinner, Q. (2000), </w:t>
      </w:r>
      <w:r w:rsidR="005344F6" w:rsidRPr="00CE2F52">
        <w:rPr>
          <w:i/>
          <w:iCs/>
          <w:sz w:val="18"/>
          <w:szCs w:val="18"/>
        </w:rPr>
        <w:t>La liberté avant le libéralisme</w:t>
      </w:r>
      <w:r w:rsidR="005344F6" w:rsidRPr="00CE2F52">
        <w:rPr>
          <w:sz w:val="18"/>
          <w:szCs w:val="18"/>
        </w:rPr>
        <w:t>, Paris, Seuil (Liber), 2000</w:t>
      </w:r>
      <w:r w:rsidR="00C645CA" w:rsidRPr="00CE2F52">
        <w:rPr>
          <w:sz w:val="18"/>
          <w:szCs w:val="18"/>
        </w:rPr>
        <w:t>)</w:t>
      </w:r>
      <w:r w:rsidR="005344F6" w:rsidRPr="00CE2F52">
        <w:rPr>
          <w:sz w:val="18"/>
          <w:szCs w:val="18"/>
        </w:rPr>
        <w:t>.</w:t>
      </w:r>
      <w:r w:rsidR="00C645CA" w:rsidRPr="00CE2F52">
        <w:rPr>
          <w:sz w:val="18"/>
          <w:szCs w:val="18"/>
        </w:rPr>
        <w:t xml:space="preserve"> </w:t>
      </w:r>
      <w:r w:rsidRPr="00CE2F52">
        <w:rPr>
          <w:sz w:val="18"/>
          <w:szCs w:val="18"/>
        </w:rPr>
        <w:t xml:space="preserve">L’un des principaux philosophe politique actuel, Philip </w:t>
      </w:r>
      <w:proofErr w:type="spellStart"/>
      <w:r w:rsidRPr="00CE2F52">
        <w:rPr>
          <w:sz w:val="18"/>
          <w:szCs w:val="18"/>
        </w:rPr>
        <w:t>Pettit</w:t>
      </w:r>
      <w:proofErr w:type="spellEnd"/>
      <w:r w:rsidRPr="00CE2F52">
        <w:rPr>
          <w:sz w:val="18"/>
          <w:szCs w:val="18"/>
        </w:rPr>
        <w:t xml:space="preserve">, a ainsi développé une approche </w:t>
      </w:r>
      <w:proofErr w:type="spellStart"/>
      <w:r w:rsidRPr="00CE2F52">
        <w:rPr>
          <w:sz w:val="18"/>
          <w:szCs w:val="18"/>
        </w:rPr>
        <w:t>néorépublicaine</w:t>
      </w:r>
      <w:proofErr w:type="spellEnd"/>
      <w:r w:rsidRPr="00CE2F52">
        <w:rPr>
          <w:sz w:val="18"/>
          <w:szCs w:val="18"/>
        </w:rPr>
        <w:t xml:space="preserve"> centrée sur l’idée que la liberté ne réside pas dans l’absence d’interférences, mais dans l’absence de domination</w:t>
      </w:r>
      <w:r w:rsidR="00C645CA" w:rsidRPr="00CE2F52">
        <w:rPr>
          <w:sz w:val="18"/>
          <w:szCs w:val="18"/>
        </w:rPr>
        <w:t xml:space="preserve"> : </w:t>
      </w:r>
      <w:proofErr w:type="spellStart"/>
      <w:r w:rsidR="00C645CA" w:rsidRPr="00CE2F52">
        <w:rPr>
          <w:sz w:val="18"/>
          <w:szCs w:val="18"/>
        </w:rPr>
        <w:t>Pettit</w:t>
      </w:r>
      <w:proofErr w:type="spellEnd"/>
      <w:r w:rsidR="00C645CA" w:rsidRPr="00CE2F52">
        <w:rPr>
          <w:sz w:val="18"/>
          <w:szCs w:val="18"/>
        </w:rPr>
        <w:t xml:space="preserve">, P., </w:t>
      </w:r>
      <w:r w:rsidR="00C645CA" w:rsidRPr="00CE2F52">
        <w:rPr>
          <w:i/>
          <w:sz w:val="18"/>
          <w:szCs w:val="18"/>
        </w:rPr>
        <w:t>Républicanisme. Une théorie de la liberté eu du gouvernement</w:t>
      </w:r>
      <w:r w:rsidR="00C645CA" w:rsidRPr="00CE2F52">
        <w:rPr>
          <w:sz w:val="18"/>
          <w:szCs w:val="18"/>
        </w:rPr>
        <w:t>, Paris, Gallimard, 2004.</w:t>
      </w:r>
    </w:p>
  </w:footnote>
  <w:footnote w:id="17">
    <w:p w14:paraId="220AC4E7" w14:textId="064E59B8" w:rsidR="00EA3B78" w:rsidRPr="00CE2F52" w:rsidRDefault="00EA3B78" w:rsidP="00B22AD1">
      <w:pPr>
        <w:pStyle w:val="Notedebasdepage"/>
        <w:jc w:val="both"/>
        <w:rPr>
          <w:sz w:val="18"/>
          <w:szCs w:val="18"/>
        </w:rPr>
      </w:pPr>
      <w:r w:rsidRPr="00CE2F52">
        <w:rPr>
          <w:rStyle w:val="Appelnotedebasdep"/>
          <w:sz w:val="18"/>
          <w:szCs w:val="18"/>
        </w:rPr>
        <w:footnoteRef/>
      </w:r>
      <w:r w:rsidRPr="00CE2F52">
        <w:rPr>
          <w:sz w:val="18"/>
          <w:szCs w:val="18"/>
        </w:rPr>
        <w:t xml:space="preserve"> Mounier, E., </w:t>
      </w:r>
      <w:r w:rsidR="0032410E" w:rsidRPr="00CE2F52">
        <w:rPr>
          <w:i/>
          <w:iCs/>
          <w:sz w:val="18"/>
          <w:szCs w:val="18"/>
        </w:rPr>
        <w:t>Manifeste au service du personnalisme</w:t>
      </w:r>
      <w:r w:rsidR="0032410E" w:rsidRPr="00CE2F52">
        <w:rPr>
          <w:sz w:val="18"/>
          <w:szCs w:val="18"/>
        </w:rPr>
        <w:t>, Paris, Montaigne, 1936, p. 46 de l’édition numérique</w:t>
      </w:r>
      <w:r w:rsidR="00981D68" w:rsidRPr="00CE2F52">
        <w:rPr>
          <w:sz w:val="18"/>
          <w:szCs w:val="18"/>
        </w:rPr>
        <w:t xml:space="preserve"> établie par l’Université du Québec à Chicout</w:t>
      </w:r>
      <w:r w:rsidR="00117B00" w:rsidRPr="00CE2F52">
        <w:rPr>
          <w:sz w:val="18"/>
          <w:szCs w:val="18"/>
        </w:rPr>
        <w:t>i</w:t>
      </w:r>
      <w:r w:rsidR="00981D68" w:rsidRPr="00CE2F52">
        <w:rPr>
          <w:sz w:val="18"/>
          <w:szCs w:val="18"/>
        </w:rPr>
        <w:t>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51F9"/>
    <w:multiLevelType w:val="hybridMultilevel"/>
    <w:tmpl w:val="3C8C43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EA87A47"/>
    <w:multiLevelType w:val="hybridMultilevel"/>
    <w:tmpl w:val="3C8C4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350A6A"/>
    <w:multiLevelType w:val="hybridMultilevel"/>
    <w:tmpl w:val="EBB872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C795733"/>
    <w:multiLevelType w:val="hybridMultilevel"/>
    <w:tmpl w:val="F54054D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E2752C7"/>
    <w:multiLevelType w:val="hybridMultilevel"/>
    <w:tmpl w:val="95A0832C"/>
    <w:lvl w:ilvl="0" w:tplc="97340EA0">
      <w:start w:val="8"/>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18187244">
    <w:abstractNumId w:val="3"/>
  </w:num>
  <w:num w:numId="2" w16cid:durableId="882984250">
    <w:abstractNumId w:val="2"/>
  </w:num>
  <w:num w:numId="3" w16cid:durableId="85928863">
    <w:abstractNumId w:val="0"/>
  </w:num>
  <w:num w:numId="4" w16cid:durableId="1135680725">
    <w:abstractNumId w:val="4"/>
  </w:num>
  <w:num w:numId="5" w16cid:durableId="127613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88"/>
    <w:rsid w:val="0002119B"/>
    <w:rsid w:val="00025C71"/>
    <w:rsid w:val="00030B01"/>
    <w:rsid w:val="00031689"/>
    <w:rsid w:val="000437F3"/>
    <w:rsid w:val="00047654"/>
    <w:rsid w:val="00047FB9"/>
    <w:rsid w:val="0005049E"/>
    <w:rsid w:val="00056FE7"/>
    <w:rsid w:val="000705EA"/>
    <w:rsid w:val="00081ACA"/>
    <w:rsid w:val="00092190"/>
    <w:rsid w:val="000A4EF1"/>
    <w:rsid w:val="000B090B"/>
    <w:rsid w:val="000C2815"/>
    <w:rsid w:val="000C4319"/>
    <w:rsid w:val="000D0BE7"/>
    <w:rsid w:val="000D67DE"/>
    <w:rsid w:val="000E09F1"/>
    <w:rsid w:val="000E3031"/>
    <w:rsid w:val="000E32AB"/>
    <w:rsid w:val="000E38D9"/>
    <w:rsid w:val="000F1180"/>
    <w:rsid w:val="000F3858"/>
    <w:rsid w:val="000F4C9F"/>
    <w:rsid w:val="000F6AEB"/>
    <w:rsid w:val="00105E3D"/>
    <w:rsid w:val="0010740B"/>
    <w:rsid w:val="00115F1D"/>
    <w:rsid w:val="001166D7"/>
    <w:rsid w:val="00117B00"/>
    <w:rsid w:val="0012501A"/>
    <w:rsid w:val="0013650F"/>
    <w:rsid w:val="001400BF"/>
    <w:rsid w:val="00146695"/>
    <w:rsid w:val="001534E7"/>
    <w:rsid w:val="00160B71"/>
    <w:rsid w:val="001618DF"/>
    <w:rsid w:val="00163E8D"/>
    <w:rsid w:val="00164D08"/>
    <w:rsid w:val="00167874"/>
    <w:rsid w:val="001737A2"/>
    <w:rsid w:val="0018547B"/>
    <w:rsid w:val="00190C0B"/>
    <w:rsid w:val="001A1550"/>
    <w:rsid w:val="001A1A9D"/>
    <w:rsid w:val="001A619E"/>
    <w:rsid w:val="001A68A2"/>
    <w:rsid w:val="001B763E"/>
    <w:rsid w:val="001C2B4C"/>
    <w:rsid w:val="001E337C"/>
    <w:rsid w:val="001E7F4A"/>
    <w:rsid w:val="001F059E"/>
    <w:rsid w:val="001F1648"/>
    <w:rsid w:val="001F2E1C"/>
    <w:rsid w:val="001F532B"/>
    <w:rsid w:val="002137C5"/>
    <w:rsid w:val="00216C49"/>
    <w:rsid w:val="002212E8"/>
    <w:rsid w:val="00223EF7"/>
    <w:rsid w:val="002246BB"/>
    <w:rsid w:val="002501D6"/>
    <w:rsid w:val="00250D17"/>
    <w:rsid w:val="00253D5E"/>
    <w:rsid w:val="0025675D"/>
    <w:rsid w:val="002653CC"/>
    <w:rsid w:val="002769D8"/>
    <w:rsid w:val="002831CC"/>
    <w:rsid w:val="00284F3E"/>
    <w:rsid w:val="00290489"/>
    <w:rsid w:val="00291094"/>
    <w:rsid w:val="0029173E"/>
    <w:rsid w:val="00296E3F"/>
    <w:rsid w:val="002B2BAA"/>
    <w:rsid w:val="002B3CF5"/>
    <w:rsid w:val="002B6823"/>
    <w:rsid w:val="002D7443"/>
    <w:rsid w:val="002E589E"/>
    <w:rsid w:val="002F1EEB"/>
    <w:rsid w:val="002F25FE"/>
    <w:rsid w:val="002F4B80"/>
    <w:rsid w:val="002F4D40"/>
    <w:rsid w:val="002F786F"/>
    <w:rsid w:val="003115C7"/>
    <w:rsid w:val="003136CA"/>
    <w:rsid w:val="00313AA9"/>
    <w:rsid w:val="0032410E"/>
    <w:rsid w:val="0032738D"/>
    <w:rsid w:val="00327AA3"/>
    <w:rsid w:val="00331A1D"/>
    <w:rsid w:val="00334127"/>
    <w:rsid w:val="0033548C"/>
    <w:rsid w:val="00344D17"/>
    <w:rsid w:val="00356929"/>
    <w:rsid w:val="0036379E"/>
    <w:rsid w:val="00367A53"/>
    <w:rsid w:val="00374D68"/>
    <w:rsid w:val="003770DD"/>
    <w:rsid w:val="00383EA6"/>
    <w:rsid w:val="00387C9E"/>
    <w:rsid w:val="00395252"/>
    <w:rsid w:val="00396296"/>
    <w:rsid w:val="003A3ECF"/>
    <w:rsid w:val="003A4CF7"/>
    <w:rsid w:val="003A6E32"/>
    <w:rsid w:val="003B2BE0"/>
    <w:rsid w:val="003B779D"/>
    <w:rsid w:val="003C05FC"/>
    <w:rsid w:val="003C4896"/>
    <w:rsid w:val="003C7CBE"/>
    <w:rsid w:val="003D6C0D"/>
    <w:rsid w:val="003E64C9"/>
    <w:rsid w:val="003F6203"/>
    <w:rsid w:val="00411283"/>
    <w:rsid w:val="004138C1"/>
    <w:rsid w:val="004151EC"/>
    <w:rsid w:val="00416B60"/>
    <w:rsid w:val="004334DE"/>
    <w:rsid w:val="0044138B"/>
    <w:rsid w:val="00441BD8"/>
    <w:rsid w:val="004424C1"/>
    <w:rsid w:val="00442B9C"/>
    <w:rsid w:val="00443A39"/>
    <w:rsid w:val="00443DAA"/>
    <w:rsid w:val="00446A1B"/>
    <w:rsid w:val="00446CD7"/>
    <w:rsid w:val="00451EF9"/>
    <w:rsid w:val="00452718"/>
    <w:rsid w:val="00453A61"/>
    <w:rsid w:val="00462BA8"/>
    <w:rsid w:val="00465FD7"/>
    <w:rsid w:val="0047536F"/>
    <w:rsid w:val="00476247"/>
    <w:rsid w:val="0047684E"/>
    <w:rsid w:val="004827BF"/>
    <w:rsid w:val="00482E6F"/>
    <w:rsid w:val="004848C2"/>
    <w:rsid w:val="004B22B8"/>
    <w:rsid w:val="004B6507"/>
    <w:rsid w:val="004C4718"/>
    <w:rsid w:val="004F1112"/>
    <w:rsid w:val="004F12B2"/>
    <w:rsid w:val="004F2E70"/>
    <w:rsid w:val="00503192"/>
    <w:rsid w:val="00503BAC"/>
    <w:rsid w:val="00511DFD"/>
    <w:rsid w:val="0052093D"/>
    <w:rsid w:val="0052788C"/>
    <w:rsid w:val="00531ECA"/>
    <w:rsid w:val="00532398"/>
    <w:rsid w:val="005344F6"/>
    <w:rsid w:val="00536762"/>
    <w:rsid w:val="00543CEC"/>
    <w:rsid w:val="00544DF9"/>
    <w:rsid w:val="0054712C"/>
    <w:rsid w:val="00561637"/>
    <w:rsid w:val="00565A6C"/>
    <w:rsid w:val="0056740E"/>
    <w:rsid w:val="00567509"/>
    <w:rsid w:val="0057631C"/>
    <w:rsid w:val="005836BF"/>
    <w:rsid w:val="00583B7A"/>
    <w:rsid w:val="00586886"/>
    <w:rsid w:val="00590B1D"/>
    <w:rsid w:val="005A5A15"/>
    <w:rsid w:val="005B678A"/>
    <w:rsid w:val="005E1FC1"/>
    <w:rsid w:val="005F3F7D"/>
    <w:rsid w:val="005F5314"/>
    <w:rsid w:val="005F5F3C"/>
    <w:rsid w:val="00603612"/>
    <w:rsid w:val="00603D62"/>
    <w:rsid w:val="00616E98"/>
    <w:rsid w:val="00620843"/>
    <w:rsid w:val="006323E5"/>
    <w:rsid w:val="006329EB"/>
    <w:rsid w:val="00642B5A"/>
    <w:rsid w:val="00647129"/>
    <w:rsid w:val="00647CB0"/>
    <w:rsid w:val="006631F2"/>
    <w:rsid w:val="00664616"/>
    <w:rsid w:val="006677AD"/>
    <w:rsid w:val="00670A4B"/>
    <w:rsid w:val="00675194"/>
    <w:rsid w:val="006761CD"/>
    <w:rsid w:val="006816DE"/>
    <w:rsid w:val="006878BD"/>
    <w:rsid w:val="006879E9"/>
    <w:rsid w:val="006976C2"/>
    <w:rsid w:val="006B4F56"/>
    <w:rsid w:val="006D57E6"/>
    <w:rsid w:val="006E0458"/>
    <w:rsid w:val="006E112B"/>
    <w:rsid w:val="006E7AD1"/>
    <w:rsid w:val="006F362B"/>
    <w:rsid w:val="006F4427"/>
    <w:rsid w:val="00703C3F"/>
    <w:rsid w:val="00703ED3"/>
    <w:rsid w:val="007221DF"/>
    <w:rsid w:val="007431B4"/>
    <w:rsid w:val="00746DB7"/>
    <w:rsid w:val="0075040B"/>
    <w:rsid w:val="00753825"/>
    <w:rsid w:val="007565D4"/>
    <w:rsid w:val="0076189D"/>
    <w:rsid w:val="007625F5"/>
    <w:rsid w:val="00774897"/>
    <w:rsid w:val="00787309"/>
    <w:rsid w:val="0079359A"/>
    <w:rsid w:val="00796312"/>
    <w:rsid w:val="007A4019"/>
    <w:rsid w:val="007A61BB"/>
    <w:rsid w:val="007B0E19"/>
    <w:rsid w:val="007B4BEC"/>
    <w:rsid w:val="007B722A"/>
    <w:rsid w:val="007D5FD5"/>
    <w:rsid w:val="007D7E3D"/>
    <w:rsid w:val="007D7ECE"/>
    <w:rsid w:val="007E0511"/>
    <w:rsid w:val="007E0994"/>
    <w:rsid w:val="007E2C5D"/>
    <w:rsid w:val="007E5959"/>
    <w:rsid w:val="008050A0"/>
    <w:rsid w:val="0081083C"/>
    <w:rsid w:val="00810D12"/>
    <w:rsid w:val="008156D3"/>
    <w:rsid w:val="00830AF7"/>
    <w:rsid w:val="0083554C"/>
    <w:rsid w:val="008359BB"/>
    <w:rsid w:val="00837585"/>
    <w:rsid w:val="008450FC"/>
    <w:rsid w:val="008452FA"/>
    <w:rsid w:val="00846FE2"/>
    <w:rsid w:val="0085619C"/>
    <w:rsid w:val="00856AB4"/>
    <w:rsid w:val="00867628"/>
    <w:rsid w:val="0087040F"/>
    <w:rsid w:val="00872B7E"/>
    <w:rsid w:val="00885EAF"/>
    <w:rsid w:val="00892115"/>
    <w:rsid w:val="00892250"/>
    <w:rsid w:val="008923F9"/>
    <w:rsid w:val="00894ADF"/>
    <w:rsid w:val="00894B67"/>
    <w:rsid w:val="008A2156"/>
    <w:rsid w:val="008B2AEC"/>
    <w:rsid w:val="008C0281"/>
    <w:rsid w:val="008C0A21"/>
    <w:rsid w:val="008D18EA"/>
    <w:rsid w:val="008D2EF3"/>
    <w:rsid w:val="008E14C0"/>
    <w:rsid w:val="008F1C14"/>
    <w:rsid w:val="008F25CB"/>
    <w:rsid w:val="008F2804"/>
    <w:rsid w:val="008F7103"/>
    <w:rsid w:val="00904E6F"/>
    <w:rsid w:val="00906460"/>
    <w:rsid w:val="0091200A"/>
    <w:rsid w:val="00912075"/>
    <w:rsid w:val="0091273E"/>
    <w:rsid w:val="00914431"/>
    <w:rsid w:val="009168B4"/>
    <w:rsid w:val="00930BC4"/>
    <w:rsid w:val="00933196"/>
    <w:rsid w:val="009468BE"/>
    <w:rsid w:val="00947216"/>
    <w:rsid w:val="00960ACD"/>
    <w:rsid w:val="00961650"/>
    <w:rsid w:val="00961C8C"/>
    <w:rsid w:val="009703D0"/>
    <w:rsid w:val="00970405"/>
    <w:rsid w:val="009812D8"/>
    <w:rsid w:val="00981D68"/>
    <w:rsid w:val="009852A9"/>
    <w:rsid w:val="0099283B"/>
    <w:rsid w:val="00995555"/>
    <w:rsid w:val="009A2A54"/>
    <w:rsid w:val="009A4ABA"/>
    <w:rsid w:val="009A5D57"/>
    <w:rsid w:val="009A62EB"/>
    <w:rsid w:val="009B5667"/>
    <w:rsid w:val="009C088C"/>
    <w:rsid w:val="009C30D7"/>
    <w:rsid w:val="009D0C7B"/>
    <w:rsid w:val="009D3C8D"/>
    <w:rsid w:val="009D462C"/>
    <w:rsid w:val="009E3B6E"/>
    <w:rsid w:val="00A101E7"/>
    <w:rsid w:val="00A361F4"/>
    <w:rsid w:val="00A409C0"/>
    <w:rsid w:val="00A4413F"/>
    <w:rsid w:val="00A5034A"/>
    <w:rsid w:val="00A714E9"/>
    <w:rsid w:val="00A71EFF"/>
    <w:rsid w:val="00A72567"/>
    <w:rsid w:val="00A74112"/>
    <w:rsid w:val="00A74DD7"/>
    <w:rsid w:val="00A76F19"/>
    <w:rsid w:val="00A81D5A"/>
    <w:rsid w:val="00A90D3D"/>
    <w:rsid w:val="00A93405"/>
    <w:rsid w:val="00A936AA"/>
    <w:rsid w:val="00A95D10"/>
    <w:rsid w:val="00AA292B"/>
    <w:rsid w:val="00AA30A6"/>
    <w:rsid w:val="00AA5513"/>
    <w:rsid w:val="00AA5F84"/>
    <w:rsid w:val="00AB18E1"/>
    <w:rsid w:val="00AB6223"/>
    <w:rsid w:val="00AB6AFB"/>
    <w:rsid w:val="00AC0EB2"/>
    <w:rsid w:val="00AC2F24"/>
    <w:rsid w:val="00AC4637"/>
    <w:rsid w:val="00AC500D"/>
    <w:rsid w:val="00AC75E0"/>
    <w:rsid w:val="00AD1922"/>
    <w:rsid w:val="00AD6156"/>
    <w:rsid w:val="00AD7DC8"/>
    <w:rsid w:val="00AE251D"/>
    <w:rsid w:val="00AF7D41"/>
    <w:rsid w:val="00B108C2"/>
    <w:rsid w:val="00B1110B"/>
    <w:rsid w:val="00B21FF8"/>
    <w:rsid w:val="00B22AD1"/>
    <w:rsid w:val="00B267B3"/>
    <w:rsid w:val="00B3286A"/>
    <w:rsid w:val="00B45776"/>
    <w:rsid w:val="00B5224D"/>
    <w:rsid w:val="00B52CFF"/>
    <w:rsid w:val="00B533FF"/>
    <w:rsid w:val="00B55097"/>
    <w:rsid w:val="00B719D3"/>
    <w:rsid w:val="00B73D04"/>
    <w:rsid w:val="00B74431"/>
    <w:rsid w:val="00B74730"/>
    <w:rsid w:val="00B93305"/>
    <w:rsid w:val="00B94259"/>
    <w:rsid w:val="00B9439D"/>
    <w:rsid w:val="00BA7AB5"/>
    <w:rsid w:val="00BB031E"/>
    <w:rsid w:val="00BB1B11"/>
    <w:rsid w:val="00BB3006"/>
    <w:rsid w:val="00BC121C"/>
    <w:rsid w:val="00BC1C8D"/>
    <w:rsid w:val="00BC246E"/>
    <w:rsid w:val="00BD09BC"/>
    <w:rsid w:val="00BD5BBD"/>
    <w:rsid w:val="00BE14DB"/>
    <w:rsid w:val="00BF12AD"/>
    <w:rsid w:val="00BF6B41"/>
    <w:rsid w:val="00C04B18"/>
    <w:rsid w:val="00C04B5D"/>
    <w:rsid w:val="00C060F4"/>
    <w:rsid w:val="00C079D2"/>
    <w:rsid w:val="00C25A68"/>
    <w:rsid w:val="00C32FFE"/>
    <w:rsid w:val="00C34310"/>
    <w:rsid w:val="00C36636"/>
    <w:rsid w:val="00C37423"/>
    <w:rsid w:val="00C406E5"/>
    <w:rsid w:val="00C528D3"/>
    <w:rsid w:val="00C54C10"/>
    <w:rsid w:val="00C645CA"/>
    <w:rsid w:val="00C64C3B"/>
    <w:rsid w:val="00C70167"/>
    <w:rsid w:val="00C710E0"/>
    <w:rsid w:val="00C72B3D"/>
    <w:rsid w:val="00C767CA"/>
    <w:rsid w:val="00C8541B"/>
    <w:rsid w:val="00C86215"/>
    <w:rsid w:val="00C9668B"/>
    <w:rsid w:val="00CA4A6B"/>
    <w:rsid w:val="00CB0747"/>
    <w:rsid w:val="00CB33A5"/>
    <w:rsid w:val="00CB387F"/>
    <w:rsid w:val="00CB76E3"/>
    <w:rsid w:val="00CC0B3C"/>
    <w:rsid w:val="00CC1832"/>
    <w:rsid w:val="00CC1C0D"/>
    <w:rsid w:val="00CC36D9"/>
    <w:rsid w:val="00CC5245"/>
    <w:rsid w:val="00CC6C64"/>
    <w:rsid w:val="00CD5995"/>
    <w:rsid w:val="00CD5B02"/>
    <w:rsid w:val="00CE2F52"/>
    <w:rsid w:val="00CE501B"/>
    <w:rsid w:val="00D12982"/>
    <w:rsid w:val="00D172B9"/>
    <w:rsid w:val="00D218AE"/>
    <w:rsid w:val="00D266DB"/>
    <w:rsid w:val="00D269CC"/>
    <w:rsid w:val="00D34951"/>
    <w:rsid w:val="00D457EC"/>
    <w:rsid w:val="00D6254D"/>
    <w:rsid w:val="00D6460C"/>
    <w:rsid w:val="00D70B83"/>
    <w:rsid w:val="00D721BC"/>
    <w:rsid w:val="00D7385E"/>
    <w:rsid w:val="00D74FA9"/>
    <w:rsid w:val="00D832DD"/>
    <w:rsid w:val="00D84E52"/>
    <w:rsid w:val="00D95C85"/>
    <w:rsid w:val="00D9790E"/>
    <w:rsid w:val="00DA6C9A"/>
    <w:rsid w:val="00DB3AB3"/>
    <w:rsid w:val="00DC60FB"/>
    <w:rsid w:val="00DC72AA"/>
    <w:rsid w:val="00DD6E88"/>
    <w:rsid w:val="00DF3493"/>
    <w:rsid w:val="00DF5978"/>
    <w:rsid w:val="00DF5B8C"/>
    <w:rsid w:val="00DF68E1"/>
    <w:rsid w:val="00E00795"/>
    <w:rsid w:val="00E06C95"/>
    <w:rsid w:val="00E12E87"/>
    <w:rsid w:val="00E155AB"/>
    <w:rsid w:val="00E23C7D"/>
    <w:rsid w:val="00E24444"/>
    <w:rsid w:val="00E24DB0"/>
    <w:rsid w:val="00E32573"/>
    <w:rsid w:val="00E40211"/>
    <w:rsid w:val="00E41387"/>
    <w:rsid w:val="00E46254"/>
    <w:rsid w:val="00E5092C"/>
    <w:rsid w:val="00E5710C"/>
    <w:rsid w:val="00E62D9F"/>
    <w:rsid w:val="00E65708"/>
    <w:rsid w:val="00E67315"/>
    <w:rsid w:val="00E8007E"/>
    <w:rsid w:val="00E8052B"/>
    <w:rsid w:val="00E81464"/>
    <w:rsid w:val="00E85304"/>
    <w:rsid w:val="00E94B63"/>
    <w:rsid w:val="00E94CE6"/>
    <w:rsid w:val="00E94DF7"/>
    <w:rsid w:val="00E979A2"/>
    <w:rsid w:val="00E97C94"/>
    <w:rsid w:val="00EA012D"/>
    <w:rsid w:val="00EA3B78"/>
    <w:rsid w:val="00EC1899"/>
    <w:rsid w:val="00ED4B9D"/>
    <w:rsid w:val="00ED6D4D"/>
    <w:rsid w:val="00EE3372"/>
    <w:rsid w:val="00EE545B"/>
    <w:rsid w:val="00EF1299"/>
    <w:rsid w:val="00EF3A89"/>
    <w:rsid w:val="00EF4CF9"/>
    <w:rsid w:val="00F00832"/>
    <w:rsid w:val="00F03082"/>
    <w:rsid w:val="00F210A9"/>
    <w:rsid w:val="00F23FF2"/>
    <w:rsid w:val="00F2684D"/>
    <w:rsid w:val="00F27FA0"/>
    <w:rsid w:val="00F31377"/>
    <w:rsid w:val="00F32B43"/>
    <w:rsid w:val="00F33C36"/>
    <w:rsid w:val="00F4416F"/>
    <w:rsid w:val="00F51187"/>
    <w:rsid w:val="00F54173"/>
    <w:rsid w:val="00F56130"/>
    <w:rsid w:val="00F62AD9"/>
    <w:rsid w:val="00F6417B"/>
    <w:rsid w:val="00F74E36"/>
    <w:rsid w:val="00F8549D"/>
    <w:rsid w:val="00F861C6"/>
    <w:rsid w:val="00F92916"/>
    <w:rsid w:val="00F95481"/>
    <w:rsid w:val="00F9749D"/>
    <w:rsid w:val="00FB2E96"/>
    <w:rsid w:val="00FB5CE9"/>
    <w:rsid w:val="00FC0F5D"/>
    <w:rsid w:val="00FD2297"/>
    <w:rsid w:val="00FF10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2934"/>
  <w15:chartTrackingRefBased/>
  <w15:docId w15:val="{DE6623EB-CF57-4253-82DD-92489418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E88"/>
  </w:style>
  <w:style w:type="paragraph" w:styleId="Titre1">
    <w:name w:val="heading 1"/>
    <w:basedOn w:val="Normal"/>
    <w:next w:val="Normal"/>
    <w:link w:val="Titre1Car"/>
    <w:uiPriority w:val="9"/>
    <w:qFormat/>
    <w:rsid w:val="001166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6E88"/>
    <w:pPr>
      <w:ind w:left="720"/>
      <w:contextualSpacing/>
    </w:pPr>
  </w:style>
  <w:style w:type="paragraph" w:styleId="Notedebasdepage">
    <w:name w:val="footnote text"/>
    <w:basedOn w:val="Normal"/>
    <w:link w:val="NotedebasdepageCar"/>
    <w:unhideWhenUsed/>
    <w:rsid w:val="00DD6E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D6E88"/>
    <w:rPr>
      <w:sz w:val="20"/>
      <w:szCs w:val="20"/>
    </w:rPr>
  </w:style>
  <w:style w:type="character" w:styleId="Appelnotedebasdep">
    <w:name w:val="footnote reference"/>
    <w:basedOn w:val="Policepardfaut"/>
    <w:unhideWhenUsed/>
    <w:rsid w:val="00DD6E88"/>
    <w:rPr>
      <w:vertAlign w:val="superscript"/>
    </w:rPr>
  </w:style>
  <w:style w:type="character" w:styleId="Marquedecommentaire">
    <w:name w:val="annotation reference"/>
    <w:basedOn w:val="Policepardfaut"/>
    <w:uiPriority w:val="99"/>
    <w:semiHidden/>
    <w:unhideWhenUsed/>
    <w:rsid w:val="00DD6E88"/>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customStyle="1" w:styleId="Titre1Car">
    <w:name w:val="Titre 1 Car"/>
    <w:basedOn w:val="Policepardfaut"/>
    <w:link w:val="Titre1"/>
    <w:uiPriority w:val="9"/>
    <w:rsid w:val="001166D7"/>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167874"/>
    <w:rPr>
      <w:color w:val="0563C1" w:themeColor="hyperlink"/>
      <w:u w:val="single"/>
    </w:rPr>
  </w:style>
  <w:style w:type="character" w:styleId="Mentionnonrsolue">
    <w:name w:val="Unresolved Mention"/>
    <w:basedOn w:val="Policepardfaut"/>
    <w:uiPriority w:val="99"/>
    <w:semiHidden/>
    <w:unhideWhenUsed/>
    <w:rsid w:val="00167874"/>
    <w:rPr>
      <w:color w:val="605E5C"/>
      <w:shd w:val="clear" w:color="auto" w:fill="E1DFDD"/>
    </w:rPr>
  </w:style>
  <w:style w:type="paragraph" w:styleId="En-tte">
    <w:name w:val="header"/>
    <w:basedOn w:val="Normal"/>
    <w:link w:val="En-tteCar"/>
    <w:uiPriority w:val="99"/>
    <w:unhideWhenUsed/>
    <w:rsid w:val="00C645CA"/>
    <w:pPr>
      <w:tabs>
        <w:tab w:val="center" w:pos="4536"/>
        <w:tab w:val="right" w:pos="9072"/>
      </w:tabs>
      <w:spacing w:after="0" w:line="240" w:lineRule="auto"/>
    </w:pPr>
  </w:style>
  <w:style w:type="character" w:customStyle="1" w:styleId="En-tteCar">
    <w:name w:val="En-tête Car"/>
    <w:basedOn w:val="Policepardfaut"/>
    <w:link w:val="En-tte"/>
    <w:uiPriority w:val="99"/>
    <w:rsid w:val="00C645CA"/>
  </w:style>
  <w:style w:type="paragraph" w:styleId="Pieddepage">
    <w:name w:val="footer"/>
    <w:basedOn w:val="Normal"/>
    <w:link w:val="PieddepageCar"/>
    <w:uiPriority w:val="99"/>
    <w:unhideWhenUsed/>
    <w:rsid w:val="00C645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45CA"/>
  </w:style>
  <w:style w:type="paragraph" w:styleId="Rvision">
    <w:name w:val="Revision"/>
    <w:hidden/>
    <w:uiPriority w:val="99"/>
    <w:semiHidden/>
    <w:rsid w:val="004B22B8"/>
    <w:pPr>
      <w:spacing w:after="0" w:line="240" w:lineRule="auto"/>
    </w:pPr>
  </w:style>
  <w:style w:type="character" w:styleId="Lienhypertextesuivivisit">
    <w:name w:val="FollowedHyperlink"/>
    <w:basedOn w:val="Policepardfaut"/>
    <w:uiPriority w:val="99"/>
    <w:semiHidden/>
    <w:unhideWhenUsed/>
    <w:rsid w:val="00E8007E"/>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047654"/>
    <w:rPr>
      <w:b/>
      <w:bCs/>
    </w:rPr>
  </w:style>
  <w:style w:type="character" w:customStyle="1" w:styleId="ObjetducommentaireCar">
    <w:name w:val="Objet du commentaire Car"/>
    <w:basedOn w:val="CommentaireCar"/>
    <w:link w:val="Objetducommentaire"/>
    <w:uiPriority w:val="99"/>
    <w:semiHidden/>
    <w:rsid w:val="00047654"/>
    <w:rPr>
      <w:b/>
      <w:bCs/>
      <w:sz w:val="20"/>
      <w:szCs w:val="20"/>
    </w:rPr>
  </w:style>
  <w:style w:type="character" w:customStyle="1" w:styleId="cf01">
    <w:name w:val="cf01"/>
    <w:basedOn w:val="Policepardfaut"/>
    <w:rsid w:val="00CE2F5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7307">
      <w:bodyDiv w:val="1"/>
      <w:marLeft w:val="0"/>
      <w:marRight w:val="0"/>
      <w:marTop w:val="0"/>
      <w:marBottom w:val="0"/>
      <w:divBdr>
        <w:top w:val="none" w:sz="0" w:space="0" w:color="auto"/>
        <w:left w:val="none" w:sz="0" w:space="0" w:color="auto"/>
        <w:bottom w:val="none" w:sz="0" w:space="0" w:color="auto"/>
        <w:right w:val="none" w:sz="0" w:space="0" w:color="auto"/>
      </w:divBdr>
    </w:div>
    <w:div w:id="660932871">
      <w:bodyDiv w:val="1"/>
      <w:marLeft w:val="0"/>
      <w:marRight w:val="0"/>
      <w:marTop w:val="0"/>
      <w:marBottom w:val="0"/>
      <w:divBdr>
        <w:top w:val="none" w:sz="0" w:space="0" w:color="auto"/>
        <w:left w:val="none" w:sz="0" w:space="0" w:color="auto"/>
        <w:bottom w:val="none" w:sz="0" w:space="0" w:color="auto"/>
        <w:right w:val="none" w:sz="0" w:space="0" w:color="auto"/>
      </w:divBdr>
    </w:div>
    <w:div w:id="789592826">
      <w:bodyDiv w:val="1"/>
      <w:marLeft w:val="0"/>
      <w:marRight w:val="0"/>
      <w:marTop w:val="0"/>
      <w:marBottom w:val="0"/>
      <w:divBdr>
        <w:top w:val="none" w:sz="0" w:space="0" w:color="auto"/>
        <w:left w:val="none" w:sz="0" w:space="0" w:color="auto"/>
        <w:bottom w:val="none" w:sz="0" w:space="0" w:color="auto"/>
        <w:right w:val="none" w:sz="0" w:space="0" w:color="auto"/>
      </w:divBdr>
    </w:div>
    <w:div w:id="1206287557">
      <w:bodyDiv w:val="1"/>
      <w:marLeft w:val="0"/>
      <w:marRight w:val="0"/>
      <w:marTop w:val="0"/>
      <w:marBottom w:val="0"/>
      <w:divBdr>
        <w:top w:val="none" w:sz="0" w:space="0" w:color="auto"/>
        <w:left w:val="none" w:sz="0" w:space="0" w:color="auto"/>
        <w:bottom w:val="none" w:sz="0" w:space="0" w:color="auto"/>
        <w:right w:val="none" w:sz="0" w:space="0" w:color="auto"/>
      </w:divBdr>
    </w:div>
    <w:div w:id="1523586066">
      <w:bodyDiv w:val="1"/>
      <w:marLeft w:val="0"/>
      <w:marRight w:val="0"/>
      <w:marTop w:val="0"/>
      <w:marBottom w:val="0"/>
      <w:divBdr>
        <w:top w:val="none" w:sz="0" w:space="0" w:color="auto"/>
        <w:left w:val="none" w:sz="0" w:space="0" w:color="auto"/>
        <w:bottom w:val="none" w:sz="0" w:space="0" w:color="auto"/>
        <w:right w:val="none" w:sz="0" w:space="0" w:color="auto"/>
      </w:divBdr>
      <w:divsChild>
        <w:div w:id="778187565">
          <w:marLeft w:val="0"/>
          <w:marRight w:val="0"/>
          <w:marTop w:val="0"/>
          <w:marBottom w:val="0"/>
          <w:divBdr>
            <w:top w:val="none" w:sz="0" w:space="0" w:color="auto"/>
            <w:left w:val="none" w:sz="0" w:space="0" w:color="auto"/>
            <w:bottom w:val="none" w:sz="0" w:space="0" w:color="auto"/>
            <w:right w:val="none" w:sz="0" w:space="0" w:color="auto"/>
          </w:divBdr>
          <w:divsChild>
            <w:div w:id="312756907">
              <w:marLeft w:val="0"/>
              <w:marRight w:val="0"/>
              <w:marTop w:val="0"/>
              <w:marBottom w:val="0"/>
              <w:divBdr>
                <w:top w:val="none" w:sz="0" w:space="0" w:color="auto"/>
                <w:left w:val="none" w:sz="0" w:space="0" w:color="auto"/>
                <w:bottom w:val="none" w:sz="0" w:space="0" w:color="auto"/>
                <w:right w:val="none" w:sz="0" w:space="0" w:color="auto"/>
              </w:divBdr>
              <w:divsChild>
                <w:div w:id="18998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elesambre.be/edito-les-engages-ressuscites-le-miracle-de-georges-louis-bouchez" TargetMode="External"/><Relationship Id="rId2" Type="http://schemas.openxmlformats.org/officeDocument/2006/relationships/hyperlink" Target="https://www.rtbf.be/article/les-engages-la-bataille-du-centre-droit-11258223" TargetMode="External"/><Relationship Id="rId1" Type="http://schemas.openxmlformats.org/officeDocument/2006/relationships/hyperlink" Target="https://www.7sur7.be/belgique/prevot-a-la-trumpisation-du-mr-nous-preferons-le-liberalisme-social-de-leffort-et-du-coeur~a82da44d/" TargetMode="External"/><Relationship Id="rId4" Type="http://schemas.openxmlformats.org/officeDocument/2006/relationships/hyperlink" Target="https://esprit.presse.fr/actualites/laurent-de-briey/lutte-des-classes-ou-rassemblement-interclassiste-deux-strategies-pour-une-transition-ecologique-4496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BEB35-D5AB-4D6A-8AB0-7C1A2FE6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5205</Words>
  <Characters>28630</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de BRIEY</dc:creator>
  <cp:keywords/>
  <dc:description/>
  <cp:lastModifiedBy>Hajji Azzedine</cp:lastModifiedBy>
  <cp:revision>5</cp:revision>
  <dcterms:created xsi:type="dcterms:W3CDTF">2024-02-06T19:36:00Z</dcterms:created>
  <dcterms:modified xsi:type="dcterms:W3CDTF">2024-02-06T19:38:00Z</dcterms:modified>
</cp:coreProperties>
</file>